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30999">
      <w:pPr>
        <w:spacing w:after="156" w:afterLines="50" w:line="400" w:lineRule="exact"/>
        <w:jc w:val="center"/>
        <w:rPr>
          <w:rFonts w:ascii="宋体" w:hAnsi="宋体"/>
          <w:bCs/>
          <w:iCs/>
          <w:color w:val="000000"/>
          <w:sz w:val="24"/>
        </w:rPr>
      </w:pPr>
      <w:r>
        <w:rPr>
          <w:rFonts w:hint="eastAsia" w:ascii="宋体" w:hAnsi="宋体"/>
          <w:bCs/>
          <w:iCs/>
          <w:color w:val="000000"/>
          <w:sz w:val="24"/>
        </w:rPr>
        <w:t xml:space="preserve">证券代码： </w:t>
      </w:r>
      <w:r>
        <w:rPr>
          <w:bCs/>
          <w:iCs/>
          <w:color w:val="000000"/>
          <w:sz w:val="24"/>
        </w:rPr>
        <w:t>688277</w:t>
      </w: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 xml:space="preserve">        证券简称：天智航 </w:t>
      </w:r>
    </w:p>
    <w:p w14:paraId="7D7C8437">
      <w:pPr>
        <w:spacing w:before="624" w:beforeLines="20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北京天智航医疗科技股份有限公司</w:t>
      </w:r>
    </w:p>
    <w:p w14:paraId="6FA625B9">
      <w:pPr>
        <w:spacing w:before="156" w:beforeLines="50" w:after="312" w:afterLines="10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1F90FF54">
      <w:pPr>
        <w:spacing w:line="400" w:lineRule="exact"/>
        <w:rPr>
          <w:bCs/>
          <w:iCs/>
          <w:color w:val="000000"/>
          <w:sz w:val="24"/>
        </w:rPr>
      </w:pPr>
      <w:r>
        <w:rPr>
          <w:rFonts w:hint="eastAsia" w:ascii="宋体" w:hAnsi="宋体"/>
          <w:bCs/>
          <w:iCs/>
          <w:color w:val="000000"/>
          <w:sz w:val="24"/>
        </w:rPr>
        <w:t xml:space="preserve">                                                        编号：</w:t>
      </w:r>
      <w:r>
        <w:rPr>
          <w:bCs/>
          <w:iCs/>
          <w:color w:val="000000"/>
          <w:sz w:val="24"/>
        </w:rPr>
        <w:t>2025-001</w:t>
      </w:r>
    </w:p>
    <w:tbl>
      <w:tblPr>
        <w:tblStyle w:val="8"/>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6670"/>
      </w:tblGrid>
      <w:tr w14:paraId="091A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Align w:val="center"/>
          </w:tcPr>
          <w:p w14:paraId="0F8BCA3D">
            <w:pPr>
              <w:spacing w:line="480" w:lineRule="atLeast"/>
              <w:jc w:val="center"/>
              <w:rPr>
                <w:b/>
                <w:bCs/>
                <w:iCs/>
                <w:color w:val="000000"/>
                <w:sz w:val="24"/>
              </w:rPr>
            </w:pPr>
            <w:r>
              <w:rPr>
                <w:b/>
                <w:bCs/>
                <w:iCs/>
                <w:color w:val="000000"/>
                <w:sz w:val="24"/>
              </w:rPr>
              <w:t>投资者关系活动类别</w:t>
            </w:r>
          </w:p>
        </w:tc>
        <w:tc>
          <w:tcPr>
            <w:tcW w:w="6670" w:type="dxa"/>
          </w:tcPr>
          <w:p w14:paraId="5B0413DD">
            <w:pPr>
              <w:spacing w:line="480" w:lineRule="atLeast"/>
              <w:rPr>
                <w:bCs/>
                <w:iCs/>
                <w:color w:val="000000"/>
                <w:sz w:val="24"/>
              </w:rPr>
            </w:pPr>
            <w:r>
              <w:rPr>
                <w:bCs/>
                <w:iCs/>
                <w:color w:val="000000"/>
                <w:sz w:val="24"/>
              </w:rPr>
              <w:t>□特定对象调研        □分析师会议</w:t>
            </w:r>
          </w:p>
          <w:p w14:paraId="2B83B0E1">
            <w:pPr>
              <w:spacing w:line="480" w:lineRule="atLeast"/>
              <w:rPr>
                <w:bCs/>
                <w:iCs/>
                <w:color w:val="000000"/>
                <w:sz w:val="24"/>
              </w:rPr>
            </w:pPr>
            <w:r>
              <w:rPr>
                <w:bCs/>
                <w:iCs/>
                <w:color w:val="000000"/>
                <w:sz w:val="24"/>
              </w:rPr>
              <w:t>□媒体采访            □业绩说明会</w:t>
            </w:r>
          </w:p>
          <w:p w14:paraId="165662C9">
            <w:pPr>
              <w:spacing w:line="480" w:lineRule="atLeast"/>
              <w:rPr>
                <w:bCs/>
                <w:iCs/>
                <w:color w:val="000000"/>
                <w:sz w:val="24"/>
              </w:rPr>
            </w:pPr>
            <w:r>
              <w:rPr>
                <w:bCs/>
                <w:iCs/>
                <w:color w:val="000000"/>
                <w:sz w:val="24"/>
              </w:rPr>
              <w:t xml:space="preserve">□新闻发布会         </w:t>
            </w:r>
            <w:r>
              <w:rPr>
                <w:rFonts w:ascii="宋体" w:hAnsi="宋体"/>
                <w:bCs/>
                <w:iCs/>
                <w:color w:val="000000"/>
                <w:sz w:val="24"/>
              </w:rPr>
              <w:t xml:space="preserve"> </w:t>
            </w:r>
            <w:r>
              <w:rPr>
                <w:bCs/>
                <w:iCs/>
                <w:color w:val="000000"/>
                <w:sz w:val="24"/>
              </w:rPr>
              <w:t>□</w:t>
            </w:r>
            <w:r>
              <w:rPr>
                <w:rFonts w:ascii="宋体" w:hAnsi="宋体"/>
                <w:bCs/>
                <w:iCs/>
                <w:color w:val="000000"/>
                <w:sz w:val="24"/>
              </w:rPr>
              <w:t>路演活动</w:t>
            </w:r>
          </w:p>
          <w:p w14:paraId="28E1E477">
            <w:pPr>
              <w:tabs>
                <w:tab w:val="left" w:pos="3045"/>
                <w:tab w:val="center" w:pos="3199"/>
              </w:tabs>
              <w:spacing w:line="480" w:lineRule="atLeast"/>
              <w:rPr>
                <w:bCs/>
                <w:iCs/>
                <w:color w:val="000000"/>
                <w:sz w:val="24"/>
              </w:rPr>
            </w:pPr>
            <w:r>
              <w:rPr>
                <w:bCs/>
                <w:iCs/>
                <w:color w:val="000000"/>
                <w:sz w:val="24"/>
              </w:rPr>
              <w:sym w:font="Wingdings 2" w:char="0052"/>
            </w:r>
            <w:r>
              <w:rPr>
                <w:iCs/>
                <w:color w:val="000000"/>
                <w:sz w:val="24"/>
              </w:rPr>
              <w:t>现场</w:t>
            </w:r>
            <w:r>
              <w:rPr>
                <w:rFonts w:hint="eastAsia"/>
                <w:iCs/>
                <w:color w:val="000000"/>
                <w:sz w:val="24"/>
              </w:rPr>
              <w:t>交流</w:t>
            </w:r>
            <w:r>
              <w:rPr>
                <w:iCs/>
                <w:color w:val="000000"/>
                <w:sz w:val="24"/>
              </w:rPr>
              <w:t xml:space="preserve"> </w:t>
            </w:r>
            <w:r>
              <w:rPr>
                <w:b/>
                <w:iCs/>
                <w:color w:val="000000"/>
                <w:sz w:val="24"/>
              </w:rPr>
              <w:t xml:space="preserve"> </w:t>
            </w:r>
            <w:r>
              <w:rPr>
                <w:bCs/>
                <w:iCs/>
                <w:color w:val="000000"/>
                <w:sz w:val="24"/>
              </w:rPr>
              <w:t xml:space="preserve">        </w:t>
            </w:r>
            <w:r>
              <w:rPr>
                <w:rFonts w:hint="eastAsia"/>
                <w:b/>
                <w:iCs/>
                <w:color w:val="000000"/>
                <w:sz w:val="24"/>
              </w:rPr>
              <w:t xml:space="preserve"> </w:t>
            </w:r>
            <w:r>
              <w:rPr>
                <w:bCs/>
                <w:iCs/>
                <w:color w:val="000000"/>
                <w:sz w:val="24"/>
              </w:rPr>
              <w:t xml:space="preserve">□其他 </w:t>
            </w:r>
            <w:r>
              <w:rPr>
                <w:rFonts w:hint="eastAsia"/>
                <w:bCs/>
                <w:iCs/>
                <w:color w:val="000000"/>
                <w:sz w:val="24"/>
              </w:rPr>
              <w:t>电话交流会</w:t>
            </w:r>
          </w:p>
        </w:tc>
      </w:tr>
      <w:tr w14:paraId="5D2B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66" w:type="dxa"/>
            <w:vAlign w:val="center"/>
          </w:tcPr>
          <w:p w14:paraId="5486C5B1">
            <w:pPr>
              <w:spacing w:line="480" w:lineRule="atLeast"/>
              <w:jc w:val="center"/>
              <w:rPr>
                <w:b/>
                <w:bCs/>
                <w:iCs/>
                <w:color w:val="000000"/>
                <w:sz w:val="24"/>
              </w:rPr>
            </w:pPr>
            <w:r>
              <w:rPr>
                <w:b/>
                <w:bCs/>
                <w:iCs/>
                <w:color w:val="000000"/>
                <w:sz w:val="24"/>
              </w:rPr>
              <w:t>参与单位名称</w:t>
            </w:r>
          </w:p>
        </w:tc>
        <w:tc>
          <w:tcPr>
            <w:tcW w:w="6670" w:type="dxa"/>
          </w:tcPr>
          <w:p w14:paraId="30D71DDC">
            <w:pPr>
              <w:spacing w:line="560" w:lineRule="exact"/>
              <w:rPr>
                <w:bCs/>
                <w:iCs/>
                <w:color w:val="000000"/>
                <w:sz w:val="24"/>
              </w:rPr>
            </w:pPr>
            <w:r>
              <w:rPr>
                <w:rFonts w:hint="eastAsia"/>
                <w:bCs/>
                <w:iCs/>
                <w:color w:val="000000"/>
                <w:sz w:val="24"/>
              </w:rPr>
              <w:t>东北证券股份有限公司、诺安基金管理有限公司</w:t>
            </w:r>
          </w:p>
        </w:tc>
      </w:tr>
      <w:tr w14:paraId="6E3F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14:paraId="0C45654E">
            <w:pPr>
              <w:spacing w:line="480" w:lineRule="atLeast"/>
              <w:jc w:val="center"/>
              <w:rPr>
                <w:b/>
                <w:bCs/>
                <w:iCs/>
                <w:color w:val="000000"/>
                <w:sz w:val="24"/>
              </w:rPr>
            </w:pPr>
            <w:r>
              <w:rPr>
                <w:b/>
                <w:bCs/>
                <w:iCs/>
                <w:color w:val="000000"/>
                <w:sz w:val="24"/>
              </w:rPr>
              <w:t>时间</w:t>
            </w:r>
          </w:p>
        </w:tc>
        <w:tc>
          <w:tcPr>
            <w:tcW w:w="6670" w:type="dxa"/>
            <w:vAlign w:val="center"/>
          </w:tcPr>
          <w:p w14:paraId="4000B7FD">
            <w:pPr>
              <w:spacing w:line="360" w:lineRule="auto"/>
              <w:rPr>
                <w:bCs/>
                <w:iCs/>
                <w:color w:val="000000"/>
                <w:sz w:val="24"/>
              </w:rPr>
            </w:pPr>
            <w:r>
              <w:rPr>
                <w:bCs/>
                <w:iCs/>
                <w:color w:val="000000"/>
                <w:sz w:val="24"/>
              </w:rPr>
              <w:t>2025年5月</w:t>
            </w:r>
            <w:r>
              <w:rPr>
                <w:rFonts w:hint="eastAsia"/>
                <w:bCs/>
                <w:iCs/>
                <w:color w:val="000000"/>
                <w:sz w:val="24"/>
              </w:rPr>
              <w:t>2</w:t>
            </w:r>
            <w:r>
              <w:rPr>
                <w:bCs/>
                <w:iCs/>
                <w:color w:val="000000"/>
                <w:sz w:val="24"/>
              </w:rPr>
              <w:t>3</w:t>
            </w:r>
            <w:r>
              <w:rPr>
                <w:rFonts w:hint="eastAsia"/>
                <w:bCs/>
                <w:iCs/>
                <w:color w:val="000000"/>
                <w:sz w:val="24"/>
              </w:rPr>
              <w:t>日</w:t>
            </w:r>
          </w:p>
        </w:tc>
      </w:tr>
      <w:tr w14:paraId="5ACE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6" w:type="dxa"/>
          </w:tcPr>
          <w:p w14:paraId="42615073">
            <w:pPr>
              <w:spacing w:line="480" w:lineRule="atLeast"/>
              <w:jc w:val="center"/>
              <w:rPr>
                <w:b/>
                <w:bCs/>
                <w:iCs/>
                <w:color w:val="000000"/>
                <w:sz w:val="24"/>
              </w:rPr>
            </w:pPr>
            <w:r>
              <w:rPr>
                <w:b/>
                <w:bCs/>
                <w:iCs/>
                <w:color w:val="000000"/>
                <w:sz w:val="24"/>
              </w:rPr>
              <w:t>地点</w:t>
            </w:r>
          </w:p>
        </w:tc>
        <w:tc>
          <w:tcPr>
            <w:tcW w:w="6670" w:type="dxa"/>
            <w:vAlign w:val="center"/>
          </w:tcPr>
          <w:p w14:paraId="7295CA9C">
            <w:pPr>
              <w:spacing w:line="360" w:lineRule="auto"/>
              <w:rPr>
                <w:rFonts w:hint="eastAsia" w:eastAsia="宋体"/>
                <w:bCs/>
                <w:iCs/>
                <w:color w:val="000000"/>
                <w:sz w:val="24"/>
                <w:lang w:eastAsia="zh-CN"/>
              </w:rPr>
            </w:pPr>
            <w:r>
              <w:rPr>
                <w:rFonts w:hint="eastAsia"/>
                <w:bCs/>
                <w:iCs/>
                <w:color w:val="000000"/>
                <w:sz w:val="24"/>
              </w:rPr>
              <w:t>北京天智航</w:t>
            </w:r>
            <w:r>
              <w:rPr>
                <w:rFonts w:hint="eastAsia"/>
                <w:bCs/>
                <w:iCs/>
                <w:color w:val="000000"/>
                <w:sz w:val="24"/>
                <w:lang w:val="en-US" w:eastAsia="zh-CN"/>
              </w:rPr>
              <w:t>办公楼</w:t>
            </w:r>
          </w:p>
        </w:tc>
      </w:tr>
      <w:tr w14:paraId="7CCA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Align w:val="center"/>
          </w:tcPr>
          <w:p w14:paraId="27F19654">
            <w:pPr>
              <w:spacing w:line="480" w:lineRule="atLeast"/>
              <w:jc w:val="center"/>
              <w:rPr>
                <w:b/>
                <w:bCs/>
                <w:iCs/>
                <w:color w:val="000000"/>
                <w:sz w:val="24"/>
              </w:rPr>
            </w:pPr>
            <w:r>
              <w:rPr>
                <w:b/>
                <w:bCs/>
                <w:iCs/>
                <w:color w:val="000000"/>
                <w:sz w:val="24"/>
              </w:rPr>
              <w:t>上市公司</w:t>
            </w:r>
          </w:p>
          <w:p w14:paraId="763A00AF">
            <w:pPr>
              <w:spacing w:line="480" w:lineRule="atLeast"/>
              <w:jc w:val="center"/>
              <w:rPr>
                <w:b/>
                <w:bCs/>
                <w:iCs/>
                <w:color w:val="000000"/>
                <w:sz w:val="24"/>
              </w:rPr>
            </w:pPr>
            <w:r>
              <w:rPr>
                <w:b/>
                <w:bCs/>
                <w:iCs/>
                <w:color w:val="000000"/>
                <w:sz w:val="24"/>
              </w:rPr>
              <w:t>接待人员姓名</w:t>
            </w:r>
          </w:p>
        </w:tc>
        <w:tc>
          <w:tcPr>
            <w:tcW w:w="6670" w:type="dxa"/>
            <w:vAlign w:val="center"/>
          </w:tcPr>
          <w:p w14:paraId="234C56A3">
            <w:pPr>
              <w:spacing w:line="360" w:lineRule="auto"/>
              <w:rPr>
                <w:bCs/>
                <w:iCs/>
                <w:color w:val="000000"/>
                <w:sz w:val="24"/>
              </w:rPr>
            </w:pPr>
            <w:r>
              <w:rPr>
                <w:bCs/>
                <w:iCs/>
                <w:color w:val="000000"/>
                <w:sz w:val="24"/>
              </w:rPr>
              <w:t>公司董事会秘书黄军辉</w:t>
            </w:r>
            <w:r>
              <w:rPr>
                <w:rFonts w:hint="eastAsia"/>
                <w:bCs/>
                <w:iCs/>
                <w:color w:val="000000"/>
                <w:sz w:val="24"/>
              </w:rPr>
              <w:t>、投资者关系负责人薛妍</w:t>
            </w:r>
          </w:p>
        </w:tc>
      </w:tr>
      <w:tr w14:paraId="56E7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66" w:type="dxa"/>
            <w:vAlign w:val="center"/>
          </w:tcPr>
          <w:p w14:paraId="2D6E618C">
            <w:pPr>
              <w:spacing w:line="480" w:lineRule="atLeast"/>
              <w:rPr>
                <w:b/>
                <w:bCs/>
                <w:iCs/>
                <w:color w:val="000000"/>
                <w:sz w:val="24"/>
              </w:rPr>
            </w:pPr>
            <w:r>
              <w:rPr>
                <w:b/>
                <w:bCs/>
                <w:iCs/>
                <w:color w:val="000000"/>
                <w:sz w:val="24"/>
              </w:rPr>
              <w:t>投资者关系活动主要内容介绍</w:t>
            </w:r>
          </w:p>
          <w:p w14:paraId="5E3F386F">
            <w:pPr>
              <w:spacing w:line="480" w:lineRule="atLeast"/>
              <w:rPr>
                <w:b/>
                <w:bCs/>
                <w:iCs/>
                <w:color w:val="000000"/>
                <w:sz w:val="24"/>
              </w:rPr>
            </w:pPr>
          </w:p>
        </w:tc>
        <w:tc>
          <w:tcPr>
            <w:tcW w:w="6670" w:type="dxa"/>
          </w:tcPr>
          <w:p w14:paraId="0228875D">
            <w:pPr>
              <w:pStyle w:val="20"/>
              <w:numPr>
                <w:ilvl w:val="0"/>
                <w:numId w:val="1"/>
              </w:numPr>
              <w:tabs>
                <w:tab w:val="left" w:pos="312"/>
                <w:tab w:val="left" w:pos="3415"/>
              </w:tabs>
              <w:spacing w:before="156" w:beforeLines="50" w:line="440" w:lineRule="exact"/>
              <w:ind w:firstLineChars="0"/>
              <w:rPr>
                <w:bCs/>
                <w:iCs/>
                <w:color w:val="000000" w:themeColor="text1"/>
                <w:sz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天智航近年营收情况？</w:t>
            </w:r>
          </w:p>
          <w:p w14:paraId="65753839">
            <w:pPr>
              <w:tabs>
                <w:tab w:val="left" w:pos="312"/>
              </w:tabs>
              <w:spacing w:before="156" w:beforeLines="50" w:line="440" w:lineRule="exact"/>
              <w:rPr>
                <w:rFonts w:eastAsiaTheme="minorEastAsia"/>
                <w:bCs/>
                <w:iCs/>
                <w:color w:val="000000" w:themeColor="text1"/>
                <w:sz w:val="24"/>
                <w14:textFill>
                  <w14:solidFill>
                    <w14:schemeClr w14:val="tx1"/>
                  </w14:solidFill>
                </w14:textFill>
              </w:rPr>
            </w:pPr>
            <w:r>
              <w:rPr>
                <w:rFonts w:hint="eastAsia" w:eastAsiaTheme="minorEastAsia"/>
                <w:bCs/>
                <w:iCs/>
                <w:color w:val="000000" w:themeColor="text1"/>
                <w:sz w:val="24"/>
                <w14:textFill>
                  <w14:solidFill>
                    <w14:schemeClr w14:val="tx1"/>
                  </w14:solidFill>
                </w14:textFill>
              </w:rPr>
              <w:t>2024年度公司实现营业收入1.79亿元。其中主营业务收入主要由机器人设备、配套设备及耗材、技术服务收入三部分构成。这三部分收入分别为7</w:t>
            </w:r>
            <w:r>
              <w:rPr>
                <w:rFonts w:eastAsiaTheme="minorEastAsia"/>
                <w:bCs/>
                <w:iCs/>
                <w:color w:val="000000" w:themeColor="text1"/>
                <w:sz w:val="24"/>
                <w14:textFill>
                  <w14:solidFill>
                    <w14:schemeClr w14:val="tx1"/>
                  </w14:solidFill>
                </w14:textFill>
              </w:rPr>
              <w:t>430</w:t>
            </w:r>
            <w:r>
              <w:rPr>
                <w:rFonts w:hint="eastAsia" w:eastAsiaTheme="minorEastAsia"/>
                <w:bCs/>
                <w:iCs/>
                <w:color w:val="000000" w:themeColor="text1"/>
                <w:sz w:val="24"/>
                <w14:textFill>
                  <w14:solidFill>
                    <w14:schemeClr w14:val="tx1"/>
                  </w14:solidFill>
                </w14:textFill>
              </w:rPr>
              <w:t>万元，同比下降4</w:t>
            </w:r>
            <w:r>
              <w:rPr>
                <w:rFonts w:eastAsiaTheme="minorEastAsia"/>
                <w:bCs/>
                <w:iCs/>
                <w:color w:val="000000" w:themeColor="text1"/>
                <w:sz w:val="24"/>
                <w14:textFill>
                  <w14:solidFill>
                    <w14:schemeClr w14:val="tx1"/>
                  </w14:solidFill>
                </w14:textFill>
              </w:rPr>
              <w:t>7.39%</w:t>
            </w:r>
            <w:r>
              <w:rPr>
                <w:rFonts w:hint="eastAsia" w:eastAsiaTheme="minorEastAsia"/>
                <w:bCs/>
                <w:iCs/>
                <w:color w:val="000000" w:themeColor="text1"/>
                <w:sz w:val="24"/>
                <w14:textFill>
                  <w14:solidFill>
                    <w14:schemeClr w14:val="tx1"/>
                  </w14:solidFill>
                </w14:textFill>
              </w:rPr>
              <w:t>；配套设备及耗材收入5486万元，同比增幅28.52%；技术服务收入4296万元，同比增幅104.26%。机器人设备销售收入因宏观环境影响下滑，更具稳定性的产品配套设备、耗材、技术服务等持续性收入增长更为明显。</w:t>
            </w:r>
          </w:p>
          <w:p w14:paraId="7369B115">
            <w:pPr>
              <w:tabs>
                <w:tab w:val="left" w:pos="312"/>
              </w:tabs>
              <w:spacing w:before="156" w:beforeLines="50" w:line="440" w:lineRule="exact"/>
              <w:rPr>
                <w:rFonts w:eastAsiaTheme="minorEastAsia"/>
                <w:bCs/>
                <w:iCs/>
                <w:color w:val="000000" w:themeColor="text1"/>
                <w:sz w:val="24"/>
                <w14:textFill>
                  <w14:solidFill>
                    <w14:schemeClr w14:val="tx1"/>
                  </w14:solidFill>
                </w14:textFill>
              </w:rPr>
            </w:pPr>
            <w:r>
              <w:rPr>
                <w:rFonts w:hint="eastAsia" w:eastAsiaTheme="minorEastAsia"/>
                <w:bCs/>
                <w:iCs/>
                <w:color w:val="000000" w:themeColor="text1"/>
                <w:sz w:val="24"/>
                <w14:textFill>
                  <w14:solidFill>
                    <w14:schemeClr w14:val="tx1"/>
                  </w14:solidFill>
                </w14:textFill>
              </w:rPr>
              <w:t>2025年一季度天智航实现营业收入5858.38万元，较2024年同期2894万元的营业收入，同比业绩增长超102.40%。</w:t>
            </w:r>
          </w:p>
          <w:p w14:paraId="1C13CFFC">
            <w:pPr>
              <w:pStyle w:val="20"/>
              <w:numPr>
                <w:ilvl w:val="0"/>
                <w:numId w:val="1"/>
              </w:numPr>
              <w:tabs>
                <w:tab w:val="left" w:pos="312"/>
                <w:tab w:val="left" w:pos="3415"/>
              </w:tabs>
              <w:spacing w:before="156" w:beforeLines="50" w:line="440" w:lineRule="exact"/>
              <w:ind w:firstLineChars="0"/>
              <w:rPr>
                <w:bCs/>
                <w:iCs/>
                <w:color w:val="000000" w:themeColor="text1"/>
                <w:sz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天智航的产品使用情况如何？</w:t>
            </w:r>
          </w:p>
          <w:p w14:paraId="32566D88">
            <w:pPr>
              <w:tabs>
                <w:tab w:val="left" w:pos="312"/>
                <w:tab w:val="left" w:pos="3415"/>
              </w:tabs>
              <w:spacing w:before="156" w:beforeLines="50" w:line="440" w:lineRule="exact"/>
              <w:rPr>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近年来，天智航骨科手术机器人产品的手术量应用呈加速增长的态势。2</w:t>
            </w:r>
            <w:r>
              <w:rPr>
                <w:bCs/>
                <w:iCs/>
                <w:color w:val="000000" w:themeColor="text1"/>
                <w:sz w:val="24"/>
                <w14:textFill>
                  <w14:solidFill>
                    <w14:schemeClr w14:val="tx1"/>
                  </w14:solidFill>
                </w14:textFill>
              </w:rPr>
              <w:t>024</w:t>
            </w:r>
            <w:r>
              <w:rPr>
                <w:rFonts w:hint="eastAsia"/>
                <w:bCs/>
                <w:iCs/>
                <w:color w:val="000000" w:themeColor="text1"/>
                <w:sz w:val="24"/>
                <w14:textFill>
                  <w14:solidFill>
                    <w14:schemeClr w14:val="tx1"/>
                  </w14:solidFill>
                </w14:textFill>
              </w:rPr>
              <w:t>年，天玑系列骨科手术机器人全年手术量超3.9万</w:t>
            </w:r>
            <w:r>
              <w:rPr>
                <w:rFonts w:hint="eastAsia"/>
                <w:bCs/>
                <w:iCs/>
                <w:color w:val="000000" w:themeColor="text1"/>
                <w:sz w:val="24"/>
                <w:lang w:val="en-US" w:eastAsia="zh-CN"/>
                <w14:textFill>
                  <w14:solidFill>
                    <w14:schemeClr w14:val="tx1"/>
                  </w14:solidFill>
                </w14:textFill>
              </w:rPr>
              <w:t>例</w:t>
            </w:r>
            <w:r>
              <w:rPr>
                <w:rFonts w:hint="eastAsia"/>
                <w:bCs/>
                <w:iCs/>
                <w:color w:val="000000" w:themeColor="text1"/>
                <w:sz w:val="24"/>
                <w14:textFill>
                  <w14:solidFill>
                    <w14:schemeClr w14:val="tx1"/>
                  </w14:solidFill>
                </w14:textFill>
              </w:rPr>
              <w:t>，较2023年全年</w:t>
            </w:r>
            <w:r>
              <w:rPr>
                <w:rFonts w:hint="eastAsia"/>
                <w:bCs/>
                <w:iCs/>
                <w:color w:val="000000" w:themeColor="text1"/>
                <w:sz w:val="24"/>
                <w:lang w:val="en-US" w:eastAsia="zh-CN"/>
                <w14:textFill>
                  <w14:solidFill>
                    <w14:schemeClr w14:val="tx1"/>
                  </w14:solidFill>
                </w14:textFill>
              </w:rPr>
              <w:t>超</w:t>
            </w:r>
            <w:r>
              <w:rPr>
                <w:rFonts w:hint="eastAsia"/>
                <w:bCs/>
                <w:iCs/>
                <w:color w:val="000000" w:themeColor="text1"/>
                <w:sz w:val="24"/>
                <w14:textFill>
                  <w14:solidFill>
                    <w14:schemeClr w14:val="tx1"/>
                  </w14:solidFill>
                </w14:textFill>
              </w:rPr>
              <w:t>2.4万</w:t>
            </w:r>
            <w:r>
              <w:rPr>
                <w:rFonts w:hint="eastAsia"/>
                <w:bCs/>
                <w:iCs/>
                <w:color w:val="000000" w:themeColor="text1"/>
                <w:sz w:val="24"/>
                <w:lang w:val="en-US" w:eastAsia="zh-CN"/>
                <w14:textFill>
                  <w14:solidFill>
                    <w14:schemeClr w14:val="tx1"/>
                  </w14:solidFill>
                </w14:textFill>
              </w:rPr>
              <w:t>例</w:t>
            </w:r>
            <w:r>
              <w:rPr>
                <w:rFonts w:hint="eastAsia"/>
                <w:bCs/>
                <w:iCs/>
                <w:color w:val="000000" w:themeColor="text1"/>
                <w:sz w:val="24"/>
                <w14:textFill>
                  <w14:solidFill>
                    <w14:schemeClr w14:val="tx1"/>
                  </w14:solidFill>
                </w14:textFill>
              </w:rPr>
              <w:t>手术量</w:t>
            </w:r>
            <w:r>
              <w:rPr>
                <w:rFonts w:hint="eastAsia"/>
                <w:bCs/>
                <w:iCs/>
                <w:color w:val="000000" w:themeColor="text1"/>
                <w:sz w:val="24"/>
                <w:lang w:val="en-US" w:eastAsia="zh-CN"/>
                <w14:textFill>
                  <w14:solidFill>
                    <w14:schemeClr w14:val="tx1"/>
                  </w14:solidFill>
                </w14:textFill>
              </w:rPr>
              <w:t>有较快增长</w:t>
            </w:r>
            <w:r>
              <w:rPr>
                <w:rFonts w:hint="eastAsia"/>
                <w:bCs/>
                <w:iCs/>
                <w:color w:val="000000" w:themeColor="text1"/>
                <w:sz w:val="24"/>
                <w:lang w:eastAsia="zh-CN"/>
                <w14:textFill>
                  <w14:solidFill>
                    <w14:schemeClr w14:val="tx1"/>
                  </w14:solidFill>
                </w14:textFill>
              </w:rPr>
              <w:t>。</w:t>
            </w:r>
            <w:r>
              <w:rPr>
                <w:rFonts w:hint="eastAsia"/>
                <w:bCs/>
                <w:iCs/>
                <w:color w:val="000000" w:themeColor="text1"/>
                <w:sz w:val="24"/>
                <w14:textFill>
                  <w14:solidFill>
                    <w14:schemeClr w14:val="tx1"/>
                  </w14:solidFill>
                </w14:textFill>
              </w:rPr>
              <w:t>2</w:t>
            </w:r>
            <w:r>
              <w:rPr>
                <w:bCs/>
                <w:iCs/>
                <w:color w:val="000000" w:themeColor="text1"/>
                <w:sz w:val="24"/>
                <w14:textFill>
                  <w14:solidFill>
                    <w14:schemeClr w14:val="tx1"/>
                  </w14:solidFill>
                </w14:textFill>
              </w:rPr>
              <w:t>022</w:t>
            </w:r>
            <w:r>
              <w:rPr>
                <w:rFonts w:hint="eastAsia"/>
                <w:bCs/>
                <w:iCs/>
                <w:color w:val="000000" w:themeColor="text1"/>
                <w:sz w:val="24"/>
                <w14:textFill>
                  <w14:solidFill>
                    <w14:schemeClr w14:val="tx1"/>
                  </w14:solidFill>
                </w14:textFill>
              </w:rPr>
              <w:t>年，天玑系列骨科手术机器人全年手术量</w:t>
            </w:r>
            <w:r>
              <w:rPr>
                <w:rFonts w:hint="eastAsia"/>
                <w:bCs/>
                <w:iCs/>
                <w:color w:val="000000" w:themeColor="text1"/>
                <w:sz w:val="24"/>
                <w:lang w:val="en-US" w:eastAsia="zh-CN"/>
                <w14:textFill>
                  <w14:solidFill>
                    <w14:schemeClr w14:val="tx1"/>
                  </w14:solidFill>
                </w14:textFill>
              </w:rPr>
              <w:t>为超</w:t>
            </w:r>
            <w:r>
              <w:rPr>
                <w:rFonts w:hint="eastAsia"/>
                <w:bCs/>
                <w:iCs/>
                <w:color w:val="000000" w:themeColor="text1"/>
                <w:sz w:val="24"/>
                <w14:textFill>
                  <w14:solidFill>
                    <w14:schemeClr w14:val="tx1"/>
                  </w14:solidFill>
                </w14:textFill>
              </w:rPr>
              <w:t>1</w:t>
            </w:r>
            <w:r>
              <w:rPr>
                <w:bCs/>
                <w:iCs/>
                <w:color w:val="000000" w:themeColor="text1"/>
                <w:sz w:val="24"/>
                <w14:textFill>
                  <w14:solidFill>
                    <w14:schemeClr w14:val="tx1"/>
                  </w14:solidFill>
                </w14:textFill>
              </w:rPr>
              <w:t>.2</w:t>
            </w:r>
            <w:r>
              <w:rPr>
                <w:rFonts w:hint="eastAsia"/>
                <w:bCs/>
                <w:iCs/>
                <w:color w:val="000000" w:themeColor="text1"/>
                <w:sz w:val="24"/>
                <w14:textFill>
                  <w14:solidFill>
                    <w14:schemeClr w14:val="tx1"/>
                  </w14:solidFill>
                </w14:textFill>
              </w:rPr>
              <w:t>万例。2025年一季度手术量已完成超</w:t>
            </w:r>
            <w:r>
              <w:rPr>
                <w:rFonts w:hint="eastAsia"/>
                <w:bCs/>
                <w:iCs/>
                <w:color w:val="000000" w:themeColor="text1"/>
                <w:sz w:val="24"/>
                <w:lang w:val="en-US" w:eastAsia="zh-CN"/>
                <w14:textFill>
                  <w14:solidFill>
                    <w14:schemeClr w14:val="tx1"/>
                  </w14:solidFill>
                </w14:textFill>
              </w:rPr>
              <w:t>1.1万</w:t>
            </w:r>
            <w:r>
              <w:rPr>
                <w:rFonts w:hint="eastAsia"/>
                <w:bCs/>
                <w:iCs/>
                <w:color w:val="000000" w:themeColor="text1"/>
                <w:sz w:val="24"/>
                <w14:textFill>
                  <w14:solidFill>
                    <w14:schemeClr w14:val="tx1"/>
                  </w14:solidFill>
                </w14:textFill>
              </w:rPr>
              <w:t>例。目前公司骨科手术机器人产品已进入全国31个省、自治区和直辖市的200余家医疗机构，累计手术量已突破1</w:t>
            </w:r>
            <w:r>
              <w:rPr>
                <w:bCs/>
                <w:iCs/>
                <w:color w:val="000000" w:themeColor="text1"/>
                <w:sz w:val="24"/>
                <w14:textFill>
                  <w14:solidFill>
                    <w14:schemeClr w14:val="tx1"/>
                  </w14:solidFill>
                </w14:textFill>
              </w:rPr>
              <w:t>1</w:t>
            </w:r>
            <w:r>
              <w:rPr>
                <w:rFonts w:hint="eastAsia"/>
                <w:bCs/>
                <w:iCs/>
                <w:color w:val="000000" w:themeColor="text1"/>
                <w:sz w:val="24"/>
                <w14:textFill>
                  <w14:solidFill>
                    <w14:schemeClr w14:val="tx1"/>
                  </w14:solidFill>
                </w14:textFill>
              </w:rPr>
              <w:t>万例。</w:t>
            </w:r>
          </w:p>
          <w:p w14:paraId="373EF09C">
            <w:pPr>
              <w:tabs>
                <w:tab w:val="left" w:pos="312"/>
                <w:tab w:val="left" w:pos="3415"/>
              </w:tabs>
              <w:spacing w:before="156" w:beforeLines="50" w:line="440" w:lineRule="exact"/>
              <w:rPr>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骨科手术机器人手术量是最能体现骨科手术机器人公司的产品力、商业能力、服务能力、可持续发展能力的综合指标。公司坚持以市场需求为导向，强化以临床支持服务为抓手，提升医生在临床手术中的获得感，以及患者的获益，以此带动设备使用量的提升。</w:t>
            </w:r>
          </w:p>
          <w:p w14:paraId="1ADC04B4">
            <w:pPr>
              <w:pStyle w:val="20"/>
              <w:numPr>
                <w:ilvl w:val="0"/>
                <w:numId w:val="1"/>
              </w:numPr>
              <w:tabs>
                <w:tab w:val="left" w:pos="312"/>
                <w:tab w:val="left" w:pos="3415"/>
              </w:tabs>
              <w:spacing w:before="156" w:beforeLines="50" w:line="440" w:lineRule="exact"/>
              <w:ind w:firstLineChars="0"/>
              <w:rPr>
                <w:bCs/>
                <w:iCs/>
                <w:color w:val="000000" w:themeColor="text1"/>
                <w:sz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天智航的产品可否应用于远程手术？</w:t>
            </w:r>
          </w:p>
          <w:p w14:paraId="515DFC30">
            <w:pPr>
              <w:tabs>
                <w:tab w:val="left" w:pos="312"/>
                <w:tab w:val="left" w:pos="3415"/>
              </w:tabs>
              <w:spacing w:before="156" w:beforeLines="50" w:line="440" w:lineRule="exact"/>
              <w:rPr>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在机器人远程手术应用方面，早在2006年突破了远程规划、机器人操作、安全监控等技术，完成了我国首例骨科机器人远程手术，北京专家通过远程骨科机器人辅助手术系统，为延安市的一名患者实施了胫骨骨折内固定术。2019年在国际上率先开展5G骨科机器人多中心远程手术(北京、山东烟台、浙江嘉兴)，至今已积累了</w:t>
            </w:r>
            <w:r>
              <w:rPr>
                <w:bCs/>
                <w:iCs/>
                <w:color w:val="000000" w:themeColor="text1"/>
                <w:sz w:val="24"/>
                <w14:textFill>
                  <w14:solidFill>
                    <w14:schemeClr w14:val="tx1"/>
                  </w14:solidFill>
                </w14:textFill>
              </w:rPr>
              <w:t>10</w:t>
            </w:r>
            <w:r>
              <w:rPr>
                <w:rFonts w:hint="eastAsia"/>
                <w:bCs/>
                <w:iCs/>
                <w:color w:val="000000" w:themeColor="text1"/>
                <w:sz w:val="24"/>
                <w14:textFill>
                  <w14:solidFill>
                    <w14:schemeClr w14:val="tx1"/>
                  </w14:solidFill>
                </w14:textFill>
              </w:rPr>
              <w:t>00余例</w:t>
            </w:r>
            <w:bookmarkStart w:id="0" w:name="_GoBack"/>
            <w:bookmarkEnd w:id="0"/>
            <w:r>
              <w:rPr>
                <w:rFonts w:hint="eastAsia"/>
                <w:bCs/>
                <w:iCs/>
                <w:color w:val="000000" w:themeColor="text1"/>
                <w:sz w:val="24"/>
                <w14:textFill>
                  <w14:solidFill>
                    <w14:schemeClr w14:val="tx1"/>
                  </w14:solidFill>
                </w14:textFill>
              </w:rPr>
              <w:t>远程骨科机器人手术实操经验。</w:t>
            </w:r>
          </w:p>
          <w:p w14:paraId="61A27480">
            <w:pPr>
              <w:tabs>
                <w:tab w:val="left" w:pos="312"/>
                <w:tab w:val="left" w:pos="3415"/>
              </w:tabs>
              <w:spacing w:before="156" w:beforeLines="50" w:line="440" w:lineRule="exact"/>
              <w:rPr>
                <w:rFonts w:hint="eastAsia"/>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机器人远程手术可以充分发挥上级医院的专家经验，帮助基层医生快速地掌握骨科手术机器人的操作技术，开展更广泛的手术应用，助力优质医疗资源下沉。</w:t>
            </w:r>
          </w:p>
          <w:p w14:paraId="3895890A">
            <w:pPr>
              <w:pStyle w:val="20"/>
              <w:numPr>
                <w:ilvl w:val="0"/>
                <w:numId w:val="1"/>
              </w:numPr>
              <w:tabs>
                <w:tab w:val="left" w:pos="312"/>
                <w:tab w:val="left" w:pos="3415"/>
              </w:tabs>
              <w:spacing w:before="156" w:beforeLines="50" w:line="440" w:lineRule="exact"/>
              <w:ind w:firstLineChars="0"/>
              <w:rPr>
                <w:bCs/>
                <w:iCs/>
                <w:color w:val="000000" w:themeColor="text1"/>
                <w:sz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天智航的研发人才背景情况？</w:t>
            </w:r>
          </w:p>
          <w:p w14:paraId="36737175">
            <w:pPr>
              <w:tabs>
                <w:tab w:val="left" w:pos="312"/>
                <w:tab w:val="left" w:pos="3415"/>
              </w:tabs>
              <w:spacing w:before="156" w:beforeLines="50" w:line="440" w:lineRule="exact"/>
              <w:rPr>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手术机器人行业属于技术密集型行业，机器人技术、计算机网络控制技术、数字图像处理技术、虚拟现实技术和医用外科技术的结合对于手术机器人产业十分重要，同时要注重与人机工程学、机械设计、软件控制、动力学等多学科技术交叉。</w:t>
            </w:r>
          </w:p>
          <w:p w14:paraId="460EF1A9">
            <w:pPr>
              <w:tabs>
                <w:tab w:val="left" w:pos="312"/>
                <w:tab w:val="left" w:pos="3415"/>
              </w:tabs>
              <w:spacing w:before="156" w:beforeLines="50" w:line="440" w:lineRule="exact"/>
              <w:rPr>
                <w:rFonts w:eastAsiaTheme="minorEastAsia"/>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公司拥有一支专业结构完整的高素质协同创新团队，覆盖机械、控制、软件、临床等医疗机器人研发相关专业，对涉及医用机器人产品标准制订、注册检测、临床试验和质量管理等医疗机器人产品研制与产业转化的各个环节具有丰富的实践经验。公司共有员工307人，拥有博士、硕士学历的人员90人。公司主要技术以自主研发为主，公司研发人员123人，占员工总数的40.07%，主要研发人员均来自境内外著名大学、科研院所、知名医院和医疗器械生产企业。</w:t>
            </w:r>
          </w:p>
        </w:tc>
      </w:tr>
      <w:tr w14:paraId="471F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966" w:type="dxa"/>
            <w:vAlign w:val="center"/>
          </w:tcPr>
          <w:p w14:paraId="5DD59084">
            <w:pPr>
              <w:spacing w:before="0" w:beforeLines="0" w:after="0" w:afterLines="0" w:line="360" w:lineRule="auto"/>
              <w:rPr>
                <w:rFonts w:hint="default" w:eastAsia="宋体"/>
                <w:b/>
                <w:bCs/>
                <w:iCs/>
                <w:color w:val="000000"/>
                <w:sz w:val="24"/>
                <w:lang w:val="en-US" w:eastAsia="zh-CN"/>
              </w:rPr>
            </w:pPr>
            <w:r>
              <w:rPr>
                <w:rFonts w:hint="eastAsia"/>
                <w:b/>
                <w:bCs/>
                <w:iCs/>
                <w:color w:val="000000"/>
                <w:sz w:val="24"/>
                <w:lang w:val="en-US" w:eastAsia="zh-CN"/>
              </w:rPr>
              <w:t>关于本次活动是否涉及应当披露重大信息的说明</w:t>
            </w:r>
          </w:p>
        </w:tc>
        <w:tc>
          <w:tcPr>
            <w:tcW w:w="6670" w:type="dxa"/>
          </w:tcPr>
          <w:p w14:paraId="24FAC00E">
            <w:pPr>
              <w:tabs>
                <w:tab w:val="left" w:pos="312"/>
                <w:tab w:val="left" w:pos="3415"/>
              </w:tabs>
              <w:spacing w:before="156" w:beforeLines="50" w:line="440" w:lineRule="exact"/>
              <w:rPr>
                <w:rFonts w:hint="eastAsia" w:eastAsia="宋体"/>
                <w:bCs/>
                <w:iCs/>
                <w:color w:val="000000" w:themeColor="text1"/>
                <w:sz w:val="24"/>
                <w:lang w:val="en-US" w:eastAsia="zh-CN"/>
                <w14:textFill>
                  <w14:solidFill>
                    <w14:schemeClr w14:val="tx1"/>
                  </w14:solidFill>
                </w14:textFill>
              </w:rPr>
            </w:pPr>
            <w:r>
              <w:rPr>
                <w:rFonts w:hint="eastAsia"/>
                <w:bCs/>
                <w:iCs/>
                <w:color w:val="000000" w:themeColor="text1"/>
                <w:sz w:val="24"/>
                <w:lang w:val="en-US" w:eastAsia="zh-CN"/>
                <w14:textFill>
                  <w14:solidFill>
                    <w14:schemeClr w14:val="tx1"/>
                  </w14:solidFill>
                </w14:textFill>
              </w:rPr>
              <w:t>不涉及</w:t>
            </w:r>
          </w:p>
        </w:tc>
      </w:tr>
    </w:tbl>
    <w:p w14:paraId="33F88ED0"/>
    <w:p w14:paraId="7928BECC">
      <w:pPr>
        <w:wordWrap w:val="0"/>
        <w:spacing w:line="360" w:lineRule="auto"/>
        <w:jc w:val="right"/>
        <w:rPr>
          <w:sz w:val="24"/>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D217A"/>
    <w:multiLevelType w:val="multilevel"/>
    <w:tmpl w:val="036D217A"/>
    <w:lvl w:ilvl="0" w:tentative="0">
      <w:start w:val="1"/>
      <w:numFmt w:val="decimal"/>
      <w:lvlText w:val="%1."/>
      <w:lvlJc w:val="left"/>
      <w:pPr>
        <w:ind w:left="360" w:hanging="360"/>
      </w:pPr>
      <w:rPr>
        <w:rFonts w:hint="default" w:ascii="Times New Roman" w:hAnsi="Times New Roman" w:cs="Times New Roman"/>
        <w:b/>
        <w:color w:val="000000" w:themeColor="text1"/>
        <w:sz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hZWRjZDdiODUwMmE2OTg3YmU2NTUyYzY2ZjNiNWMifQ=="/>
  </w:docVars>
  <w:rsids>
    <w:rsidRoot w:val="001B4B80"/>
    <w:rsid w:val="00005B18"/>
    <w:rsid w:val="0008744D"/>
    <w:rsid w:val="000A4CF7"/>
    <w:rsid w:val="000B18B3"/>
    <w:rsid w:val="000C0A26"/>
    <w:rsid w:val="000E4897"/>
    <w:rsid w:val="000F3CF3"/>
    <w:rsid w:val="00134C9D"/>
    <w:rsid w:val="001A7497"/>
    <w:rsid w:val="001B07A7"/>
    <w:rsid w:val="001B154C"/>
    <w:rsid w:val="001B4B80"/>
    <w:rsid w:val="001C299E"/>
    <w:rsid w:val="001D4EBB"/>
    <w:rsid w:val="001E4216"/>
    <w:rsid w:val="001E7F21"/>
    <w:rsid w:val="002016F8"/>
    <w:rsid w:val="00206C54"/>
    <w:rsid w:val="00297F92"/>
    <w:rsid w:val="002B5592"/>
    <w:rsid w:val="002C45E3"/>
    <w:rsid w:val="003012BB"/>
    <w:rsid w:val="00312374"/>
    <w:rsid w:val="00316E17"/>
    <w:rsid w:val="00340596"/>
    <w:rsid w:val="003B6EB3"/>
    <w:rsid w:val="003D5A99"/>
    <w:rsid w:val="003E3BBA"/>
    <w:rsid w:val="0040037C"/>
    <w:rsid w:val="00403F56"/>
    <w:rsid w:val="00424627"/>
    <w:rsid w:val="004404C9"/>
    <w:rsid w:val="00460623"/>
    <w:rsid w:val="00485151"/>
    <w:rsid w:val="004955B7"/>
    <w:rsid w:val="004E2B24"/>
    <w:rsid w:val="0050262E"/>
    <w:rsid w:val="00523FBF"/>
    <w:rsid w:val="005272DE"/>
    <w:rsid w:val="005539F4"/>
    <w:rsid w:val="00557186"/>
    <w:rsid w:val="00583715"/>
    <w:rsid w:val="00592830"/>
    <w:rsid w:val="005C6828"/>
    <w:rsid w:val="005D5923"/>
    <w:rsid w:val="005E0D2E"/>
    <w:rsid w:val="00620DA6"/>
    <w:rsid w:val="00626F24"/>
    <w:rsid w:val="00644AC9"/>
    <w:rsid w:val="00647BAE"/>
    <w:rsid w:val="00651F77"/>
    <w:rsid w:val="006656B1"/>
    <w:rsid w:val="006B2AEB"/>
    <w:rsid w:val="006B5B94"/>
    <w:rsid w:val="006D40CB"/>
    <w:rsid w:val="006E11D4"/>
    <w:rsid w:val="006F32A2"/>
    <w:rsid w:val="007271F9"/>
    <w:rsid w:val="00736448"/>
    <w:rsid w:val="007578EE"/>
    <w:rsid w:val="00782C7A"/>
    <w:rsid w:val="00786945"/>
    <w:rsid w:val="007958EB"/>
    <w:rsid w:val="007B0C56"/>
    <w:rsid w:val="007C702B"/>
    <w:rsid w:val="007C7416"/>
    <w:rsid w:val="007D50EC"/>
    <w:rsid w:val="008927B3"/>
    <w:rsid w:val="00893AD5"/>
    <w:rsid w:val="008B0F40"/>
    <w:rsid w:val="008B2E28"/>
    <w:rsid w:val="008B564E"/>
    <w:rsid w:val="008C2A9F"/>
    <w:rsid w:val="008E4F29"/>
    <w:rsid w:val="008F2321"/>
    <w:rsid w:val="00942624"/>
    <w:rsid w:val="0094450D"/>
    <w:rsid w:val="0095680F"/>
    <w:rsid w:val="00967220"/>
    <w:rsid w:val="00991A6E"/>
    <w:rsid w:val="00994191"/>
    <w:rsid w:val="009B4D70"/>
    <w:rsid w:val="009D0EF9"/>
    <w:rsid w:val="00A03331"/>
    <w:rsid w:val="00A1087E"/>
    <w:rsid w:val="00A453E6"/>
    <w:rsid w:val="00AD78E6"/>
    <w:rsid w:val="00B32AA5"/>
    <w:rsid w:val="00B55A7E"/>
    <w:rsid w:val="00B62A3A"/>
    <w:rsid w:val="00B74412"/>
    <w:rsid w:val="00B9238F"/>
    <w:rsid w:val="00BB09A6"/>
    <w:rsid w:val="00C0785C"/>
    <w:rsid w:val="00C12530"/>
    <w:rsid w:val="00C20BD1"/>
    <w:rsid w:val="00C5338F"/>
    <w:rsid w:val="00C75E49"/>
    <w:rsid w:val="00D32B65"/>
    <w:rsid w:val="00D413F7"/>
    <w:rsid w:val="00D43DDE"/>
    <w:rsid w:val="00D4615D"/>
    <w:rsid w:val="00D529C9"/>
    <w:rsid w:val="00D67D66"/>
    <w:rsid w:val="00D92149"/>
    <w:rsid w:val="00D960C0"/>
    <w:rsid w:val="00DB0C08"/>
    <w:rsid w:val="00DB282A"/>
    <w:rsid w:val="00DE7F1F"/>
    <w:rsid w:val="00E14F93"/>
    <w:rsid w:val="00E26254"/>
    <w:rsid w:val="00E45A7E"/>
    <w:rsid w:val="00E93BD4"/>
    <w:rsid w:val="00ED5CC1"/>
    <w:rsid w:val="00EE4F50"/>
    <w:rsid w:val="00F27A94"/>
    <w:rsid w:val="00F4652D"/>
    <w:rsid w:val="00F5016E"/>
    <w:rsid w:val="00F5631B"/>
    <w:rsid w:val="00F83274"/>
    <w:rsid w:val="00FA1EE8"/>
    <w:rsid w:val="00FA6C4A"/>
    <w:rsid w:val="00FC4508"/>
    <w:rsid w:val="00FD1CB8"/>
    <w:rsid w:val="00FF008E"/>
    <w:rsid w:val="00FF5504"/>
    <w:rsid w:val="00FF7441"/>
    <w:rsid w:val="019735D3"/>
    <w:rsid w:val="01D166CF"/>
    <w:rsid w:val="01E27A17"/>
    <w:rsid w:val="02E72534"/>
    <w:rsid w:val="03B43F97"/>
    <w:rsid w:val="04931375"/>
    <w:rsid w:val="04A77E0F"/>
    <w:rsid w:val="04C44220"/>
    <w:rsid w:val="054A1544"/>
    <w:rsid w:val="064B5BE4"/>
    <w:rsid w:val="071F6CCC"/>
    <w:rsid w:val="07BC764C"/>
    <w:rsid w:val="0945253F"/>
    <w:rsid w:val="09BC5583"/>
    <w:rsid w:val="0A6239F8"/>
    <w:rsid w:val="0A6F7A61"/>
    <w:rsid w:val="0B6B5CEB"/>
    <w:rsid w:val="0BE52999"/>
    <w:rsid w:val="0C8F7304"/>
    <w:rsid w:val="0D206EF1"/>
    <w:rsid w:val="100A1153"/>
    <w:rsid w:val="101E1199"/>
    <w:rsid w:val="108C7B5E"/>
    <w:rsid w:val="111F7E6B"/>
    <w:rsid w:val="11567032"/>
    <w:rsid w:val="12DE3A4B"/>
    <w:rsid w:val="13A51976"/>
    <w:rsid w:val="14136327"/>
    <w:rsid w:val="154D4706"/>
    <w:rsid w:val="15E63B99"/>
    <w:rsid w:val="15FD0C6C"/>
    <w:rsid w:val="18076468"/>
    <w:rsid w:val="196B1035"/>
    <w:rsid w:val="1A2A7CAB"/>
    <w:rsid w:val="1A3D5267"/>
    <w:rsid w:val="1A952EBF"/>
    <w:rsid w:val="1AD32090"/>
    <w:rsid w:val="1EA216C6"/>
    <w:rsid w:val="1EE5303C"/>
    <w:rsid w:val="1F7F3B84"/>
    <w:rsid w:val="20787D09"/>
    <w:rsid w:val="20E91E17"/>
    <w:rsid w:val="20FD3C97"/>
    <w:rsid w:val="2103029F"/>
    <w:rsid w:val="234350B8"/>
    <w:rsid w:val="2488481C"/>
    <w:rsid w:val="25C62E2A"/>
    <w:rsid w:val="25FE274E"/>
    <w:rsid w:val="27084A19"/>
    <w:rsid w:val="273D6B16"/>
    <w:rsid w:val="27952980"/>
    <w:rsid w:val="27AA398F"/>
    <w:rsid w:val="27F351E3"/>
    <w:rsid w:val="28221B0A"/>
    <w:rsid w:val="286D250C"/>
    <w:rsid w:val="28FE4889"/>
    <w:rsid w:val="293439FE"/>
    <w:rsid w:val="2A890273"/>
    <w:rsid w:val="2B8802B1"/>
    <w:rsid w:val="2BBD18CD"/>
    <w:rsid w:val="2D9C3769"/>
    <w:rsid w:val="2EEA5018"/>
    <w:rsid w:val="2FE73D65"/>
    <w:rsid w:val="2FF737D9"/>
    <w:rsid w:val="32BD7DE1"/>
    <w:rsid w:val="330D2E91"/>
    <w:rsid w:val="333E6F95"/>
    <w:rsid w:val="33412BDD"/>
    <w:rsid w:val="339B67E8"/>
    <w:rsid w:val="3498181D"/>
    <w:rsid w:val="34A4697C"/>
    <w:rsid w:val="34C75310"/>
    <w:rsid w:val="35861472"/>
    <w:rsid w:val="3603318D"/>
    <w:rsid w:val="36237913"/>
    <w:rsid w:val="37775881"/>
    <w:rsid w:val="37871D0A"/>
    <w:rsid w:val="379626C9"/>
    <w:rsid w:val="37B45995"/>
    <w:rsid w:val="37CE02AA"/>
    <w:rsid w:val="37DC2498"/>
    <w:rsid w:val="3874602A"/>
    <w:rsid w:val="38F11D61"/>
    <w:rsid w:val="3B8345F5"/>
    <w:rsid w:val="3C6D3C51"/>
    <w:rsid w:val="3D315A33"/>
    <w:rsid w:val="3E8B7DF9"/>
    <w:rsid w:val="409D605C"/>
    <w:rsid w:val="411130E9"/>
    <w:rsid w:val="41D636A0"/>
    <w:rsid w:val="41DF3CDD"/>
    <w:rsid w:val="42E12821"/>
    <w:rsid w:val="43B511B3"/>
    <w:rsid w:val="44A65DA6"/>
    <w:rsid w:val="45302862"/>
    <w:rsid w:val="456B24F5"/>
    <w:rsid w:val="46406C9A"/>
    <w:rsid w:val="46CD004A"/>
    <w:rsid w:val="480B00BA"/>
    <w:rsid w:val="48894B24"/>
    <w:rsid w:val="49947199"/>
    <w:rsid w:val="4A1A37D9"/>
    <w:rsid w:val="4A3361F4"/>
    <w:rsid w:val="4B096EDA"/>
    <w:rsid w:val="4B824E76"/>
    <w:rsid w:val="4D7508B3"/>
    <w:rsid w:val="4E895BC5"/>
    <w:rsid w:val="4FD369D5"/>
    <w:rsid w:val="50421E35"/>
    <w:rsid w:val="50887C84"/>
    <w:rsid w:val="50FD1E46"/>
    <w:rsid w:val="52CB1C51"/>
    <w:rsid w:val="532C4358"/>
    <w:rsid w:val="53B37738"/>
    <w:rsid w:val="55D70136"/>
    <w:rsid w:val="56F30668"/>
    <w:rsid w:val="58102406"/>
    <w:rsid w:val="58750F64"/>
    <w:rsid w:val="59301A97"/>
    <w:rsid w:val="59DD29BF"/>
    <w:rsid w:val="5A325814"/>
    <w:rsid w:val="5AFF4C9D"/>
    <w:rsid w:val="5B182AE8"/>
    <w:rsid w:val="5B477144"/>
    <w:rsid w:val="5D553EB0"/>
    <w:rsid w:val="5E105805"/>
    <w:rsid w:val="5E3C2204"/>
    <w:rsid w:val="5E695D70"/>
    <w:rsid w:val="5ED21787"/>
    <w:rsid w:val="5F471AC2"/>
    <w:rsid w:val="5FCB7576"/>
    <w:rsid w:val="5FFE018B"/>
    <w:rsid w:val="632534F4"/>
    <w:rsid w:val="634B13AE"/>
    <w:rsid w:val="63E63F2C"/>
    <w:rsid w:val="64CF52FE"/>
    <w:rsid w:val="6593536E"/>
    <w:rsid w:val="663208B5"/>
    <w:rsid w:val="66764F77"/>
    <w:rsid w:val="669C0D9A"/>
    <w:rsid w:val="67BB4F53"/>
    <w:rsid w:val="6A7722E5"/>
    <w:rsid w:val="6B654A73"/>
    <w:rsid w:val="6B7F7FFF"/>
    <w:rsid w:val="6B904981"/>
    <w:rsid w:val="6C0635FF"/>
    <w:rsid w:val="6DE76745"/>
    <w:rsid w:val="6E4A64C0"/>
    <w:rsid w:val="6EB02870"/>
    <w:rsid w:val="70EB475C"/>
    <w:rsid w:val="72A1585B"/>
    <w:rsid w:val="72A655BC"/>
    <w:rsid w:val="72F7369B"/>
    <w:rsid w:val="73F56676"/>
    <w:rsid w:val="7424250F"/>
    <w:rsid w:val="742451C0"/>
    <w:rsid w:val="75197380"/>
    <w:rsid w:val="766F4582"/>
    <w:rsid w:val="76E20CBC"/>
    <w:rsid w:val="77CC4474"/>
    <w:rsid w:val="78583DE5"/>
    <w:rsid w:val="789328D0"/>
    <w:rsid w:val="78B348AB"/>
    <w:rsid w:val="792A4D51"/>
    <w:rsid w:val="79C36A99"/>
    <w:rsid w:val="7A742C8C"/>
    <w:rsid w:val="7AFC261C"/>
    <w:rsid w:val="7B630DFC"/>
    <w:rsid w:val="7BB8348D"/>
    <w:rsid w:val="7BD46E25"/>
    <w:rsid w:val="7C385B5E"/>
    <w:rsid w:val="7D7E14C5"/>
    <w:rsid w:val="7D7F5600"/>
    <w:rsid w:val="7DB279D3"/>
    <w:rsid w:val="7E0D60CE"/>
    <w:rsid w:val="7E6F641C"/>
    <w:rsid w:val="7EBA13B9"/>
    <w:rsid w:val="7EDB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ascii="Arial" w:hAnsi="Arial" w:cs="Arial"/>
      <w:b/>
      <w:bCs/>
      <w:kern w:val="44"/>
      <w:sz w:val="44"/>
      <w:szCs w:val="44"/>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脚 字符"/>
    <w:basedOn w:val="10"/>
    <w:link w:val="5"/>
    <w:qFormat/>
    <w:uiPriority w:val="0"/>
    <w:rPr>
      <w:rFonts w:ascii="Times New Roman" w:hAnsi="Times New Roman" w:eastAsia="宋体" w:cs="Times New Roman"/>
      <w:sz w:val="18"/>
      <w:szCs w:val="18"/>
    </w:rPr>
  </w:style>
  <w:style w:type="paragraph" w:customStyle="1" w:styleId="14">
    <w:name w:val="005正文"/>
    <w:basedOn w:val="1"/>
    <w:link w:val="15"/>
    <w:qFormat/>
    <w:uiPriority w:val="0"/>
    <w:pPr>
      <w:spacing w:before="50" w:beforeLines="50" w:line="360" w:lineRule="auto"/>
      <w:ind w:firstLine="200" w:firstLineChars="200"/>
    </w:pPr>
    <w:rPr>
      <w:sz w:val="24"/>
      <w:szCs w:val="22"/>
    </w:rPr>
  </w:style>
  <w:style w:type="character" w:customStyle="1" w:styleId="15">
    <w:name w:val="005正文 Char"/>
    <w:link w:val="14"/>
    <w:qFormat/>
    <w:uiPriority w:val="0"/>
    <w:rPr>
      <w:rFonts w:ascii="Times New Roman" w:hAnsi="Times New Roman" w:eastAsia="宋体" w:cs="Times New Roman"/>
      <w:sz w:val="24"/>
    </w:rPr>
  </w:style>
  <w:style w:type="character" w:customStyle="1" w:styleId="16">
    <w:name w:val="页眉 字符"/>
    <w:basedOn w:val="10"/>
    <w:link w:val="6"/>
    <w:qFormat/>
    <w:uiPriority w:val="99"/>
    <w:rPr>
      <w:rFonts w:ascii="Times New Roman" w:hAnsi="Times New Roman" w:eastAsia="宋体" w:cs="Times New Roman"/>
      <w:sz w:val="18"/>
      <w:szCs w:val="18"/>
    </w:rPr>
  </w:style>
  <w:style w:type="character" w:customStyle="1" w:styleId="17">
    <w:name w:val="批注文字 字符"/>
    <w:basedOn w:val="10"/>
    <w:link w:val="3"/>
    <w:semiHidden/>
    <w:qFormat/>
    <w:uiPriority w:val="99"/>
    <w:rPr>
      <w:kern w:val="2"/>
      <w:sz w:val="21"/>
      <w:szCs w:val="24"/>
    </w:rPr>
  </w:style>
  <w:style w:type="character" w:customStyle="1" w:styleId="18">
    <w:name w:val="批注主题 字符"/>
    <w:basedOn w:val="17"/>
    <w:link w:val="7"/>
    <w:semiHidden/>
    <w:qFormat/>
    <w:uiPriority w:val="99"/>
    <w:rPr>
      <w:b/>
      <w:bCs/>
      <w:kern w:val="2"/>
      <w:sz w:val="21"/>
      <w:szCs w:val="24"/>
    </w:rPr>
  </w:style>
  <w:style w:type="character" w:customStyle="1" w:styleId="19">
    <w:name w:val="批注框文本 字符"/>
    <w:basedOn w:val="10"/>
    <w:link w:val="4"/>
    <w:semiHidden/>
    <w:qFormat/>
    <w:uiPriority w:val="99"/>
    <w:rPr>
      <w:kern w:val="2"/>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1">
    <w:name w:val="标题 1 字符"/>
    <w:basedOn w:val="10"/>
    <w:link w:val="2"/>
    <w:qFormat/>
    <w:uiPriority w:val="9"/>
    <w:rPr>
      <w:rFonts w:ascii="Arial" w:hAnsi="Arial" w:cs="Arial"/>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C4EE-94A4-4827-8F13-F36678811641}">
  <ds:schemaRefs/>
</ds:datastoreItem>
</file>

<file path=docProps/app.xml><?xml version="1.0" encoding="utf-8"?>
<Properties xmlns="http://schemas.openxmlformats.org/officeDocument/2006/extended-properties" xmlns:vt="http://schemas.openxmlformats.org/officeDocument/2006/docPropsVTypes">
  <Template>Normal</Template>
  <Company>北京天智航医疗科技股份有限公司</Company>
  <Pages>3</Pages>
  <Words>1290</Words>
  <Characters>1408</Characters>
  <Lines>10</Lines>
  <Paragraphs>3</Paragraphs>
  <TotalTime>10</TotalTime>
  <ScaleCrop>false</ScaleCrop>
  <LinksUpToDate>false</LinksUpToDate>
  <CharactersWithSpaces>1542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2020-09-07T06:34:00Z</dcterms:created>
  <dc:creator>gxc</dc:creator>
  <cp:lastModifiedBy>SXY</cp:lastModifiedBy>
  <cp:lastPrinted>2021-08-27T06:45:00Z</cp:lastPrinted>
  <dcterms:modified xsi:type="dcterms:W3CDTF">2025-05-26T07:46:25Z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90DE16ACF3AB4D95B10F49B446792421</vt:lpwstr>
  </property>
  <property fmtid="{D5CDD505-2E9C-101B-9397-08002B2CF9AE}" pid="4" name="KSOTemplateDocerSaveRecord">
    <vt:lpwstr>eyJoZGlkIjoiNjlhZWRjZDdiODUwMmE2OTg3YmU2NTUyYzY2ZjNiNWMiLCJ1c2VySWQiOiIxMDE2NDAzMjM2In0=</vt:lpwstr>
  </property>
</Properties>
</file>