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B8F" w:rsidRDefault="0011151D">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A47B8F" w:rsidRDefault="00A47B8F"/>
    <w:p w:rsidR="00A47B8F" w:rsidRDefault="00A47B8F"/>
    <w:p w:rsidR="00A47B8F" w:rsidRDefault="00A47B8F"/>
    <w:p w:rsidR="00A47B8F" w:rsidRDefault="00A47B8F"/>
    <w:p w:rsidR="00A47B8F" w:rsidRDefault="00A47B8F"/>
    <w:p w:rsidR="00A47B8F" w:rsidRDefault="00A47B8F"/>
    <w:p w:rsidR="00A47B8F" w:rsidRDefault="00A47B8F"/>
    <w:p w:rsidR="00A47B8F" w:rsidRDefault="00A47B8F"/>
    <w:p w:rsidR="00A47B8F" w:rsidRDefault="0011151D">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A47B8F" w:rsidRDefault="0011151D">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A47B8F" w:rsidRDefault="00A47B8F">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rsidR="00A47B8F" w:rsidRDefault="00A47B8F"/>
    <w:p w:rsidR="00A47B8F" w:rsidRDefault="00A47B8F"/>
    <w:p w:rsidR="00A47B8F" w:rsidRDefault="0011151D">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A47B8F" w:rsidRDefault="00A47B8F">
      <w:pPr>
        <w:jc w:val="center"/>
      </w:pPr>
    </w:p>
    <w:p w:rsidR="00A47B8F" w:rsidRDefault="00A47B8F">
      <w:pPr>
        <w:autoSpaceDE w:val="0"/>
        <w:autoSpaceDN w:val="0"/>
        <w:adjustRightInd w:val="0"/>
        <w:rPr>
          <w:rFonts w:ascii="宋体" w:hAnsi="宋体" w:cs="黑体"/>
          <w:b/>
          <w:color w:val="000000"/>
          <w:kern w:val="0"/>
          <w:sz w:val="24"/>
        </w:rPr>
      </w:pPr>
    </w:p>
    <w:p w:rsidR="00A47B8F" w:rsidRDefault="00A47B8F">
      <w:pPr>
        <w:autoSpaceDE w:val="0"/>
        <w:autoSpaceDN w:val="0"/>
        <w:adjustRightInd w:val="0"/>
        <w:rPr>
          <w:rFonts w:ascii="宋体" w:hAnsi="宋体" w:cs="黑体"/>
          <w:b/>
          <w:color w:val="000000"/>
          <w:kern w:val="0"/>
          <w:sz w:val="24"/>
        </w:rPr>
      </w:pPr>
    </w:p>
    <w:p w:rsidR="00A47B8F" w:rsidRDefault="00A47B8F">
      <w:pPr>
        <w:autoSpaceDE w:val="0"/>
        <w:autoSpaceDN w:val="0"/>
        <w:adjustRightInd w:val="0"/>
        <w:spacing w:beforeLines="100" w:before="312"/>
        <w:rPr>
          <w:rFonts w:ascii="黑体" w:eastAsia="黑体" w:cs="黑体"/>
          <w:color w:val="000000"/>
          <w:kern w:val="0"/>
          <w:sz w:val="32"/>
          <w:szCs w:val="28"/>
        </w:rPr>
      </w:pPr>
    </w:p>
    <w:p w:rsidR="00A47B8F" w:rsidRDefault="00A47B8F">
      <w:pPr>
        <w:rPr>
          <w:rFonts w:ascii="黑体" w:eastAsia="黑体" w:cs="黑体"/>
          <w:sz w:val="32"/>
          <w:szCs w:val="28"/>
        </w:rPr>
      </w:pPr>
    </w:p>
    <w:p w:rsidR="00A47B8F" w:rsidRDefault="00A47B8F">
      <w:pPr>
        <w:rPr>
          <w:rFonts w:ascii="黑体" w:eastAsia="黑体" w:cs="黑体"/>
          <w:sz w:val="32"/>
          <w:szCs w:val="28"/>
        </w:rPr>
      </w:pPr>
    </w:p>
    <w:p w:rsidR="00A47B8F" w:rsidRDefault="00A47B8F">
      <w:pPr>
        <w:rPr>
          <w:rFonts w:ascii="黑体" w:eastAsia="黑体" w:cs="黑体"/>
          <w:sz w:val="32"/>
          <w:szCs w:val="28"/>
        </w:rPr>
      </w:pPr>
    </w:p>
    <w:p w:rsidR="00A47B8F" w:rsidRDefault="00A47B8F">
      <w:pPr>
        <w:rPr>
          <w:rFonts w:ascii="黑体" w:eastAsia="黑体" w:cs="黑体"/>
          <w:sz w:val="32"/>
          <w:szCs w:val="28"/>
        </w:rPr>
      </w:pPr>
    </w:p>
    <w:p w:rsidR="00A47B8F" w:rsidRDefault="00A47B8F">
      <w:pPr>
        <w:rPr>
          <w:rFonts w:ascii="黑体" w:eastAsia="黑体" w:cs="黑体"/>
          <w:sz w:val="32"/>
          <w:szCs w:val="28"/>
        </w:rPr>
      </w:pPr>
    </w:p>
    <w:p w:rsidR="00A47B8F" w:rsidRDefault="0011151D">
      <w:pPr>
        <w:widowControl/>
        <w:jc w:val="left"/>
        <w:rPr>
          <w:rFonts w:ascii="黑体" w:eastAsia="黑体" w:cs="黑体"/>
          <w:sz w:val="32"/>
          <w:szCs w:val="28"/>
        </w:rPr>
      </w:pPr>
      <w:r>
        <w:rPr>
          <w:rFonts w:ascii="黑体" w:eastAsia="黑体" w:cs="黑体"/>
          <w:sz w:val="32"/>
          <w:szCs w:val="28"/>
        </w:rPr>
        <w:br w:type="page"/>
      </w:r>
    </w:p>
    <w:p w:rsidR="00A47B8F" w:rsidRDefault="0011151D">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A47B8F" w:rsidRDefault="0011151D">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0"/>
      </w:tblGrid>
      <w:tr w:rsidR="00A47B8F">
        <w:trPr>
          <w:trHeight w:val="1474"/>
          <w:jc w:val="center"/>
        </w:trPr>
        <w:tc>
          <w:tcPr>
            <w:tcW w:w="1193" w:type="pct"/>
            <w:vAlign w:val="center"/>
          </w:tcPr>
          <w:p w:rsidR="00A47B8F" w:rsidRDefault="0011151D">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07" w:type="pct"/>
            <w:vAlign w:val="center"/>
          </w:tcPr>
          <w:p w:rsidR="00A47B8F" w:rsidRDefault="004F1380">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sidR="0011151D">
              <w:rPr>
                <w:rFonts w:ascii="宋体" w:hAnsi="Calibri" w:cs="宋体" w:hint="eastAsia"/>
                <w:color w:val="000000"/>
                <w:kern w:val="0"/>
                <w:sz w:val="24"/>
              </w:rPr>
              <w:t>公司现场接待     □电话接待</w:t>
            </w:r>
          </w:p>
          <w:p w:rsidR="00A47B8F" w:rsidRDefault="0011151D">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A47B8F" w:rsidRDefault="0011151D">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00A3"/>
            </w:r>
            <w:r>
              <w:rPr>
                <w:rFonts w:ascii="宋体" w:hAnsi="Calibri" w:cs="宋体" w:hint="eastAsia"/>
                <w:color w:val="000000"/>
                <w:kern w:val="0"/>
                <w:sz w:val="24"/>
              </w:rPr>
              <w:t>定期报告说明会   □重要公告说明会</w:t>
            </w:r>
          </w:p>
        </w:tc>
      </w:tr>
      <w:tr w:rsidR="00A47B8F" w:rsidTr="001B4D20">
        <w:trPr>
          <w:trHeight w:val="1904"/>
          <w:jc w:val="center"/>
        </w:trPr>
        <w:tc>
          <w:tcPr>
            <w:tcW w:w="1193" w:type="pct"/>
            <w:vAlign w:val="center"/>
          </w:tcPr>
          <w:p w:rsidR="00A47B8F" w:rsidRDefault="0011151D">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07" w:type="pct"/>
            <w:vAlign w:val="center"/>
          </w:tcPr>
          <w:p w:rsidR="00A47B8F" w:rsidRDefault="0011151D" w:rsidP="001B4D20">
            <w:pPr>
              <w:autoSpaceDE w:val="0"/>
              <w:autoSpaceDN w:val="0"/>
              <w:adjustRightInd w:val="0"/>
              <w:spacing w:line="460" w:lineRule="exact"/>
              <w:rPr>
                <w:kern w:val="0"/>
                <w:sz w:val="24"/>
              </w:rPr>
            </w:pPr>
            <w:r>
              <w:rPr>
                <w:rFonts w:hint="eastAsia"/>
                <w:kern w:val="0"/>
                <w:sz w:val="24"/>
              </w:rPr>
              <w:t>1</w:t>
            </w:r>
            <w:r>
              <w:rPr>
                <w:rFonts w:hint="eastAsia"/>
                <w:kern w:val="0"/>
                <w:sz w:val="24"/>
              </w:rPr>
              <w:t>、</w:t>
            </w:r>
            <w:r>
              <w:rPr>
                <w:rFonts w:hint="eastAsia"/>
                <w:kern w:val="0"/>
                <w:sz w:val="24"/>
              </w:rPr>
              <w:t>2025</w:t>
            </w:r>
            <w:r>
              <w:rPr>
                <w:rFonts w:hint="eastAsia"/>
                <w:kern w:val="0"/>
                <w:sz w:val="24"/>
              </w:rPr>
              <w:t>年</w:t>
            </w:r>
            <w:r>
              <w:rPr>
                <w:rFonts w:hint="eastAsia"/>
                <w:kern w:val="0"/>
                <w:sz w:val="24"/>
              </w:rPr>
              <w:t>5</w:t>
            </w:r>
            <w:r>
              <w:rPr>
                <w:rFonts w:hint="eastAsia"/>
                <w:kern w:val="0"/>
                <w:sz w:val="24"/>
              </w:rPr>
              <w:t>月</w:t>
            </w:r>
            <w:r>
              <w:rPr>
                <w:rFonts w:hint="eastAsia"/>
                <w:kern w:val="0"/>
                <w:sz w:val="24"/>
              </w:rPr>
              <w:t>26</w:t>
            </w:r>
            <w:r>
              <w:rPr>
                <w:rFonts w:hint="eastAsia"/>
                <w:kern w:val="0"/>
                <w:sz w:val="24"/>
              </w:rPr>
              <w:t>日</w:t>
            </w:r>
            <w:r>
              <w:rPr>
                <w:rFonts w:hint="eastAsia"/>
                <w:kern w:val="0"/>
                <w:sz w:val="24"/>
              </w:rPr>
              <w:t xml:space="preserve"> 9:00-10:30 </w:t>
            </w:r>
          </w:p>
          <w:p w:rsidR="00A47B8F" w:rsidRDefault="0011151D" w:rsidP="001B4D20">
            <w:pPr>
              <w:autoSpaceDE w:val="0"/>
              <w:autoSpaceDN w:val="0"/>
              <w:adjustRightInd w:val="0"/>
              <w:spacing w:line="460" w:lineRule="exact"/>
              <w:rPr>
                <w:kern w:val="0"/>
                <w:sz w:val="24"/>
              </w:rPr>
            </w:pPr>
            <w:r>
              <w:rPr>
                <w:rFonts w:hint="eastAsia"/>
                <w:kern w:val="0"/>
                <w:sz w:val="24"/>
              </w:rPr>
              <w:t>国海证券</w:t>
            </w:r>
          </w:p>
          <w:p w:rsidR="00A47B8F" w:rsidRDefault="0011151D" w:rsidP="001B4D20">
            <w:pPr>
              <w:autoSpaceDE w:val="0"/>
              <w:autoSpaceDN w:val="0"/>
              <w:adjustRightInd w:val="0"/>
              <w:spacing w:line="460" w:lineRule="exact"/>
              <w:rPr>
                <w:kern w:val="0"/>
                <w:sz w:val="24"/>
              </w:rPr>
            </w:pPr>
            <w:r>
              <w:rPr>
                <w:rFonts w:hint="eastAsia"/>
                <w:kern w:val="0"/>
                <w:sz w:val="24"/>
              </w:rPr>
              <w:t>2</w:t>
            </w:r>
            <w:r>
              <w:rPr>
                <w:rFonts w:hint="eastAsia"/>
                <w:kern w:val="0"/>
                <w:sz w:val="24"/>
              </w:rPr>
              <w:t>、</w:t>
            </w:r>
            <w:r>
              <w:rPr>
                <w:rFonts w:hint="eastAsia"/>
                <w:kern w:val="0"/>
                <w:sz w:val="24"/>
              </w:rPr>
              <w:t>2025</w:t>
            </w:r>
            <w:r>
              <w:rPr>
                <w:rFonts w:hint="eastAsia"/>
                <w:kern w:val="0"/>
                <w:sz w:val="24"/>
              </w:rPr>
              <w:t>年</w:t>
            </w:r>
            <w:r>
              <w:rPr>
                <w:rFonts w:hint="eastAsia"/>
                <w:kern w:val="0"/>
                <w:sz w:val="24"/>
              </w:rPr>
              <w:t>5</w:t>
            </w:r>
            <w:r>
              <w:rPr>
                <w:rFonts w:hint="eastAsia"/>
                <w:kern w:val="0"/>
                <w:sz w:val="24"/>
              </w:rPr>
              <w:t>月</w:t>
            </w:r>
            <w:r>
              <w:rPr>
                <w:rFonts w:hint="eastAsia"/>
                <w:kern w:val="0"/>
                <w:sz w:val="24"/>
              </w:rPr>
              <w:t>27</w:t>
            </w:r>
            <w:r>
              <w:rPr>
                <w:rFonts w:hint="eastAsia"/>
                <w:kern w:val="0"/>
                <w:sz w:val="24"/>
              </w:rPr>
              <w:t>日</w:t>
            </w:r>
            <w:r>
              <w:rPr>
                <w:rFonts w:hint="eastAsia"/>
                <w:kern w:val="0"/>
                <w:sz w:val="24"/>
              </w:rPr>
              <w:t xml:space="preserve"> 9:00-10:30 </w:t>
            </w:r>
          </w:p>
          <w:p w:rsidR="00A47B8F" w:rsidRDefault="0011151D" w:rsidP="001B4D20">
            <w:pPr>
              <w:autoSpaceDE w:val="0"/>
              <w:autoSpaceDN w:val="0"/>
              <w:adjustRightInd w:val="0"/>
              <w:spacing w:line="460" w:lineRule="exact"/>
              <w:rPr>
                <w:color w:val="000000"/>
                <w:kern w:val="0"/>
                <w:sz w:val="24"/>
              </w:rPr>
            </w:pPr>
            <w:proofErr w:type="gramStart"/>
            <w:r>
              <w:rPr>
                <w:rFonts w:hint="eastAsia"/>
                <w:kern w:val="0"/>
                <w:sz w:val="24"/>
              </w:rPr>
              <w:t>申万宏</w:t>
            </w:r>
            <w:proofErr w:type="gramEnd"/>
            <w:r>
              <w:rPr>
                <w:rFonts w:hint="eastAsia"/>
                <w:kern w:val="0"/>
                <w:sz w:val="24"/>
              </w:rPr>
              <w:t>源证券；平安养老</w:t>
            </w:r>
          </w:p>
        </w:tc>
      </w:tr>
      <w:tr w:rsidR="00A47B8F">
        <w:trPr>
          <w:trHeight w:val="567"/>
          <w:jc w:val="center"/>
        </w:trPr>
        <w:tc>
          <w:tcPr>
            <w:tcW w:w="1193" w:type="pct"/>
            <w:vAlign w:val="center"/>
          </w:tcPr>
          <w:p w:rsidR="00A47B8F" w:rsidRDefault="0011151D">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07" w:type="pct"/>
            <w:vAlign w:val="center"/>
          </w:tcPr>
          <w:p w:rsidR="00A47B8F" w:rsidRDefault="0011151D">
            <w:pPr>
              <w:autoSpaceDE w:val="0"/>
              <w:autoSpaceDN w:val="0"/>
              <w:adjustRightInd w:val="0"/>
              <w:rPr>
                <w:color w:val="000000"/>
                <w:kern w:val="0"/>
                <w:sz w:val="24"/>
              </w:rPr>
            </w:pPr>
            <w:r>
              <w:rPr>
                <w:rFonts w:hint="eastAsia"/>
                <w:kern w:val="0"/>
                <w:sz w:val="24"/>
              </w:rPr>
              <w:t>2025</w:t>
            </w:r>
            <w:r>
              <w:rPr>
                <w:rFonts w:hint="eastAsia"/>
                <w:kern w:val="0"/>
                <w:sz w:val="24"/>
              </w:rPr>
              <w:t>年</w:t>
            </w:r>
            <w:r>
              <w:rPr>
                <w:rFonts w:hint="eastAsia"/>
                <w:kern w:val="0"/>
                <w:sz w:val="24"/>
              </w:rPr>
              <w:t>5</w:t>
            </w:r>
            <w:r>
              <w:rPr>
                <w:rFonts w:hint="eastAsia"/>
                <w:kern w:val="0"/>
                <w:sz w:val="24"/>
              </w:rPr>
              <w:t>月</w:t>
            </w:r>
            <w:r>
              <w:rPr>
                <w:rFonts w:hint="eastAsia"/>
                <w:kern w:val="0"/>
                <w:sz w:val="24"/>
              </w:rPr>
              <w:t>26</w:t>
            </w:r>
            <w:r>
              <w:rPr>
                <w:rFonts w:hint="eastAsia"/>
                <w:kern w:val="0"/>
                <w:sz w:val="24"/>
              </w:rPr>
              <w:t>日、</w:t>
            </w:r>
            <w:r>
              <w:rPr>
                <w:rFonts w:hint="eastAsia"/>
                <w:kern w:val="0"/>
                <w:sz w:val="24"/>
              </w:rPr>
              <w:t>5</w:t>
            </w:r>
            <w:r>
              <w:rPr>
                <w:rFonts w:hint="eastAsia"/>
                <w:kern w:val="0"/>
                <w:sz w:val="24"/>
              </w:rPr>
              <w:t>月</w:t>
            </w:r>
            <w:r>
              <w:rPr>
                <w:rFonts w:hint="eastAsia"/>
                <w:kern w:val="0"/>
                <w:sz w:val="24"/>
              </w:rPr>
              <w:t>27</w:t>
            </w:r>
            <w:r>
              <w:rPr>
                <w:rFonts w:hint="eastAsia"/>
                <w:kern w:val="0"/>
                <w:sz w:val="24"/>
              </w:rPr>
              <w:t>日</w:t>
            </w:r>
          </w:p>
        </w:tc>
      </w:tr>
      <w:tr w:rsidR="00A47B8F">
        <w:trPr>
          <w:trHeight w:val="567"/>
          <w:jc w:val="center"/>
        </w:trPr>
        <w:tc>
          <w:tcPr>
            <w:tcW w:w="1193" w:type="pct"/>
            <w:vAlign w:val="center"/>
          </w:tcPr>
          <w:p w:rsidR="00A47B8F" w:rsidRDefault="0011151D">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07" w:type="pct"/>
            <w:vAlign w:val="center"/>
          </w:tcPr>
          <w:p w:rsidR="00A47B8F" w:rsidRDefault="0011151D">
            <w:pPr>
              <w:autoSpaceDE w:val="0"/>
              <w:autoSpaceDN w:val="0"/>
              <w:adjustRightInd w:val="0"/>
              <w:rPr>
                <w:color w:val="000000"/>
                <w:kern w:val="0"/>
                <w:sz w:val="24"/>
              </w:rPr>
            </w:pPr>
            <w:r>
              <w:rPr>
                <w:rFonts w:hint="eastAsia"/>
                <w:color w:val="000000"/>
                <w:kern w:val="0"/>
                <w:sz w:val="24"/>
              </w:rPr>
              <w:t>公司会议室</w:t>
            </w:r>
          </w:p>
        </w:tc>
      </w:tr>
      <w:tr w:rsidR="00A47B8F" w:rsidTr="00D6006B">
        <w:trPr>
          <w:trHeight w:val="907"/>
          <w:jc w:val="center"/>
        </w:trPr>
        <w:tc>
          <w:tcPr>
            <w:tcW w:w="1193" w:type="pct"/>
            <w:vAlign w:val="center"/>
          </w:tcPr>
          <w:p w:rsidR="00A47B8F" w:rsidRDefault="0011151D">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807" w:type="pct"/>
            <w:vAlign w:val="center"/>
          </w:tcPr>
          <w:p w:rsidR="00A47B8F" w:rsidRDefault="0011151D">
            <w:pPr>
              <w:pStyle w:val="af5"/>
              <w:ind w:firstLineChars="0" w:firstLine="0"/>
              <w:rPr>
                <w:shd w:val="clear" w:color="auto" w:fill="auto"/>
              </w:rPr>
            </w:pPr>
            <w:r>
              <w:rPr>
                <w:rFonts w:hint="eastAsia"/>
                <w:shd w:val="clear" w:color="auto" w:fill="auto"/>
              </w:rPr>
              <w:t>董事长助理</w:t>
            </w:r>
            <w:r>
              <w:rPr>
                <w:rFonts w:hint="eastAsia"/>
                <w:shd w:val="clear" w:color="auto" w:fill="auto"/>
              </w:rPr>
              <w:t xml:space="preserve">   </w:t>
            </w:r>
            <w:r>
              <w:rPr>
                <w:rFonts w:hint="eastAsia"/>
                <w:shd w:val="clear" w:color="auto" w:fill="auto"/>
              </w:rPr>
              <w:t>孙志里先生</w:t>
            </w:r>
          </w:p>
        </w:tc>
      </w:tr>
      <w:tr w:rsidR="00A47B8F">
        <w:trPr>
          <w:trHeight w:val="5944"/>
          <w:jc w:val="center"/>
        </w:trPr>
        <w:tc>
          <w:tcPr>
            <w:tcW w:w="1193" w:type="pct"/>
            <w:vAlign w:val="center"/>
          </w:tcPr>
          <w:p w:rsidR="00A47B8F" w:rsidRDefault="0011151D">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807" w:type="pct"/>
          </w:tcPr>
          <w:p w:rsidR="00A47B8F" w:rsidRDefault="0011151D">
            <w:pPr>
              <w:pStyle w:val="af5"/>
              <w:numPr>
                <w:ilvl w:val="0"/>
                <w:numId w:val="1"/>
              </w:numPr>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派格</w:t>
            </w:r>
            <w:proofErr w:type="gramStart"/>
            <w:r>
              <w:rPr>
                <w:rFonts w:hint="eastAsia"/>
                <w:b/>
                <w:color w:val="000000" w:themeColor="text1"/>
                <w:szCs w:val="24"/>
                <w:shd w:val="clear" w:color="auto" w:fill="auto"/>
              </w:rPr>
              <w:t>宾目前</w:t>
            </w:r>
            <w:proofErr w:type="gramEnd"/>
            <w:r>
              <w:rPr>
                <w:rFonts w:hint="eastAsia"/>
                <w:b/>
                <w:color w:val="000000" w:themeColor="text1"/>
                <w:szCs w:val="24"/>
                <w:shd w:val="clear" w:color="auto" w:fill="auto"/>
              </w:rPr>
              <w:t>覆盖的医院数量有多少？</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答：派格</w:t>
            </w:r>
            <w:proofErr w:type="gramStart"/>
            <w:r>
              <w:rPr>
                <w:rFonts w:hint="eastAsia"/>
                <w:color w:val="000000" w:themeColor="text1"/>
                <w:szCs w:val="24"/>
                <w:shd w:val="clear" w:color="auto" w:fill="auto"/>
              </w:rPr>
              <w:t>宾目前</w:t>
            </w:r>
            <w:proofErr w:type="gramEnd"/>
            <w:r>
              <w:rPr>
                <w:rFonts w:hint="eastAsia"/>
                <w:color w:val="000000" w:themeColor="text1"/>
                <w:szCs w:val="24"/>
                <w:shd w:val="clear" w:color="auto" w:fill="auto"/>
              </w:rPr>
              <w:t>覆盖的医院和药房约</w:t>
            </w:r>
            <w:r>
              <w:rPr>
                <w:rFonts w:hint="eastAsia"/>
                <w:color w:val="000000" w:themeColor="text1"/>
                <w:szCs w:val="24"/>
                <w:shd w:val="clear" w:color="auto" w:fill="auto"/>
              </w:rPr>
              <w:t>3000</w:t>
            </w:r>
            <w:r>
              <w:rPr>
                <w:rFonts w:hint="eastAsia"/>
                <w:color w:val="000000" w:themeColor="text1"/>
                <w:szCs w:val="24"/>
                <w:shd w:val="clear" w:color="auto" w:fill="auto"/>
              </w:rPr>
              <w:t>多家。</w:t>
            </w:r>
          </w:p>
          <w:p w:rsidR="00A47B8F" w:rsidRDefault="007F025F">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长效</w:t>
            </w:r>
            <w:r w:rsidR="0011151D">
              <w:rPr>
                <w:rFonts w:hint="eastAsia"/>
                <w:b/>
                <w:bCs/>
                <w:color w:val="000000" w:themeColor="text1"/>
                <w:szCs w:val="24"/>
                <w:shd w:val="clear" w:color="auto" w:fill="auto"/>
              </w:rPr>
              <w:t>生长激素目前的上市审批进展如何？</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w:t>
            </w:r>
            <w:proofErr w:type="gramStart"/>
            <w:r>
              <w:rPr>
                <w:rFonts w:hint="eastAsia"/>
                <w:color w:val="000000" w:themeColor="text1"/>
                <w:szCs w:val="24"/>
                <w:shd w:val="clear" w:color="auto" w:fill="auto"/>
              </w:rPr>
              <w:t>怡</w:t>
            </w:r>
            <w:proofErr w:type="gramEnd"/>
            <w:r>
              <w:rPr>
                <w:rFonts w:hint="eastAsia"/>
                <w:color w:val="000000" w:themeColor="text1"/>
                <w:szCs w:val="24"/>
                <w:shd w:val="clear" w:color="auto" w:fill="auto"/>
              </w:rPr>
              <w:t>培生长激素注射液药品注册上市许可申请于</w:t>
            </w:r>
            <w:r>
              <w:rPr>
                <w:rFonts w:hint="eastAsia"/>
                <w:color w:val="000000" w:themeColor="text1"/>
                <w:szCs w:val="24"/>
                <w:shd w:val="clear" w:color="auto" w:fill="auto"/>
              </w:rPr>
              <w:t xml:space="preserve"> 2024</w:t>
            </w:r>
            <w:r>
              <w:rPr>
                <w:rFonts w:hint="eastAsia"/>
                <w:color w:val="000000" w:themeColor="text1"/>
                <w:szCs w:val="24"/>
                <w:shd w:val="clear" w:color="auto" w:fill="auto"/>
              </w:rPr>
              <w:t>年</w:t>
            </w:r>
            <w:r>
              <w:rPr>
                <w:rFonts w:hint="eastAsia"/>
                <w:color w:val="000000" w:themeColor="text1"/>
                <w:szCs w:val="24"/>
                <w:shd w:val="clear" w:color="auto" w:fill="auto"/>
              </w:rPr>
              <w:t>1</w:t>
            </w:r>
            <w:r>
              <w:rPr>
                <w:rFonts w:hint="eastAsia"/>
                <w:color w:val="000000" w:themeColor="text1"/>
                <w:szCs w:val="24"/>
                <w:shd w:val="clear" w:color="auto" w:fill="auto"/>
              </w:rPr>
              <w:t>月获得国家药监局受理，公司将根据有关规定及时履行信息披露义务。</w:t>
            </w:r>
          </w:p>
          <w:p w:rsidR="00A47B8F" w:rsidRDefault="0011151D">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公司后续的研发重点和方向？</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答：整体研究思路是围绕免疫及代谢领域，同时聚焦肝病领域加深、拓展研究。一方面，聚焦疾病本身，在小分子药物、抗体类药物领域，不断丰富和发展产品化技术平台；另一方面，在基因治疗领域，和九天</w:t>
            </w:r>
            <w:r w:rsidR="00CE39D5">
              <w:rPr>
                <w:rFonts w:hint="eastAsia"/>
                <w:color w:val="000000" w:themeColor="text1"/>
                <w:szCs w:val="24"/>
                <w:shd w:val="clear" w:color="auto" w:fill="auto"/>
              </w:rPr>
              <w:t>生</w:t>
            </w:r>
            <w:proofErr w:type="gramStart"/>
            <w:r w:rsidR="00CE39D5">
              <w:rPr>
                <w:rFonts w:hint="eastAsia"/>
                <w:color w:val="000000" w:themeColor="text1"/>
                <w:szCs w:val="24"/>
                <w:shd w:val="clear" w:color="auto" w:fill="auto"/>
              </w:rPr>
              <w:t>物</w:t>
            </w:r>
            <w:r>
              <w:rPr>
                <w:rFonts w:hint="eastAsia"/>
                <w:color w:val="000000" w:themeColor="text1"/>
                <w:szCs w:val="24"/>
                <w:shd w:val="clear" w:color="auto" w:fill="auto"/>
              </w:rPr>
              <w:t>展开</w:t>
            </w:r>
            <w:proofErr w:type="gramEnd"/>
            <w:r>
              <w:rPr>
                <w:rFonts w:hint="eastAsia"/>
                <w:color w:val="000000" w:themeColor="text1"/>
                <w:szCs w:val="24"/>
                <w:shd w:val="clear" w:color="auto" w:fill="auto"/>
              </w:rPr>
              <w:t>深入合作。公司希望从一个以产品和技术为中心的企业转变为一个能运用多平台、多工具、多手段解决疾病问题的企业。</w:t>
            </w:r>
          </w:p>
          <w:p w:rsidR="00A47B8F" w:rsidRDefault="0011151D">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lastRenderedPageBreak/>
              <w:t>公司目前销售团队的规模及拓展计划？</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答：目前公司销售人员约有</w:t>
            </w:r>
            <w:r>
              <w:rPr>
                <w:rFonts w:hint="eastAsia"/>
                <w:color w:val="000000" w:themeColor="text1"/>
                <w:szCs w:val="24"/>
                <w:shd w:val="clear" w:color="auto" w:fill="auto"/>
              </w:rPr>
              <w:t>1000</w:t>
            </w:r>
            <w:r>
              <w:rPr>
                <w:rFonts w:hint="eastAsia"/>
                <w:color w:val="000000" w:themeColor="text1"/>
                <w:szCs w:val="24"/>
                <w:shd w:val="clear" w:color="auto" w:fill="auto"/>
              </w:rPr>
              <w:t>多人，后续公司将根据产品的推进计划合理配置销售团队。</w:t>
            </w:r>
          </w:p>
          <w:p w:rsidR="00A47B8F" w:rsidRDefault="0011151D">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九天</w:t>
            </w:r>
            <w:r w:rsidR="00B01911">
              <w:rPr>
                <w:rFonts w:hint="eastAsia"/>
                <w:b/>
                <w:bCs/>
                <w:color w:val="000000" w:themeColor="text1"/>
                <w:szCs w:val="24"/>
                <w:shd w:val="clear" w:color="auto" w:fill="auto"/>
              </w:rPr>
              <w:t>生</w:t>
            </w:r>
            <w:proofErr w:type="gramStart"/>
            <w:r w:rsidR="00B01911">
              <w:rPr>
                <w:rFonts w:hint="eastAsia"/>
                <w:b/>
                <w:bCs/>
                <w:color w:val="000000" w:themeColor="text1"/>
                <w:szCs w:val="24"/>
                <w:shd w:val="clear" w:color="auto" w:fill="auto"/>
              </w:rPr>
              <w:t>物</w:t>
            </w:r>
            <w:r>
              <w:rPr>
                <w:rFonts w:hint="eastAsia"/>
                <w:b/>
                <w:bCs/>
                <w:color w:val="000000" w:themeColor="text1"/>
                <w:szCs w:val="24"/>
                <w:shd w:val="clear" w:color="auto" w:fill="auto"/>
              </w:rPr>
              <w:t>目前</w:t>
            </w:r>
            <w:proofErr w:type="gramEnd"/>
            <w:r>
              <w:rPr>
                <w:rFonts w:hint="eastAsia"/>
                <w:b/>
                <w:bCs/>
                <w:color w:val="000000" w:themeColor="text1"/>
                <w:szCs w:val="24"/>
                <w:shd w:val="clear" w:color="auto" w:fill="auto"/>
              </w:rPr>
              <w:t>的收购进展？</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答：目前处于交割准备中。</w:t>
            </w:r>
          </w:p>
          <w:p w:rsidR="00A47B8F" w:rsidRDefault="0011151D">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公司的长效生长激素特点是什么？</w:t>
            </w:r>
          </w:p>
          <w:p w:rsidR="00A47B8F" w:rsidRDefault="0011151D">
            <w:pPr>
              <w:pStyle w:val="af5"/>
              <w:spacing w:beforeLines="50" w:before="156" w:afterLines="50" w:after="156"/>
              <w:ind w:firstLine="480"/>
              <w:rPr>
                <w:color w:val="000000" w:themeColor="text1"/>
                <w:szCs w:val="24"/>
                <w:shd w:val="clear" w:color="auto" w:fill="auto"/>
              </w:rPr>
            </w:pPr>
            <w:r>
              <w:rPr>
                <w:rFonts w:hint="eastAsia"/>
                <w:color w:val="000000" w:themeColor="text1"/>
                <w:szCs w:val="24"/>
                <w:shd w:val="clear" w:color="auto" w:fill="auto"/>
              </w:rPr>
              <w:t>答：公司的</w:t>
            </w:r>
            <w:bookmarkStart w:id="0" w:name="_GoBack"/>
            <w:bookmarkEnd w:id="0"/>
            <w:proofErr w:type="gramStart"/>
            <w:r>
              <w:rPr>
                <w:rFonts w:hint="eastAsia"/>
                <w:color w:val="000000" w:themeColor="text1"/>
                <w:szCs w:val="24"/>
                <w:shd w:val="clear" w:color="auto" w:fill="auto"/>
              </w:rPr>
              <w:t>怡</w:t>
            </w:r>
            <w:proofErr w:type="gramEnd"/>
            <w:r>
              <w:rPr>
                <w:rFonts w:hint="eastAsia"/>
                <w:color w:val="000000" w:themeColor="text1"/>
                <w:szCs w:val="24"/>
                <w:shd w:val="clear" w:color="auto" w:fill="auto"/>
              </w:rPr>
              <w:t>培生长激素注射液采用</w:t>
            </w:r>
            <w:r>
              <w:rPr>
                <w:rFonts w:hint="eastAsia"/>
                <w:color w:val="000000" w:themeColor="text1"/>
                <w:szCs w:val="24"/>
                <w:shd w:val="clear" w:color="auto" w:fill="auto"/>
              </w:rPr>
              <w:t>40kD</w:t>
            </w:r>
            <w:r w:rsidR="00D07344">
              <w:rPr>
                <w:color w:val="000000" w:themeColor="text1"/>
                <w:szCs w:val="24"/>
                <w:shd w:val="clear" w:color="auto" w:fill="auto"/>
              </w:rPr>
              <w:t xml:space="preserve"> </w:t>
            </w:r>
            <w:r>
              <w:rPr>
                <w:rFonts w:hint="eastAsia"/>
                <w:color w:val="000000" w:themeColor="text1"/>
                <w:szCs w:val="24"/>
                <w:shd w:val="clear" w:color="auto" w:fill="auto"/>
              </w:rPr>
              <w:t>Y</w:t>
            </w:r>
            <w:r>
              <w:rPr>
                <w:rFonts w:hint="eastAsia"/>
                <w:color w:val="000000" w:themeColor="text1"/>
                <w:szCs w:val="24"/>
                <w:shd w:val="clear" w:color="auto" w:fill="auto"/>
              </w:rPr>
              <w:t>型分支聚乙二醇（</w:t>
            </w:r>
            <w:r>
              <w:rPr>
                <w:rFonts w:hint="eastAsia"/>
                <w:color w:val="000000" w:themeColor="text1"/>
                <w:szCs w:val="24"/>
                <w:shd w:val="clear" w:color="auto" w:fill="auto"/>
              </w:rPr>
              <w:t>YPEG</w:t>
            </w:r>
            <w:r>
              <w:rPr>
                <w:rFonts w:hint="eastAsia"/>
                <w:color w:val="000000" w:themeColor="text1"/>
                <w:szCs w:val="24"/>
                <w:shd w:val="clear" w:color="auto" w:fill="auto"/>
              </w:rPr>
              <w:t>）分子对人生长激素（</w:t>
            </w:r>
            <w:r>
              <w:rPr>
                <w:rFonts w:hint="eastAsia"/>
                <w:color w:val="000000" w:themeColor="text1"/>
                <w:szCs w:val="24"/>
                <w:shd w:val="clear" w:color="auto" w:fill="auto"/>
              </w:rPr>
              <w:t>rhGH</w:t>
            </w:r>
            <w:r>
              <w:rPr>
                <w:rFonts w:hint="eastAsia"/>
                <w:color w:val="000000" w:themeColor="text1"/>
                <w:szCs w:val="24"/>
                <w:shd w:val="clear" w:color="auto" w:fill="auto"/>
              </w:rPr>
              <w:t>）进行单分子修饰，</w:t>
            </w:r>
            <w:proofErr w:type="gramStart"/>
            <w:r>
              <w:rPr>
                <w:rFonts w:hint="eastAsia"/>
                <w:color w:val="000000" w:themeColor="text1"/>
                <w:szCs w:val="24"/>
                <w:shd w:val="clear" w:color="auto" w:fill="auto"/>
              </w:rPr>
              <w:t>优选高</w:t>
            </w:r>
            <w:proofErr w:type="gramEnd"/>
            <w:r>
              <w:rPr>
                <w:rFonts w:hint="eastAsia"/>
                <w:color w:val="000000" w:themeColor="text1"/>
                <w:szCs w:val="24"/>
                <w:shd w:val="clear" w:color="auto" w:fill="auto"/>
              </w:rPr>
              <w:t>生物学活性、非</w:t>
            </w:r>
            <w:r>
              <w:rPr>
                <w:rFonts w:hint="eastAsia"/>
                <w:color w:val="000000" w:themeColor="text1"/>
                <w:szCs w:val="24"/>
                <w:shd w:val="clear" w:color="auto" w:fill="auto"/>
              </w:rPr>
              <w:t>N-</w:t>
            </w:r>
            <w:r>
              <w:rPr>
                <w:rFonts w:hint="eastAsia"/>
                <w:color w:val="000000" w:themeColor="text1"/>
                <w:szCs w:val="24"/>
                <w:shd w:val="clear" w:color="auto" w:fill="auto"/>
              </w:rPr>
              <w:t>末端位点为主的修饰组分，在保证疗效的同时，进一步降低给药剂量，以获得更佳的长期药物安全性。</w:t>
            </w:r>
          </w:p>
          <w:p w:rsidR="00A47B8F" w:rsidRDefault="0011151D">
            <w:pPr>
              <w:pStyle w:val="af5"/>
              <w:numPr>
                <w:ilvl w:val="0"/>
                <w:numId w:val="1"/>
              </w:numPr>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乙肝创新疗法对派格宾的影响？</w:t>
            </w:r>
          </w:p>
          <w:p w:rsidR="00A47B8F" w:rsidRDefault="0011151D">
            <w:pPr>
              <w:pStyle w:val="af5"/>
              <w:spacing w:beforeLines="50" w:before="156" w:afterLines="50" w:after="156"/>
              <w:ind w:firstLine="480"/>
              <w:rPr>
                <w:szCs w:val="24"/>
                <w:shd w:val="clear" w:color="auto" w:fill="auto"/>
              </w:rPr>
            </w:pPr>
            <w:r>
              <w:rPr>
                <w:rFonts w:hint="eastAsia"/>
                <w:color w:val="000000" w:themeColor="text1"/>
                <w:szCs w:val="24"/>
                <w:shd w:val="clear" w:color="auto" w:fill="auto"/>
              </w:rPr>
              <w:t>答：从当前公开的乙肝治疗领域各个阶段的基础研究和临床研究可以观察到，新药联合治疗的探索明显加速，包括新药与新药联合、新药与现有药物的联合，这也将是未来乙肝全面临床治愈的重要策略。公司判断在慢乙肝治疗领域实现更高的临床治愈率和更短的治疗周期的过程中，新机制药物或新疗法将会更多地趋向联合。同时，基于过去十多年对整个技术领域的理解和</w:t>
            </w:r>
            <w:proofErr w:type="gramStart"/>
            <w:r>
              <w:rPr>
                <w:rFonts w:hint="eastAsia"/>
                <w:color w:val="000000" w:themeColor="text1"/>
                <w:szCs w:val="24"/>
                <w:shd w:val="clear" w:color="auto" w:fill="auto"/>
              </w:rPr>
              <w:t>考量</w:t>
            </w:r>
            <w:proofErr w:type="gramEnd"/>
            <w:r>
              <w:rPr>
                <w:rFonts w:hint="eastAsia"/>
                <w:color w:val="000000" w:themeColor="text1"/>
                <w:szCs w:val="24"/>
                <w:shd w:val="clear" w:color="auto" w:fill="auto"/>
              </w:rPr>
              <w:t>，公司认为核苷酸类似物和免疫调节剂（聚乙二醇干扰素）目前看仍是乙肝临床治愈的基石，未来将会有更多新机制的药物联合核苷酸类似物和长效干扰素实现乙肝临床治愈。</w:t>
            </w:r>
          </w:p>
        </w:tc>
      </w:tr>
      <w:tr w:rsidR="00A47B8F">
        <w:trPr>
          <w:trHeight w:val="2041"/>
          <w:jc w:val="center"/>
        </w:trPr>
        <w:tc>
          <w:tcPr>
            <w:tcW w:w="1193" w:type="pct"/>
            <w:vAlign w:val="center"/>
          </w:tcPr>
          <w:p w:rsidR="00A47B8F" w:rsidRDefault="0011151D">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807" w:type="pct"/>
            <w:vAlign w:val="center"/>
          </w:tcPr>
          <w:p w:rsidR="00A47B8F" w:rsidRDefault="0011151D">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A47B8F">
        <w:trPr>
          <w:trHeight w:val="567"/>
          <w:jc w:val="center"/>
        </w:trPr>
        <w:tc>
          <w:tcPr>
            <w:tcW w:w="1193" w:type="pct"/>
            <w:vAlign w:val="center"/>
          </w:tcPr>
          <w:p w:rsidR="00A47B8F" w:rsidRDefault="0011151D">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807" w:type="pct"/>
            <w:vAlign w:val="center"/>
          </w:tcPr>
          <w:p w:rsidR="00A47B8F" w:rsidRDefault="0011151D">
            <w:pPr>
              <w:jc w:val="left"/>
              <w:rPr>
                <w:rFonts w:ascii="宋体" w:hAnsi="宋体" w:cs="黑体"/>
                <w:color w:val="000000"/>
                <w:kern w:val="0"/>
                <w:sz w:val="24"/>
              </w:rPr>
            </w:pPr>
            <w:r>
              <w:rPr>
                <w:rFonts w:ascii="宋体" w:hAnsi="宋体" w:cs="黑体" w:hint="eastAsia"/>
                <w:color w:val="000000"/>
                <w:kern w:val="0"/>
                <w:sz w:val="24"/>
              </w:rPr>
              <w:t>无</w:t>
            </w:r>
          </w:p>
        </w:tc>
      </w:tr>
      <w:tr w:rsidR="00A47B8F">
        <w:trPr>
          <w:trHeight w:val="567"/>
          <w:jc w:val="center"/>
        </w:trPr>
        <w:tc>
          <w:tcPr>
            <w:tcW w:w="1193" w:type="pct"/>
            <w:vAlign w:val="center"/>
          </w:tcPr>
          <w:p w:rsidR="00A47B8F" w:rsidRDefault="0011151D">
            <w:pPr>
              <w:autoSpaceDE w:val="0"/>
              <w:autoSpaceDN w:val="0"/>
              <w:adjustRightInd w:val="0"/>
              <w:jc w:val="center"/>
              <w:rPr>
                <w:color w:val="000000"/>
                <w:kern w:val="0"/>
                <w:sz w:val="24"/>
              </w:rPr>
            </w:pPr>
            <w:r>
              <w:rPr>
                <w:rFonts w:hint="eastAsia"/>
                <w:color w:val="000000"/>
                <w:kern w:val="0"/>
                <w:sz w:val="24"/>
              </w:rPr>
              <w:t>日期</w:t>
            </w:r>
          </w:p>
        </w:tc>
        <w:tc>
          <w:tcPr>
            <w:tcW w:w="3807" w:type="pct"/>
            <w:vAlign w:val="center"/>
          </w:tcPr>
          <w:p w:rsidR="00A47B8F" w:rsidRDefault="0011151D">
            <w:pPr>
              <w:autoSpaceDE w:val="0"/>
              <w:autoSpaceDN w:val="0"/>
              <w:adjustRightInd w:val="0"/>
              <w:rPr>
                <w:color w:val="000000"/>
                <w:kern w:val="0"/>
                <w:sz w:val="24"/>
              </w:rPr>
            </w:pPr>
            <w:r>
              <w:rPr>
                <w:rFonts w:hint="eastAsia"/>
                <w:kern w:val="0"/>
                <w:sz w:val="24"/>
              </w:rPr>
              <w:t>2025</w:t>
            </w:r>
            <w:r>
              <w:rPr>
                <w:rFonts w:hint="eastAsia"/>
                <w:kern w:val="0"/>
                <w:sz w:val="24"/>
              </w:rPr>
              <w:t>年</w:t>
            </w:r>
            <w:r>
              <w:rPr>
                <w:rFonts w:hint="eastAsia"/>
                <w:kern w:val="0"/>
                <w:sz w:val="24"/>
              </w:rPr>
              <w:t>5</w:t>
            </w:r>
            <w:r>
              <w:rPr>
                <w:rFonts w:hint="eastAsia"/>
                <w:kern w:val="0"/>
                <w:sz w:val="24"/>
              </w:rPr>
              <w:t>月</w:t>
            </w:r>
            <w:r>
              <w:rPr>
                <w:rFonts w:hint="eastAsia"/>
                <w:kern w:val="0"/>
                <w:sz w:val="24"/>
              </w:rPr>
              <w:t>27</w:t>
            </w:r>
            <w:r>
              <w:rPr>
                <w:rFonts w:hint="eastAsia"/>
                <w:kern w:val="0"/>
                <w:sz w:val="24"/>
              </w:rPr>
              <w:t>日</w:t>
            </w:r>
          </w:p>
        </w:tc>
      </w:tr>
    </w:tbl>
    <w:p w:rsidR="00A47B8F" w:rsidRDefault="00A47B8F" w:rsidP="00524A95">
      <w:pPr>
        <w:spacing w:line="20" w:lineRule="exact"/>
        <w:rPr>
          <w:rFonts w:ascii="黑体" w:eastAsia="黑体" w:cs="黑体"/>
          <w:color w:val="000000"/>
          <w:kern w:val="0"/>
          <w:sz w:val="28"/>
          <w:szCs w:val="28"/>
        </w:rPr>
      </w:pPr>
    </w:p>
    <w:sectPr w:rsidR="00A47B8F">
      <w:footerReference w:type="default" r:id="rId9"/>
      <w:headerReference w:type="first" r:id="rId10"/>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97" w:rsidRDefault="008E0197">
      <w:r>
        <w:separator/>
      </w:r>
    </w:p>
  </w:endnote>
  <w:endnote w:type="continuationSeparator" w:id="0">
    <w:p w:rsidR="008E0197" w:rsidRDefault="008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A47B8F" w:rsidRDefault="0011151D">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97" w:rsidRDefault="008E0197">
      <w:r>
        <w:separator/>
      </w:r>
    </w:p>
  </w:footnote>
  <w:footnote w:type="continuationSeparator" w:id="0">
    <w:p w:rsidR="008E0197" w:rsidRDefault="008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B8F" w:rsidRDefault="00A47B8F">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4D95F5"/>
    <w:multiLevelType w:val="singleLevel"/>
    <w:tmpl w:val="ED4D95F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AFC"/>
    <w:rsid w:val="00070B49"/>
    <w:rsid w:val="00070C9B"/>
    <w:rsid w:val="00072AED"/>
    <w:rsid w:val="000737BD"/>
    <w:rsid w:val="00073980"/>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151D"/>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308D"/>
    <w:rsid w:val="001740D4"/>
    <w:rsid w:val="00176017"/>
    <w:rsid w:val="00181046"/>
    <w:rsid w:val="0018270C"/>
    <w:rsid w:val="0018642C"/>
    <w:rsid w:val="00187E2D"/>
    <w:rsid w:val="00193544"/>
    <w:rsid w:val="0019387D"/>
    <w:rsid w:val="00193F35"/>
    <w:rsid w:val="00194A2E"/>
    <w:rsid w:val="00194F1B"/>
    <w:rsid w:val="001957FC"/>
    <w:rsid w:val="00195EA6"/>
    <w:rsid w:val="0019719E"/>
    <w:rsid w:val="001A13BD"/>
    <w:rsid w:val="001A2B51"/>
    <w:rsid w:val="001A2D15"/>
    <w:rsid w:val="001A45CF"/>
    <w:rsid w:val="001A5A3A"/>
    <w:rsid w:val="001B106B"/>
    <w:rsid w:val="001B1A85"/>
    <w:rsid w:val="001B4D20"/>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65AC"/>
    <w:rsid w:val="00237F33"/>
    <w:rsid w:val="00244884"/>
    <w:rsid w:val="00245DD8"/>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B56"/>
    <w:rsid w:val="003D089D"/>
    <w:rsid w:val="003D0A0D"/>
    <w:rsid w:val="003D1771"/>
    <w:rsid w:val="003D5D16"/>
    <w:rsid w:val="003D6191"/>
    <w:rsid w:val="003D67F2"/>
    <w:rsid w:val="003D7BBB"/>
    <w:rsid w:val="003E5DEA"/>
    <w:rsid w:val="003E7443"/>
    <w:rsid w:val="003F2F34"/>
    <w:rsid w:val="003F35EE"/>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771C"/>
    <w:rsid w:val="0048081E"/>
    <w:rsid w:val="004825D1"/>
    <w:rsid w:val="00487103"/>
    <w:rsid w:val="00487BE4"/>
    <w:rsid w:val="00495FA1"/>
    <w:rsid w:val="00496FAA"/>
    <w:rsid w:val="0049713B"/>
    <w:rsid w:val="004A0D66"/>
    <w:rsid w:val="004A4039"/>
    <w:rsid w:val="004A54F9"/>
    <w:rsid w:val="004B1618"/>
    <w:rsid w:val="004B1EFB"/>
    <w:rsid w:val="004B3754"/>
    <w:rsid w:val="004B56DD"/>
    <w:rsid w:val="004B5789"/>
    <w:rsid w:val="004B6536"/>
    <w:rsid w:val="004B7507"/>
    <w:rsid w:val="004C7620"/>
    <w:rsid w:val="004D0B61"/>
    <w:rsid w:val="004D1B89"/>
    <w:rsid w:val="004E0DAC"/>
    <w:rsid w:val="004E36D1"/>
    <w:rsid w:val="004E39D6"/>
    <w:rsid w:val="004E7C73"/>
    <w:rsid w:val="004E7D0F"/>
    <w:rsid w:val="004F1380"/>
    <w:rsid w:val="004F6F7B"/>
    <w:rsid w:val="004F746B"/>
    <w:rsid w:val="00500C73"/>
    <w:rsid w:val="00501352"/>
    <w:rsid w:val="005022E1"/>
    <w:rsid w:val="005026BE"/>
    <w:rsid w:val="0050598E"/>
    <w:rsid w:val="00506D5F"/>
    <w:rsid w:val="005100C2"/>
    <w:rsid w:val="00511D69"/>
    <w:rsid w:val="00511DAC"/>
    <w:rsid w:val="0051623C"/>
    <w:rsid w:val="0052053E"/>
    <w:rsid w:val="00523D66"/>
    <w:rsid w:val="00523FCE"/>
    <w:rsid w:val="00524345"/>
    <w:rsid w:val="005245A8"/>
    <w:rsid w:val="00524A95"/>
    <w:rsid w:val="00524F23"/>
    <w:rsid w:val="00533765"/>
    <w:rsid w:val="005427CD"/>
    <w:rsid w:val="005440D6"/>
    <w:rsid w:val="00544C9B"/>
    <w:rsid w:val="005518C5"/>
    <w:rsid w:val="00554239"/>
    <w:rsid w:val="00554A4B"/>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145B"/>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15C83"/>
    <w:rsid w:val="006206DF"/>
    <w:rsid w:val="006218D4"/>
    <w:rsid w:val="00621C1A"/>
    <w:rsid w:val="00622E68"/>
    <w:rsid w:val="00624174"/>
    <w:rsid w:val="006242EC"/>
    <w:rsid w:val="00624F16"/>
    <w:rsid w:val="00626705"/>
    <w:rsid w:val="00626D6F"/>
    <w:rsid w:val="00627697"/>
    <w:rsid w:val="006276EF"/>
    <w:rsid w:val="00632B02"/>
    <w:rsid w:val="006349DA"/>
    <w:rsid w:val="00634A0E"/>
    <w:rsid w:val="00635B1B"/>
    <w:rsid w:val="00637F0F"/>
    <w:rsid w:val="00640690"/>
    <w:rsid w:val="0064084A"/>
    <w:rsid w:val="006427F7"/>
    <w:rsid w:val="006473AC"/>
    <w:rsid w:val="00647405"/>
    <w:rsid w:val="006541E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6B5C"/>
    <w:rsid w:val="006A7E87"/>
    <w:rsid w:val="006B0B15"/>
    <w:rsid w:val="006B3051"/>
    <w:rsid w:val="006C0103"/>
    <w:rsid w:val="006C17FF"/>
    <w:rsid w:val="006C39CB"/>
    <w:rsid w:val="006C4DD9"/>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4742"/>
    <w:rsid w:val="00764C22"/>
    <w:rsid w:val="007667BE"/>
    <w:rsid w:val="00772C51"/>
    <w:rsid w:val="0077439A"/>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025F"/>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197"/>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06E8"/>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47B8F"/>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0B97"/>
    <w:rsid w:val="00AE2C8E"/>
    <w:rsid w:val="00AE35EF"/>
    <w:rsid w:val="00AE699F"/>
    <w:rsid w:val="00AF0792"/>
    <w:rsid w:val="00AF2564"/>
    <w:rsid w:val="00AF395D"/>
    <w:rsid w:val="00AF7C45"/>
    <w:rsid w:val="00B01911"/>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4654"/>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5786"/>
    <w:rsid w:val="00C17A94"/>
    <w:rsid w:val="00C17D61"/>
    <w:rsid w:val="00C23DFA"/>
    <w:rsid w:val="00C25035"/>
    <w:rsid w:val="00C33121"/>
    <w:rsid w:val="00C352F7"/>
    <w:rsid w:val="00C362CC"/>
    <w:rsid w:val="00C40ADD"/>
    <w:rsid w:val="00C43BC5"/>
    <w:rsid w:val="00C45C87"/>
    <w:rsid w:val="00C45CD2"/>
    <w:rsid w:val="00C525FE"/>
    <w:rsid w:val="00C54C20"/>
    <w:rsid w:val="00C611D2"/>
    <w:rsid w:val="00C612C6"/>
    <w:rsid w:val="00C619CF"/>
    <w:rsid w:val="00C664D6"/>
    <w:rsid w:val="00C7019F"/>
    <w:rsid w:val="00C7371C"/>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E39D5"/>
    <w:rsid w:val="00CF173A"/>
    <w:rsid w:val="00CF365D"/>
    <w:rsid w:val="00CF4BE4"/>
    <w:rsid w:val="00CF6510"/>
    <w:rsid w:val="00CF6CDC"/>
    <w:rsid w:val="00CF7445"/>
    <w:rsid w:val="00CF78D9"/>
    <w:rsid w:val="00D024FE"/>
    <w:rsid w:val="00D030A3"/>
    <w:rsid w:val="00D042B8"/>
    <w:rsid w:val="00D049E2"/>
    <w:rsid w:val="00D06C79"/>
    <w:rsid w:val="00D07344"/>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006B"/>
    <w:rsid w:val="00D658F8"/>
    <w:rsid w:val="00D70F20"/>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F79"/>
    <w:rsid w:val="00E13502"/>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202B"/>
    <w:rsid w:val="00EA3574"/>
    <w:rsid w:val="00EA3D9B"/>
    <w:rsid w:val="00EA58E6"/>
    <w:rsid w:val="00EA7F37"/>
    <w:rsid w:val="00EA7FF3"/>
    <w:rsid w:val="00EB14DA"/>
    <w:rsid w:val="00EB410A"/>
    <w:rsid w:val="00EB413C"/>
    <w:rsid w:val="00EB726D"/>
    <w:rsid w:val="00EC399C"/>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4C7D"/>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B5A3D"/>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2C96620"/>
    <w:rsid w:val="1C5D665B"/>
    <w:rsid w:val="1CBD53FA"/>
    <w:rsid w:val="1FDE283D"/>
    <w:rsid w:val="23C8760C"/>
    <w:rsid w:val="2DFFACD4"/>
    <w:rsid w:val="2E6B73DF"/>
    <w:rsid w:val="2FE5083E"/>
    <w:rsid w:val="39B22528"/>
    <w:rsid w:val="3D9787ED"/>
    <w:rsid w:val="3EA30D63"/>
    <w:rsid w:val="3EFE5DB0"/>
    <w:rsid w:val="3FF49A49"/>
    <w:rsid w:val="3FF77CA5"/>
    <w:rsid w:val="3FFB46EC"/>
    <w:rsid w:val="3FFF8DDB"/>
    <w:rsid w:val="3FFFA9F3"/>
    <w:rsid w:val="42294B17"/>
    <w:rsid w:val="438B1486"/>
    <w:rsid w:val="44FECC3D"/>
    <w:rsid w:val="451C1DA9"/>
    <w:rsid w:val="48FFD267"/>
    <w:rsid w:val="49F44C5D"/>
    <w:rsid w:val="4AAF17C9"/>
    <w:rsid w:val="4CB55BC5"/>
    <w:rsid w:val="4D73501E"/>
    <w:rsid w:val="4D75CE6C"/>
    <w:rsid w:val="4EF7B269"/>
    <w:rsid w:val="4F7A8BDA"/>
    <w:rsid w:val="53FDF3AF"/>
    <w:rsid w:val="57FA7859"/>
    <w:rsid w:val="57FFD977"/>
    <w:rsid w:val="5B9F4F84"/>
    <w:rsid w:val="5BBF714D"/>
    <w:rsid w:val="5BCD1546"/>
    <w:rsid w:val="5CF6C8F9"/>
    <w:rsid w:val="5D4E4F8E"/>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2850CE2"/>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5445C"/>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7198F"/>
  <w15:docId w15:val="{04DE906B-91A7-4C19-BEDB-FDB65784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B09BAB-D510-4758-90D8-1E79F914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184</Words>
  <Characters>1050</Characters>
  <Application>Microsoft Office Word</Application>
  <DocSecurity>0</DocSecurity>
  <Lines>8</Lines>
  <Paragraphs>2</Paragraphs>
  <ScaleCrop>false</ScaleCrop>
  <Company>微软中国</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P</cp:lastModifiedBy>
  <cp:revision>88</cp:revision>
  <dcterms:created xsi:type="dcterms:W3CDTF">2024-05-26T01:26:00Z</dcterms:created>
  <dcterms:modified xsi:type="dcterms:W3CDTF">2025-05-27T09:09:00Z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F328190499F24A3F993C632E41E8058C_13</vt:lpwstr>
  </property>
</Properties>
</file>