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B179">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投资者关系活动记录表</w:t>
      </w:r>
    </w:p>
    <w:p w14:paraId="07EDA65C">
      <w:pPr>
        <w:widowControl/>
        <w:jc w:val="center"/>
        <w:rPr>
          <w:rFonts w:ascii="宋体" w:hAnsi="宋体" w:eastAsia="宋体" w:cs="宋体"/>
          <w:b/>
          <w:bCs/>
          <w:color w:val="000000"/>
          <w:kern w:val="0"/>
          <w:sz w:val="28"/>
          <w:szCs w:val="28"/>
        </w:rPr>
      </w:pPr>
      <w:r>
        <w:rPr>
          <w:rFonts w:hint="eastAsia" w:ascii="Times New Roman" w:hAnsi="Times New Roman" w:eastAsia="宋体" w:cs="Times New Roman"/>
          <w:b/>
          <w:bCs/>
          <w:color w:val="000000"/>
          <w:kern w:val="0"/>
          <w:sz w:val="28"/>
          <w:szCs w:val="28"/>
        </w:rPr>
        <w:t>2</w:t>
      </w:r>
      <w:r>
        <w:rPr>
          <w:rFonts w:ascii="Times New Roman" w:hAnsi="Times New Roman" w:eastAsia="宋体" w:cs="Times New Roman"/>
          <w:b/>
          <w:bCs/>
          <w:color w:val="000000"/>
          <w:kern w:val="0"/>
          <w:sz w:val="28"/>
          <w:szCs w:val="28"/>
        </w:rPr>
        <w:t>02</w:t>
      </w:r>
      <w:r>
        <w:rPr>
          <w:rFonts w:hint="eastAsia" w:ascii="Times New Roman" w:hAnsi="Times New Roman" w:eastAsia="宋体" w:cs="Times New Roman"/>
          <w:b/>
          <w:bCs/>
          <w:color w:val="000000"/>
          <w:kern w:val="0"/>
          <w:sz w:val="28"/>
          <w:szCs w:val="28"/>
          <w:lang w:val="en-US" w:eastAsia="zh-CN"/>
        </w:rPr>
        <w:t>5</w:t>
      </w:r>
      <w:r>
        <w:rPr>
          <w:rFonts w:hint="eastAsia" w:ascii="宋体" w:hAnsi="宋体" w:eastAsia="宋体" w:cs="宋体"/>
          <w:b/>
          <w:bCs/>
          <w:color w:val="000000"/>
          <w:kern w:val="0"/>
          <w:sz w:val="28"/>
          <w:szCs w:val="28"/>
        </w:rPr>
        <w:t>年</w:t>
      </w:r>
      <w:r>
        <w:rPr>
          <w:rFonts w:hint="eastAsia" w:ascii="Times New Roman" w:hAnsi="Times New Roman" w:eastAsia="宋体" w:cs="Times New Roman"/>
          <w:b/>
          <w:bCs/>
          <w:color w:val="000000"/>
          <w:kern w:val="0"/>
          <w:sz w:val="28"/>
          <w:szCs w:val="28"/>
          <w:lang w:val="en-US" w:eastAsia="zh-CN"/>
        </w:rPr>
        <w:t>5</w:t>
      </w:r>
      <w:r>
        <w:rPr>
          <w:rFonts w:hint="eastAsia" w:ascii="宋体" w:hAnsi="宋体" w:eastAsia="宋体" w:cs="宋体"/>
          <w:b/>
          <w:bCs/>
          <w:color w:val="000000"/>
          <w:kern w:val="0"/>
          <w:sz w:val="28"/>
          <w:szCs w:val="28"/>
        </w:rPr>
        <w:t>月</w:t>
      </w:r>
    </w:p>
    <w:p w14:paraId="04EE1B8F">
      <w:pPr>
        <w:widowControl/>
        <w:jc w:val="left"/>
        <w:rPr>
          <w:rFonts w:ascii="宋体" w:hAnsi="宋体" w:eastAsia="宋体" w:cs="宋体"/>
          <w:kern w:val="0"/>
          <w:sz w:val="22"/>
        </w:rPr>
      </w:pPr>
      <w:r>
        <w:rPr>
          <w:rFonts w:hint="eastAsia" w:ascii="宋体" w:hAnsi="宋体" w:eastAsia="宋体" w:cs="宋体"/>
          <w:color w:val="000000"/>
          <w:kern w:val="0"/>
          <w:sz w:val="22"/>
        </w:rPr>
        <w:t xml:space="preserve">股票名称：智洋创新 </w:t>
      </w:r>
      <w:r>
        <w:rPr>
          <w:rFonts w:ascii="宋体" w:hAnsi="宋体" w:eastAsia="宋体" w:cs="宋体"/>
          <w:color w:val="000000"/>
          <w:kern w:val="0"/>
          <w:sz w:val="22"/>
        </w:rPr>
        <w:t xml:space="preserve">                                    </w:t>
      </w:r>
      <w:r>
        <w:rPr>
          <w:rFonts w:hint="eastAsia" w:ascii="宋体" w:hAnsi="宋体" w:eastAsia="宋体" w:cs="宋体"/>
          <w:color w:val="000000"/>
          <w:kern w:val="0"/>
          <w:sz w:val="22"/>
        </w:rPr>
        <w:t>股票代码：</w:t>
      </w:r>
      <w:r>
        <w:rPr>
          <w:rFonts w:ascii="Times New Roman" w:hAnsi="Times New Roman" w:eastAsia="宋体" w:cs="Times New Roman"/>
          <w:color w:val="000000"/>
          <w:kern w:val="0"/>
          <w:sz w:val="22"/>
        </w:rPr>
        <w:t xml:space="preserve">688191                   </w:t>
      </w:r>
    </w:p>
    <w:tbl>
      <w:tblPr>
        <w:tblStyle w:val="9"/>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800"/>
      </w:tblGrid>
      <w:tr w14:paraId="04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2756" w:type="dxa"/>
            <w:vAlign w:val="center"/>
          </w:tcPr>
          <w:p w14:paraId="73A52ABC">
            <w:pPr>
              <w:widowControl/>
              <w:jc w:val="center"/>
              <w:rPr>
                <w:rFonts w:ascii="宋体" w:hAnsi="宋体" w:eastAsia="宋体" w:cs="宋体"/>
                <w:b/>
                <w:bCs/>
                <w:color w:val="000000"/>
                <w:kern w:val="0"/>
                <w:sz w:val="22"/>
              </w:rPr>
            </w:pPr>
            <w:r>
              <w:rPr>
                <w:rFonts w:hint="eastAsia" w:ascii="宋体" w:hAnsi="宋体" w:eastAsia="宋体" w:cs="宋体"/>
                <w:color w:val="000000"/>
                <w:kern w:val="0"/>
                <w:sz w:val="22"/>
              </w:rPr>
              <w:t>投资者关系活动类别</w:t>
            </w:r>
          </w:p>
        </w:tc>
        <w:tc>
          <w:tcPr>
            <w:tcW w:w="5800" w:type="dxa"/>
            <w:vAlign w:val="center"/>
          </w:tcPr>
          <w:p w14:paraId="18BC7F43">
            <w:pPr>
              <w:widowControl/>
              <w:spacing w:line="480" w:lineRule="auto"/>
              <w:jc w:val="both"/>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特定对象调研</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分析师会议</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媒体采访</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业绩说明会</w:t>
            </w:r>
          </w:p>
          <w:p w14:paraId="48B750C4">
            <w:pPr>
              <w:widowControl/>
              <w:spacing w:line="480" w:lineRule="auto"/>
              <w:jc w:val="both"/>
              <w:rPr>
                <w:rFonts w:hint="eastAsia" w:ascii="宋体" w:hAnsi="宋体" w:eastAsia="宋体" w:cs="宋体"/>
                <w:kern w:val="0"/>
                <w:sz w:val="22"/>
                <w:lang w:eastAsia="zh-CN"/>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新闻发布会</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路演活动</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现场参观</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p>
        </w:tc>
      </w:tr>
      <w:tr w14:paraId="279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6" w:type="dxa"/>
            <w:vAlign w:val="center"/>
          </w:tcPr>
          <w:p w14:paraId="0F26B180">
            <w:pPr>
              <w:widowControl/>
              <w:jc w:val="center"/>
              <w:rPr>
                <w:rFonts w:ascii="宋体" w:hAnsi="宋体" w:eastAsia="宋体" w:cs="宋体"/>
                <w:b/>
                <w:bCs/>
                <w:kern w:val="0"/>
                <w:sz w:val="22"/>
              </w:rPr>
            </w:pPr>
            <w:r>
              <w:rPr>
                <w:rFonts w:hint="eastAsia" w:ascii="宋体" w:hAnsi="宋体" w:eastAsia="宋体" w:cs="宋体"/>
                <w:kern w:val="0"/>
                <w:sz w:val="22"/>
              </w:rPr>
              <w:t>参与单位名称及人员姓名</w:t>
            </w:r>
          </w:p>
        </w:tc>
        <w:tc>
          <w:tcPr>
            <w:tcW w:w="5800" w:type="dxa"/>
            <w:vAlign w:val="center"/>
          </w:tcPr>
          <w:p w14:paraId="55D85012">
            <w:pPr>
              <w:pStyle w:val="3"/>
              <w:numPr>
                <w:ilvl w:val="0"/>
                <w:numId w:val="1"/>
              </w:numPr>
              <w:ind w:left="0" w:leftChars="0" w:firstLine="0" w:firstLineChars="0"/>
              <w:rPr>
                <w:rFonts w:hint="eastAsia"/>
                <w:lang w:val="en-US" w:eastAsia="zh-CN"/>
              </w:rPr>
            </w:pPr>
            <w:r>
              <w:rPr>
                <w:rFonts w:hint="eastAsia"/>
                <w:lang w:val="en-US" w:eastAsia="zh-CN"/>
              </w:rPr>
              <w:t>民生证券：丁辰晖</w:t>
            </w:r>
          </w:p>
          <w:p w14:paraId="2529F282">
            <w:pPr>
              <w:pStyle w:val="3"/>
              <w:numPr>
                <w:ilvl w:val="0"/>
                <w:numId w:val="1"/>
              </w:numPr>
              <w:ind w:left="0" w:leftChars="0" w:firstLine="0" w:firstLineChars="0"/>
              <w:rPr>
                <w:rFonts w:hint="eastAsia"/>
                <w:lang w:val="en-US" w:eastAsia="zh-CN"/>
              </w:rPr>
            </w:pPr>
            <w:r>
              <w:rPr>
                <w:rFonts w:hint="eastAsia"/>
                <w:lang w:val="en-US" w:eastAsia="zh-CN"/>
              </w:rPr>
              <w:t>华夏基金：黄宗贤</w:t>
            </w:r>
          </w:p>
          <w:p w14:paraId="4F785CEA">
            <w:pPr>
              <w:pStyle w:val="3"/>
              <w:numPr>
                <w:ilvl w:val="0"/>
                <w:numId w:val="1"/>
              </w:numPr>
              <w:ind w:left="0" w:leftChars="0" w:firstLine="0" w:firstLineChars="0"/>
              <w:rPr>
                <w:rFonts w:hint="default"/>
                <w:lang w:val="en-US" w:eastAsia="zh-CN"/>
              </w:rPr>
            </w:pPr>
            <w:r>
              <w:rPr>
                <w:rFonts w:hint="eastAsia"/>
                <w:lang w:val="en-US" w:eastAsia="zh-CN"/>
              </w:rPr>
              <w:t>国泰君安资管：张晨洁</w:t>
            </w:r>
          </w:p>
          <w:p w14:paraId="7BBA4EFA">
            <w:pPr>
              <w:pStyle w:val="3"/>
              <w:numPr>
                <w:ilvl w:val="0"/>
                <w:numId w:val="1"/>
              </w:numPr>
              <w:ind w:left="0" w:leftChars="0" w:firstLine="0" w:firstLineChars="0"/>
              <w:rPr>
                <w:rFonts w:hint="default"/>
                <w:lang w:val="en-US" w:eastAsia="zh-CN"/>
              </w:rPr>
            </w:pPr>
            <w:r>
              <w:rPr>
                <w:rFonts w:hint="eastAsia"/>
                <w:lang w:val="en-US" w:eastAsia="zh-CN"/>
              </w:rPr>
              <w:t>朱雀基金：杨欣达</w:t>
            </w:r>
          </w:p>
          <w:p w14:paraId="023682F4">
            <w:pPr>
              <w:pStyle w:val="3"/>
              <w:numPr>
                <w:ilvl w:val="0"/>
                <w:numId w:val="1"/>
              </w:numPr>
              <w:ind w:left="0" w:leftChars="0" w:firstLine="0" w:firstLineChars="0"/>
              <w:rPr>
                <w:rFonts w:hint="default"/>
                <w:lang w:val="en-US" w:eastAsia="zh-CN"/>
              </w:rPr>
            </w:pPr>
            <w:r>
              <w:rPr>
                <w:rFonts w:hint="eastAsia"/>
                <w:lang w:val="en-US" w:eastAsia="zh-CN"/>
              </w:rPr>
              <w:t>富安达：路旭</w:t>
            </w:r>
          </w:p>
          <w:p w14:paraId="3872E7C7">
            <w:pPr>
              <w:pStyle w:val="3"/>
              <w:numPr>
                <w:ilvl w:val="0"/>
                <w:numId w:val="1"/>
              </w:numPr>
              <w:ind w:left="0" w:leftChars="0" w:firstLine="0" w:firstLineChars="0"/>
              <w:rPr>
                <w:rFonts w:hint="default"/>
                <w:lang w:val="en-US" w:eastAsia="zh-CN"/>
              </w:rPr>
            </w:pPr>
            <w:r>
              <w:rPr>
                <w:rFonts w:hint="eastAsia"/>
                <w:lang w:val="en-US" w:eastAsia="zh-CN"/>
              </w:rPr>
              <w:t>华泰资产：蒋领</w:t>
            </w:r>
          </w:p>
          <w:p w14:paraId="55631B74">
            <w:pPr>
              <w:pStyle w:val="3"/>
              <w:numPr>
                <w:ilvl w:val="0"/>
                <w:numId w:val="1"/>
              </w:numPr>
              <w:ind w:left="0" w:leftChars="0" w:firstLine="0" w:firstLineChars="0"/>
              <w:rPr>
                <w:rFonts w:hint="default"/>
                <w:lang w:val="en-US" w:eastAsia="zh-CN"/>
              </w:rPr>
            </w:pPr>
            <w:r>
              <w:rPr>
                <w:rFonts w:hint="eastAsia"/>
                <w:lang w:val="en-US" w:eastAsia="zh-CN"/>
              </w:rPr>
              <w:t>财通证券资产：邵沙锞</w:t>
            </w:r>
          </w:p>
          <w:p w14:paraId="7D23E6C3">
            <w:pPr>
              <w:pStyle w:val="3"/>
              <w:numPr>
                <w:ilvl w:val="0"/>
                <w:numId w:val="1"/>
              </w:numPr>
              <w:ind w:left="0" w:leftChars="0" w:firstLine="0" w:firstLineChars="0"/>
              <w:rPr>
                <w:rFonts w:hint="default"/>
                <w:lang w:val="en-US" w:eastAsia="zh-CN"/>
              </w:rPr>
            </w:pPr>
            <w:r>
              <w:rPr>
                <w:rFonts w:hint="eastAsia"/>
                <w:lang w:val="en-US" w:eastAsia="zh-CN"/>
              </w:rPr>
              <w:t>国富基金：陈天元</w:t>
            </w:r>
          </w:p>
          <w:p w14:paraId="33526C5D">
            <w:pPr>
              <w:pStyle w:val="3"/>
              <w:numPr>
                <w:ilvl w:val="0"/>
                <w:numId w:val="1"/>
              </w:numPr>
              <w:ind w:left="0" w:leftChars="0" w:firstLine="0" w:firstLineChars="0"/>
              <w:rPr>
                <w:rFonts w:hint="default"/>
                <w:lang w:val="en-US" w:eastAsia="zh-CN"/>
              </w:rPr>
            </w:pPr>
            <w:r>
              <w:rPr>
                <w:rFonts w:hint="eastAsia"/>
                <w:lang w:val="en-US" w:eastAsia="zh-CN"/>
              </w:rPr>
              <w:t>国泰基金：韩知昂</w:t>
            </w:r>
          </w:p>
          <w:p w14:paraId="1D401594">
            <w:pPr>
              <w:pStyle w:val="3"/>
              <w:numPr>
                <w:ilvl w:val="0"/>
                <w:numId w:val="1"/>
              </w:numPr>
              <w:ind w:left="0" w:leftChars="0" w:firstLine="0" w:firstLineChars="0"/>
              <w:rPr>
                <w:rFonts w:hint="default"/>
                <w:lang w:val="en-US" w:eastAsia="zh-CN"/>
              </w:rPr>
            </w:pPr>
            <w:r>
              <w:rPr>
                <w:rFonts w:hint="eastAsia"/>
                <w:lang w:val="en-US" w:eastAsia="zh-CN"/>
              </w:rPr>
              <w:t>中信证券：李家明</w:t>
            </w:r>
          </w:p>
        </w:tc>
      </w:tr>
      <w:tr w14:paraId="308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57955DE9">
            <w:pPr>
              <w:widowControl/>
              <w:jc w:val="center"/>
              <w:rPr>
                <w:rFonts w:ascii="宋体" w:hAnsi="宋体" w:eastAsia="宋体" w:cs="宋体"/>
                <w:kern w:val="0"/>
                <w:sz w:val="22"/>
              </w:rPr>
            </w:pPr>
            <w:r>
              <w:rPr>
                <w:rFonts w:hint="eastAsia" w:ascii="宋体" w:hAnsi="宋体" w:eastAsia="宋体" w:cs="宋体"/>
                <w:kern w:val="0"/>
                <w:sz w:val="22"/>
              </w:rPr>
              <w:t>时间</w:t>
            </w:r>
          </w:p>
        </w:tc>
        <w:tc>
          <w:tcPr>
            <w:tcW w:w="5800" w:type="dxa"/>
            <w:vAlign w:val="center"/>
          </w:tcPr>
          <w:p w14:paraId="2916CF0C">
            <w:pPr>
              <w:pStyle w:val="3"/>
              <w:ind w:firstLine="0" w:firstLineChars="0"/>
              <w:rPr>
                <w:rFonts w:hint="eastAsia"/>
                <w:lang w:val="en-US" w:eastAsia="zh-CN"/>
              </w:rPr>
            </w:pPr>
            <w:r>
              <w:rPr>
                <w:rFonts w:hint="eastAsia"/>
                <w:lang w:val="en-US" w:eastAsia="zh-CN"/>
              </w:rPr>
              <w:t>2025年5月27日9：00</w:t>
            </w:r>
          </w:p>
          <w:p w14:paraId="62742002">
            <w:pPr>
              <w:pStyle w:val="3"/>
              <w:ind w:firstLine="0" w:firstLineChars="0"/>
              <w:rPr>
                <w:rFonts w:hint="eastAsia"/>
                <w:lang w:val="en-US" w:eastAsia="zh-CN"/>
              </w:rPr>
            </w:pPr>
            <w:r>
              <w:rPr>
                <w:rFonts w:hint="eastAsia"/>
                <w:lang w:val="en-US" w:eastAsia="zh-CN"/>
              </w:rPr>
              <w:t>2025年5月27日10：00</w:t>
            </w:r>
          </w:p>
          <w:p w14:paraId="6F349713">
            <w:pPr>
              <w:pStyle w:val="3"/>
              <w:ind w:firstLine="0" w:firstLineChars="0"/>
              <w:rPr>
                <w:rFonts w:hint="eastAsia"/>
                <w:lang w:val="en-US" w:eastAsia="zh-CN"/>
              </w:rPr>
            </w:pPr>
            <w:r>
              <w:rPr>
                <w:rFonts w:hint="eastAsia"/>
                <w:lang w:val="en-US" w:eastAsia="zh-CN"/>
              </w:rPr>
              <w:t>2025年5月27日13：30</w:t>
            </w:r>
          </w:p>
          <w:p w14:paraId="2B919675">
            <w:pPr>
              <w:pStyle w:val="3"/>
              <w:ind w:firstLine="0" w:firstLineChars="0"/>
              <w:rPr>
                <w:rFonts w:hint="eastAsia"/>
                <w:lang w:val="en-US" w:eastAsia="zh-CN"/>
              </w:rPr>
            </w:pPr>
            <w:r>
              <w:rPr>
                <w:rFonts w:hint="eastAsia"/>
                <w:lang w:val="en-US" w:eastAsia="zh-CN"/>
              </w:rPr>
              <w:t>2025年5月27日14：30</w:t>
            </w:r>
          </w:p>
          <w:p w14:paraId="05A529EE">
            <w:pPr>
              <w:pStyle w:val="3"/>
              <w:ind w:firstLine="0" w:firstLineChars="0"/>
              <w:rPr>
                <w:rFonts w:hint="eastAsia"/>
                <w:lang w:val="en-US" w:eastAsia="zh-CN"/>
              </w:rPr>
            </w:pPr>
            <w:r>
              <w:rPr>
                <w:rFonts w:hint="eastAsia"/>
                <w:lang w:val="en-US" w:eastAsia="zh-CN"/>
              </w:rPr>
              <w:t>2025年5月28日10：00</w:t>
            </w:r>
          </w:p>
          <w:p w14:paraId="6F91E541">
            <w:pPr>
              <w:pStyle w:val="3"/>
              <w:ind w:firstLine="0" w:firstLineChars="0"/>
              <w:rPr>
                <w:rFonts w:hint="eastAsia"/>
                <w:lang w:val="en-US" w:eastAsia="zh-CN"/>
              </w:rPr>
            </w:pPr>
            <w:r>
              <w:rPr>
                <w:rFonts w:hint="eastAsia"/>
                <w:lang w:val="en-US" w:eastAsia="zh-CN"/>
              </w:rPr>
              <w:t>2025年5月28日12：00</w:t>
            </w:r>
          </w:p>
          <w:p w14:paraId="74D55E93">
            <w:pPr>
              <w:pStyle w:val="3"/>
              <w:ind w:firstLine="0" w:firstLineChars="0"/>
              <w:rPr>
                <w:rFonts w:hint="default"/>
                <w:lang w:val="en-US" w:eastAsia="zh-CN"/>
              </w:rPr>
            </w:pPr>
            <w:r>
              <w:rPr>
                <w:rFonts w:hint="eastAsia"/>
                <w:lang w:val="en-US" w:eastAsia="zh-CN"/>
              </w:rPr>
              <w:t>2025年5月28日13：30</w:t>
            </w:r>
          </w:p>
        </w:tc>
      </w:tr>
      <w:tr w14:paraId="517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6F52D738">
            <w:pPr>
              <w:widowControl/>
              <w:jc w:val="center"/>
              <w:rPr>
                <w:rFonts w:ascii="宋体" w:hAnsi="宋体" w:eastAsia="宋体" w:cs="宋体"/>
                <w:b/>
                <w:bCs/>
                <w:kern w:val="0"/>
                <w:sz w:val="22"/>
              </w:rPr>
            </w:pPr>
            <w:r>
              <w:rPr>
                <w:rFonts w:hint="eastAsia" w:ascii="宋体" w:hAnsi="宋体" w:eastAsia="宋体" w:cs="宋体"/>
                <w:kern w:val="0"/>
                <w:sz w:val="22"/>
              </w:rPr>
              <w:t>地点</w:t>
            </w:r>
          </w:p>
        </w:tc>
        <w:tc>
          <w:tcPr>
            <w:tcW w:w="5800" w:type="dxa"/>
            <w:vAlign w:val="center"/>
          </w:tcPr>
          <w:p w14:paraId="7C1F215F">
            <w:pPr>
              <w:widowControl/>
              <w:jc w:val="both"/>
              <w:rPr>
                <w:rFonts w:hint="default" w:ascii="宋体" w:hAnsi="宋体" w:eastAsia="宋体" w:cs="宋体"/>
                <w:kern w:val="0"/>
                <w:sz w:val="22"/>
                <w:lang w:val="en-US" w:eastAsia="zh-CN"/>
              </w:rPr>
            </w:pPr>
            <w:r>
              <w:rPr>
                <w:rFonts w:hint="eastAsia" w:ascii="宋体" w:hAnsi="宋体" w:eastAsia="宋体" w:cs="宋体"/>
                <w:color w:val="000000"/>
                <w:kern w:val="0"/>
                <w:szCs w:val="21"/>
                <w:lang w:val="en-US" w:eastAsia="zh-CN"/>
              </w:rPr>
              <w:t>民生证券、中信证券上海策略会</w:t>
            </w:r>
          </w:p>
        </w:tc>
      </w:tr>
      <w:tr w14:paraId="4FA0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0CA51761">
            <w:pPr>
              <w:widowControl/>
              <w:jc w:val="center"/>
              <w:rPr>
                <w:rFonts w:ascii="宋体" w:hAnsi="宋体" w:eastAsia="宋体" w:cs="宋体"/>
                <w:kern w:val="0"/>
                <w:sz w:val="22"/>
              </w:rPr>
            </w:pPr>
            <w:r>
              <w:rPr>
                <w:rFonts w:hint="eastAsia" w:ascii="宋体" w:hAnsi="宋体" w:eastAsia="宋体" w:cs="宋体"/>
                <w:kern w:val="0"/>
                <w:sz w:val="22"/>
              </w:rPr>
              <w:t>公司接待人员姓名</w:t>
            </w:r>
          </w:p>
        </w:tc>
        <w:tc>
          <w:tcPr>
            <w:tcW w:w="5800" w:type="dxa"/>
            <w:vAlign w:val="center"/>
          </w:tcPr>
          <w:p w14:paraId="50B1CC8E">
            <w:pPr>
              <w:widowControl/>
              <w:ind w:firstLineChars="0"/>
              <w:rPr>
                <w:rFonts w:hint="default"/>
                <w:lang w:val="en-US" w:eastAsia="zh-CN"/>
              </w:rPr>
            </w:pPr>
            <w:r>
              <w:rPr>
                <w:rFonts w:hint="eastAsia"/>
                <w:lang w:val="en-US" w:eastAsia="zh-CN"/>
              </w:rPr>
              <w:t>董事会秘书：谢嘉乐</w:t>
            </w:r>
          </w:p>
        </w:tc>
      </w:tr>
      <w:tr w14:paraId="345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2756" w:type="dxa"/>
            <w:vAlign w:val="center"/>
          </w:tcPr>
          <w:p w14:paraId="3E4E87D0">
            <w:pPr>
              <w:widowControl/>
              <w:jc w:val="center"/>
              <w:rPr>
                <w:rFonts w:ascii="宋体" w:hAnsi="宋体" w:eastAsia="宋体" w:cs="宋体"/>
                <w:b/>
                <w:bCs/>
                <w:kern w:val="0"/>
                <w:sz w:val="22"/>
              </w:rPr>
            </w:pPr>
            <w:r>
              <w:rPr>
                <w:rFonts w:hint="eastAsia" w:ascii="宋体" w:hAnsi="宋体" w:eastAsia="宋体" w:cs="宋体"/>
                <w:kern w:val="0"/>
                <w:sz w:val="22"/>
              </w:rPr>
              <w:t>投资者关系活动主要内容介绍</w:t>
            </w:r>
          </w:p>
        </w:tc>
        <w:tc>
          <w:tcPr>
            <w:tcW w:w="5800" w:type="dxa"/>
            <w:vAlign w:val="top"/>
          </w:tcPr>
          <w:p w14:paraId="4F680A76">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szCs w:val="21"/>
                <w:lang w:val="en-US" w:eastAsia="zh-CN"/>
              </w:rPr>
            </w:pPr>
            <w:r>
              <w:rPr>
                <w:rFonts w:hint="eastAsia"/>
                <w:b/>
                <w:bCs/>
                <w:szCs w:val="21"/>
                <w:lang w:val="en-US" w:eastAsia="zh-CN"/>
              </w:rPr>
              <w:t>1、公司的主营业务介绍。</w:t>
            </w:r>
          </w:p>
          <w:p w14:paraId="171701CB">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b w:val="0"/>
                <w:bCs w:val="0"/>
                <w:color w:val="auto"/>
              </w:rPr>
            </w:pPr>
            <w:r>
              <w:rPr>
                <w:rFonts w:hint="default"/>
                <w:b w:val="0"/>
                <w:bCs w:val="0"/>
                <w:color w:val="auto"/>
              </w:rPr>
              <w:t>公司是一家助力行业数字化、智能化转型升级的人工智能企业，专注于人工智能算法、大数据分析、物联网技术、数字孪生技术及具身智能技术的持续积累和应用实践，通过构建天空地多源感知云边协同的“算法-软件-硬件”产品体系，面向电力、水利、轨道交通、新能源等行业提供人工智能解决方案，实现人工智能商业化落地。</w:t>
            </w:r>
          </w:p>
          <w:p w14:paraId="29D7ABF9">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b w:val="0"/>
                <w:bCs w:val="0"/>
                <w:color w:val="auto"/>
              </w:rPr>
            </w:pPr>
            <w:r>
              <w:rPr>
                <w:rFonts w:hint="default"/>
                <w:b w:val="0"/>
                <w:bCs w:val="0"/>
                <w:color w:val="auto"/>
              </w:rPr>
              <w:t>公司致力于探索“人工智能与行业场景深度融合”的商业模式，早期以电力行业作为切入点，契合电网智能化的发展趋势，成功推出了电力行业人工智能产品，并形成了成熟的商业模式。随着公司的发展及各行业对于人工智能产品需求的增长，公司已逐步将产品技术和商业模式拓展至水利、轨道交通、新能源等众多行业场景。</w:t>
            </w:r>
          </w:p>
          <w:p w14:paraId="572C1E73">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eastAsia="zh-CN"/>
              </w:rPr>
            </w:pPr>
            <w:r>
              <w:rPr>
                <w:rFonts w:hint="eastAsia"/>
                <w:color w:val="auto"/>
                <w:lang w:val="en-US" w:eastAsia="zh-CN"/>
              </w:rPr>
              <w:t>2024年，</w:t>
            </w:r>
            <w:r>
              <w:rPr>
                <w:rFonts w:hint="default"/>
                <w:color w:val="auto"/>
              </w:rPr>
              <w:t>公司经营业绩实现稳健增长，实现营业收入9.71亿元，同比增长21.62%</w:t>
            </w:r>
            <w:r>
              <w:rPr>
                <w:rFonts w:hint="eastAsia"/>
                <w:color w:val="auto"/>
                <w:lang w:eastAsia="zh-CN"/>
              </w:rPr>
              <w:t>。</w:t>
            </w:r>
            <w:r>
              <w:rPr>
                <w:rFonts w:hint="eastAsia"/>
                <w:color w:val="auto"/>
                <w:lang w:val="en-US" w:eastAsia="zh-CN"/>
              </w:rPr>
              <w:t>分业务领域来看，</w:t>
            </w:r>
            <w:r>
              <w:rPr>
                <w:rFonts w:hint="default"/>
                <w:color w:val="auto"/>
              </w:rPr>
              <w:t>公司在电力领域</w:t>
            </w:r>
            <w:r>
              <w:rPr>
                <w:rFonts w:hint="eastAsia"/>
                <w:color w:val="auto"/>
                <w:lang w:val="en-US" w:eastAsia="zh-CN"/>
              </w:rPr>
              <w:t>实现连续</w:t>
            </w:r>
            <w:r>
              <w:rPr>
                <w:rFonts w:hint="default"/>
                <w:color w:val="auto"/>
              </w:rPr>
              <w:t>持续稳定增长，水利领域、轨道交通领域业绩实现快速增长。其中轨道交通行业主营业务收入9,300.67万元，同比增长484.79%，水利行业主营业务收入7,267.05万元，同比增长47.81%</w:t>
            </w:r>
            <w:r>
              <w:rPr>
                <w:rFonts w:hint="eastAsia"/>
                <w:color w:val="auto"/>
                <w:lang w:eastAsia="zh-CN"/>
              </w:rPr>
              <w:t>。</w:t>
            </w:r>
          </w:p>
          <w:p w14:paraId="2261279E">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szCs w:val="21"/>
              </w:rPr>
            </w:pPr>
            <w:r>
              <w:rPr>
                <w:rFonts w:hint="eastAsia"/>
                <w:b/>
                <w:bCs/>
                <w:color w:val="auto"/>
                <w:lang w:val="en-US" w:eastAsia="zh-CN"/>
              </w:rPr>
              <w:t>2、公司的主要技术体系</w:t>
            </w:r>
            <w:r>
              <w:rPr>
                <w:rFonts w:hint="eastAsia"/>
                <w:b/>
                <w:bCs/>
                <w:szCs w:val="21"/>
                <w:lang w:val="en-US" w:eastAsia="zh-CN"/>
              </w:rPr>
              <w:t>？</w:t>
            </w:r>
          </w:p>
          <w:p w14:paraId="311C8EE7">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eastAsiaTheme="minorEastAsia"/>
                <w:szCs w:val="21"/>
                <w:lang w:val="en-US" w:eastAsia="zh-CN"/>
              </w:rPr>
            </w:pPr>
            <w:r>
              <w:rPr>
                <w:rFonts w:hint="default"/>
                <w:b w:val="0"/>
                <w:bCs w:val="0"/>
                <w:color w:val="auto"/>
                <w:lang w:val="en-US" w:eastAsia="zh-CN"/>
              </w:rPr>
              <w:t>经过多年积累，公司已经形成了一站式AI平台、大数据及数字孪生平台、智洋工业大模型技术平台、AI智能体（AI Agent）技术平台、AI终端技术平台、具身智能无人机技术平台六大基础技术平台。公司通过算法、软件及硬件的协同设计模式，实现了物联网连接、多模态数据感知、数字孪生交互、智能分析决策和各行业场景应用。</w:t>
            </w:r>
          </w:p>
          <w:p w14:paraId="741915C0">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szCs w:val="21"/>
                <w:lang w:val="en-US" w:eastAsia="zh-CN"/>
              </w:rPr>
            </w:pPr>
            <w:r>
              <w:rPr>
                <w:rFonts w:hint="eastAsia"/>
                <w:b/>
                <w:bCs/>
                <w:szCs w:val="21"/>
                <w:lang w:val="en-US" w:eastAsia="zh-CN"/>
              </w:rPr>
              <w:t>3、公司研发团队及研发布局情况？</w:t>
            </w:r>
          </w:p>
          <w:p w14:paraId="5E11535C">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default"/>
                <w:b w:val="0"/>
                <w:bCs w:val="0"/>
                <w:color w:val="auto"/>
                <w:lang w:val="en-US" w:eastAsia="zh-CN"/>
              </w:rPr>
              <w:t>公司在济南、淄博、广州、北京设有研发中心，</w:t>
            </w:r>
            <w:r>
              <w:rPr>
                <w:rFonts w:hint="eastAsia"/>
                <w:b w:val="0"/>
                <w:bCs w:val="0"/>
                <w:color w:val="auto"/>
                <w:lang w:val="en-US" w:eastAsia="zh-CN"/>
              </w:rPr>
              <w:t>并</w:t>
            </w:r>
            <w:r>
              <w:rPr>
                <w:rFonts w:hint="default"/>
                <w:color w:val="auto"/>
              </w:rPr>
              <w:t>以前沿技术发展与客户需求为研发导向，构建起“前瞻探索-应用创新”双循环的集成产品研发模式</w:t>
            </w:r>
            <w:r>
              <w:rPr>
                <w:rFonts w:hint="eastAsia"/>
                <w:color w:val="auto"/>
                <w:lang w:eastAsia="zh-CN"/>
              </w:rPr>
              <w:t>。</w:t>
            </w:r>
            <w:r>
              <w:rPr>
                <w:rFonts w:hint="default"/>
                <w:color w:val="auto"/>
              </w:rPr>
              <w:t>截至</w:t>
            </w:r>
            <w:r>
              <w:rPr>
                <w:rFonts w:hint="eastAsia"/>
                <w:color w:val="auto"/>
                <w:lang w:val="en-US" w:eastAsia="zh-CN"/>
              </w:rPr>
              <w:t>2024年底</w:t>
            </w:r>
            <w:r>
              <w:rPr>
                <w:rFonts w:hint="default"/>
                <w:color w:val="auto"/>
              </w:rPr>
              <w:t>，公司研发团队规模已达399人，其中硕士及以上学历占比27.07%，公司构建了覆盖济南、淄博、广州、北京的四地协同研发体系，形成跨区域技术联动机制，济南研发中心作为核心研发基地，主导核心战略技术及算法、智能感知终端产品、无人机产品、主站类软件研发；北京研发中心聚焦人工智能算法研发；淄博和广州研发中心参与智能感知终端产品、无人机产品的研发。</w:t>
            </w:r>
          </w:p>
          <w:p w14:paraId="2A140BB2">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szCs w:val="21"/>
                <w:lang w:val="en-US" w:eastAsia="zh-CN"/>
              </w:rPr>
            </w:pPr>
            <w:r>
              <w:rPr>
                <w:rFonts w:hint="eastAsia"/>
                <w:b/>
                <w:bCs/>
                <w:szCs w:val="21"/>
                <w:lang w:val="en-US" w:eastAsia="zh-CN"/>
              </w:rPr>
              <w:t>4、上海子公司成立的原因</w:t>
            </w:r>
            <w:r>
              <w:rPr>
                <w:rFonts w:hint="eastAsia" w:eastAsiaTheme="minorEastAsia"/>
                <w:b/>
                <w:bCs/>
                <w:szCs w:val="21"/>
                <w:lang w:val="en-US" w:eastAsia="zh-CN"/>
              </w:rPr>
              <w:t>？</w:t>
            </w:r>
          </w:p>
          <w:p w14:paraId="581E4538">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eastAsia"/>
                <w:b w:val="0"/>
                <w:bCs w:val="0"/>
                <w:szCs w:val="21"/>
                <w:lang w:val="en-US" w:eastAsia="zh-CN"/>
              </w:rPr>
              <w:t>公司在</w:t>
            </w:r>
            <w:r>
              <w:rPr>
                <w:rFonts w:hint="eastAsia" w:eastAsiaTheme="minorEastAsia"/>
                <w:b w:val="0"/>
                <w:bCs w:val="0"/>
                <w:szCs w:val="21"/>
                <w:lang w:val="en-US" w:eastAsia="zh-CN"/>
              </w:rPr>
              <w:t>上海</w:t>
            </w:r>
            <w:r>
              <w:rPr>
                <w:rFonts w:hint="eastAsia"/>
                <w:b w:val="0"/>
                <w:bCs w:val="0"/>
                <w:szCs w:val="21"/>
                <w:lang w:val="en-US" w:eastAsia="zh-CN"/>
              </w:rPr>
              <w:t>成立</w:t>
            </w:r>
            <w:r>
              <w:rPr>
                <w:rFonts w:hint="eastAsia" w:eastAsiaTheme="minorEastAsia"/>
                <w:b w:val="0"/>
                <w:bCs w:val="0"/>
                <w:szCs w:val="21"/>
                <w:lang w:val="en-US" w:eastAsia="zh-CN"/>
              </w:rPr>
              <w:t>子公司，</w:t>
            </w:r>
            <w:r>
              <w:rPr>
                <w:rFonts w:hint="eastAsia"/>
                <w:b w:val="0"/>
                <w:bCs w:val="0"/>
                <w:szCs w:val="21"/>
                <w:lang w:val="en-US" w:eastAsia="zh-CN"/>
              </w:rPr>
              <w:t>是基于</w:t>
            </w:r>
            <w:r>
              <w:rPr>
                <w:rFonts w:hint="eastAsia" w:eastAsiaTheme="minorEastAsia"/>
                <w:b w:val="0"/>
                <w:bCs w:val="0"/>
                <w:szCs w:val="21"/>
                <w:lang w:val="en-US" w:eastAsia="zh-CN"/>
              </w:rPr>
              <w:t>上海在科技</w:t>
            </w:r>
            <w:r>
              <w:rPr>
                <w:rFonts w:hint="eastAsia"/>
                <w:b w:val="0"/>
                <w:bCs w:val="0"/>
                <w:szCs w:val="21"/>
                <w:lang w:val="en-US" w:eastAsia="zh-CN"/>
              </w:rPr>
              <w:t>创新及人才资源方面的优势</w:t>
            </w:r>
            <w:r>
              <w:rPr>
                <w:rFonts w:hint="eastAsia" w:eastAsiaTheme="minorEastAsia"/>
                <w:b w:val="0"/>
                <w:bCs w:val="0"/>
                <w:szCs w:val="21"/>
                <w:lang w:val="en-US" w:eastAsia="zh-CN"/>
              </w:rPr>
              <w:t>，</w:t>
            </w:r>
            <w:r>
              <w:rPr>
                <w:rFonts w:hint="eastAsia"/>
                <w:b w:val="0"/>
                <w:bCs w:val="0"/>
                <w:szCs w:val="21"/>
                <w:lang w:val="en-US" w:eastAsia="zh-CN"/>
              </w:rPr>
              <w:t>以便公司能够</w:t>
            </w:r>
            <w:r>
              <w:rPr>
                <w:rFonts w:hint="eastAsia" w:eastAsiaTheme="minorEastAsia"/>
                <w:b w:val="0"/>
                <w:bCs w:val="0"/>
                <w:szCs w:val="21"/>
                <w:lang w:val="en-US" w:eastAsia="zh-CN"/>
              </w:rPr>
              <w:t>吸引更多的高端人才，提高公司的研发能力</w:t>
            </w:r>
            <w:r>
              <w:rPr>
                <w:rFonts w:hint="eastAsia"/>
                <w:b w:val="0"/>
                <w:bCs w:val="0"/>
                <w:szCs w:val="21"/>
                <w:lang w:val="en-US" w:eastAsia="zh-CN"/>
              </w:rPr>
              <w:t>和综合竞争力，符合</w:t>
            </w:r>
            <w:r>
              <w:rPr>
                <w:rFonts w:hint="eastAsia" w:eastAsiaTheme="minorEastAsia"/>
                <w:b w:val="0"/>
                <w:bCs w:val="0"/>
                <w:szCs w:val="21"/>
                <w:lang w:val="en-US" w:eastAsia="zh-CN"/>
              </w:rPr>
              <w:t>公司</w:t>
            </w:r>
            <w:r>
              <w:rPr>
                <w:rFonts w:hint="eastAsia"/>
                <w:b w:val="0"/>
                <w:bCs w:val="0"/>
                <w:szCs w:val="21"/>
                <w:lang w:val="en-US" w:eastAsia="zh-CN"/>
              </w:rPr>
              <w:t>整体战略规划和需要。</w:t>
            </w:r>
          </w:p>
          <w:p w14:paraId="2C9C72C6">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color w:val="auto"/>
                <w:lang w:val="en-US" w:eastAsia="zh-CN"/>
              </w:rPr>
            </w:pPr>
            <w:r>
              <w:rPr>
                <w:rFonts w:hint="eastAsia"/>
                <w:b/>
                <w:bCs/>
                <w:szCs w:val="21"/>
                <w:lang w:val="en-US" w:eastAsia="zh-CN"/>
              </w:rPr>
              <w:t>5、未来行业的拓展规划</w:t>
            </w:r>
            <w:r>
              <w:rPr>
                <w:rFonts w:hint="eastAsia" w:eastAsiaTheme="minorEastAsia"/>
                <w:b/>
                <w:bCs/>
                <w:szCs w:val="21"/>
                <w:lang w:val="en-US" w:eastAsia="zh-CN"/>
              </w:rPr>
              <w:t>？</w:t>
            </w:r>
          </w:p>
          <w:p w14:paraId="550F3F6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公司始终以“人工智能+行业”作为公司的发展战略，通过人工智能算法、大数据分析、物联网技术、数字孪生技术及具身智能技术等技术，持续推动人工智能在各个行业的商业化应用，助力行业客户实现数字化、智能化转型升级。</w:t>
            </w:r>
          </w:p>
          <w:p w14:paraId="5AD8C1E5">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产品技术能力，公司将持续加大对于人工智能技术的投入，包括不限于工业大模型算法的应用、具身智能技术的突破、智能硬件水平的提升等多方面，通过高端技术人才的引进、研发资源倾斜及产学研合作研发等多种方式，强化公司六大基础技术平台能力。</w:t>
            </w:r>
          </w:p>
          <w:p w14:paraId="4D9FA44C">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各个行业场景，公司将持续深化对于行业场景的理解、需求挖掘和商业化落地，实现人工智能在行业场景下的价值创造。公司将在对已有行业场景应用深化的同时，积极拓展新行业，助力更多行业客户实现数字化、智能化转型升级。</w:t>
            </w:r>
          </w:p>
          <w:p w14:paraId="3FDD2EDA">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外延式发展，公司围绕着人工智能发展的三大引擎“数据、算法和算力”进行开展，积极寻找潜在的并购标的，以实现数据维度的拓宽、专用算力性能的提升和基础算法的延展，进一步深化公司在人工智能行业的产业布局。</w:t>
            </w:r>
          </w:p>
          <w:p w14:paraId="7D30D5A3">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color w:val="auto"/>
                <w:lang w:val="en-US" w:eastAsia="zh-CN"/>
              </w:rPr>
            </w:pPr>
            <w:r>
              <w:rPr>
                <w:rFonts w:hint="eastAsia"/>
                <w:b/>
                <w:bCs/>
                <w:color w:val="auto"/>
                <w:lang w:val="en-US" w:eastAsia="zh-CN"/>
              </w:rPr>
              <w:t>6、公司人工智能商业化落地方面的能力？</w:t>
            </w:r>
          </w:p>
          <w:p w14:paraId="1512EB2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b w:val="0"/>
                <w:bCs w:val="0"/>
                <w:color w:val="auto"/>
              </w:rPr>
            </w:pPr>
            <w:r>
              <w:rPr>
                <w:rFonts w:hint="default"/>
                <w:b w:val="0"/>
                <w:bCs w:val="0"/>
                <w:color w:val="auto"/>
              </w:rPr>
              <w:t>基于在不同行业落地应用过程中的技术沉淀和行业知识积累，公司拥有根据业务需求调整技术方案以适应特定场景的能力，从数据采集、模型训练到系统部署，公司提供端到端的AI解决方案，确保技术落地的高效性与可靠性。公司拥有专业的研发团队，专注于AI前沿技术的探索与应用，能够快速吸收最新技术成果并实现商业化落地，并始终以解决客户痛点为出发点，确保技术落地后为客户带来实际的经济效益和效率提升。</w:t>
            </w:r>
          </w:p>
          <w:p w14:paraId="4FEEABF1">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b w:val="0"/>
                <w:bCs w:val="0"/>
                <w:color w:val="auto"/>
                <w:szCs w:val="21"/>
              </w:rPr>
            </w:pPr>
            <w:r>
              <w:rPr>
                <w:rFonts w:hint="default"/>
                <w:b w:val="0"/>
                <w:bCs w:val="0"/>
                <w:color w:val="auto"/>
              </w:rPr>
              <w:t>从通用技术的角度来看，公司在人工智能领域的核心竞争力体现在算法研发、数据处理、工程化能力、技术融合、前沿探索、研发创新以及商业化能力等多个方面。这些能力不仅支撑了公司早期在电力行业的成功，还为公司在进入新行业如水利、轨道交通及新能源等行业实现技术落地和商业化扩展提供了坚实基础，保障了公司通过持续的技术创新与生态合作推动更多其他行业的智能化转型。</w:t>
            </w:r>
          </w:p>
          <w:p w14:paraId="7CAA984D">
            <w:pPr>
              <w:pStyle w:val="3"/>
              <w:keepNext w:val="0"/>
              <w:keepLines w:val="0"/>
              <w:pageBreakBefore w:val="0"/>
              <w:widowControl w:val="0"/>
              <w:numPr>
                <w:ilvl w:val="0"/>
                <w:numId w:val="2"/>
              </w:numPr>
              <w:kinsoku/>
              <w:wordWrap/>
              <w:overflowPunct/>
              <w:topLinePunct w:val="0"/>
              <w:autoSpaceDN/>
              <w:bidi w:val="0"/>
              <w:ind w:left="420" w:leftChars="200" w:firstLine="0" w:firstLineChars="0"/>
              <w:jc w:val="left"/>
              <w:textAlignment w:val="auto"/>
              <w:rPr>
                <w:rFonts w:ascii="宋体" w:hAnsi="宋体" w:eastAsia="宋体" w:cs="宋体"/>
                <w:b/>
                <w:sz w:val="21"/>
                <w:szCs w:val="21"/>
              </w:rPr>
            </w:pPr>
            <w:r>
              <w:rPr>
                <w:rFonts w:hint="eastAsia" w:ascii="宋体" w:hAnsi="宋体" w:eastAsia="宋体" w:cs="宋体"/>
                <w:b/>
                <w:sz w:val="21"/>
                <w:szCs w:val="21"/>
                <w:lang w:val="en-US" w:eastAsia="zh-CN"/>
              </w:rPr>
              <w:t>公司业务分布情况及影响因素</w:t>
            </w:r>
            <w:r>
              <w:rPr>
                <w:rFonts w:ascii="宋体" w:hAnsi="宋体" w:eastAsia="宋体" w:cs="宋体"/>
                <w:b/>
                <w:sz w:val="21"/>
                <w:szCs w:val="21"/>
              </w:rPr>
              <w:t>？</w:t>
            </w:r>
          </w:p>
          <w:p w14:paraId="21B2AB6A">
            <w:pPr>
              <w:pStyle w:val="3"/>
              <w:keepNext w:val="0"/>
              <w:keepLines w:val="0"/>
              <w:pageBreakBefore w:val="0"/>
              <w:widowControl w:val="0"/>
              <w:numPr>
                <w:ilvl w:val="-1"/>
                <w:numId w:val="0"/>
              </w:numPr>
              <w:kinsoku/>
              <w:wordWrap/>
              <w:overflowPunct/>
              <w:topLinePunct w:val="0"/>
              <w:autoSpaceDN/>
              <w:bidi w:val="0"/>
              <w:ind w:left="0" w:leftChars="0" w:firstLine="420" w:firstLineChars="200"/>
              <w:jc w:val="left"/>
              <w:textAlignment w:val="auto"/>
              <w:rPr>
                <w:rFonts w:asciiTheme="minorHAnsi" w:hAnsiTheme="minorHAnsi" w:eastAsiaTheme="minorEastAsia" w:cstheme="minorBidi"/>
                <w:b w:val="0"/>
                <w:color w:val="auto"/>
                <w:sz w:val="21"/>
              </w:rPr>
            </w:pPr>
            <w:bookmarkStart w:id="0" w:name="_GoBack"/>
            <w:bookmarkEnd w:id="0"/>
            <w:r>
              <w:rPr>
                <w:rFonts w:asciiTheme="minorHAnsi" w:hAnsiTheme="minorHAnsi" w:eastAsiaTheme="minorEastAsia" w:cstheme="minorBidi"/>
                <w:b w:val="0"/>
                <w:color w:val="auto"/>
                <w:sz w:val="21"/>
              </w:rPr>
              <w:t>公司业务已实现除香港、澳门、台湾地区的省级区划全覆盖</w:t>
            </w:r>
            <w:r>
              <w:rPr>
                <w:rFonts w:hint="default" w:asciiTheme="minorHAnsi" w:hAnsiTheme="minorHAnsi" w:eastAsiaTheme="minorEastAsia" w:cstheme="minorBidi"/>
                <w:b w:val="0"/>
                <w:color w:val="auto"/>
                <w:sz w:val="21"/>
                <w:lang w:eastAsia="zh-CN"/>
              </w:rPr>
              <w:t>。</w:t>
            </w:r>
            <w:r>
              <w:rPr>
                <w:rFonts w:hint="eastAsia" w:cstheme="minorBidi"/>
                <w:b w:val="0"/>
                <w:color w:val="auto"/>
                <w:sz w:val="21"/>
                <w:lang w:val="en-US" w:eastAsia="zh-CN"/>
              </w:rPr>
              <w:t>对于</w:t>
            </w:r>
            <w:r>
              <w:rPr>
                <w:rFonts w:hint="default" w:asciiTheme="minorHAnsi" w:hAnsiTheme="minorHAnsi" w:eastAsiaTheme="minorEastAsia" w:cstheme="minorBidi"/>
                <w:b w:val="0"/>
                <w:color w:val="auto"/>
                <w:sz w:val="21"/>
                <w:lang w:val="en-US" w:eastAsia="zh-CN"/>
              </w:rPr>
              <w:t>年度业务分布</w:t>
            </w:r>
            <w:r>
              <w:rPr>
                <w:rFonts w:hint="eastAsia" w:cstheme="minorBidi"/>
                <w:b w:val="0"/>
                <w:color w:val="auto"/>
                <w:sz w:val="21"/>
                <w:lang w:val="en-US" w:eastAsia="zh-CN"/>
              </w:rPr>
              <w:t>的</w:t>
            </w:r>
            <w:r>
              <w:rPr>
                <w:rFonts w:hint="default" w:asciiTheme="minorHAnsi" w:hAnsiTheme="minorHAnsi" w:eastAsiaTheme="minorEastAsia" w:cstheme="minorBidi"/>
                <w:b w:val="0"/>
                <w:color w:val="auto"/>
                <w:sz w:val="21"/>
                <w:lang w:val="en-US" w:eastAsia="zh-CN"/>
              </w:rPr>
              <w:t>情况，主要</w:t>
            </w:r>
            <w:r>
              <w:rPr>
                <w:rFonts w:asciiTheme="minorHAnsi" w:hAnsiTheme="minorHAnsi" w:eastAsiaTheme="minorEastAsia" w:cstheme="minorBidi"/>
                <w:b w:val="0"/>
                <w:color w:val="auto"/>
                <w:sz w:val="21"/>
              </w:rPr>
              <w:t>受不同区域客户投资节奏、经济发展水平和项目施工周期等因素影响。
</w:t>
            </w:r>
          </w:p>
          <w:p w14:paraId="09504A40">
            <w:pPr>
              <w:pStyle w:val="3"/>
              <w:keepNext w:val="0"/>
              <w:keepLines w:val="0"/>
              <w:pageBreakBefore w:val="0"/>
              <w:widowControl w:val="0"/>
              <w:numPr>
                <w:ilvl w:val="-1"/>
                <w:numId w:val="0"/>
              </w:numPr>
              <w:kinsoku/>
              <w:wordWrap/>
              <w:overflowPunct/>
              <w:topLinePunct w:val="0"/>
              <w:autoSpaceDN/>
              <w:bidi w:val="0"/>
              <w:ind w:firstLine="0" w:firstLineChars="0"/>
              <w:jc w:val="left"/>
              <w:textAlignment w:val="auto"/>
              <w:rPr>
                <w:rFonts w:ascii="宋体" w:hAnsi="宋体" w:eastAsia="宋体" w:cs="宋体"/>
                <w:b w:val="0"/>
                <w:sz w:val="20"/>
              </w:rPr>
            </w:pPr>
          </w:p>
          <w:p w14:paraId="0211A7B7">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p>
        </w:tc>
      </w:tr>
      <w:tr w14:paraId="5F7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56" w:type="dxa"/>
            <w:vAlign w:val="center"/>
          </w:tcPr>
          <w:p w14:paraId="144FFB76">
            <w:pPr>
              <w:widowControl/>
              <w:jc w:val="center"/>
              <w:rPr>
                <w:rFonts w:ascii="宋体" w:hAnsi="宋体" w:eastAsia="宋体" w:cs="宋体"/>
                <w:kern w:val="0"/>
                <w:sz w:val="22"/>
              </w:rPr>
            </w:pPr>
            <w:r>
              <w:rPr>
                <w:rFonts w:hint="eastAsia" w:ascii="宋体" w:hAnsi="宋体" w:eastAsia="宋体" w:cs="宋体"/>
                <w:color w:val="000000"/>
                <w:kern w:val="0"/>
                <w:sz w:val="22"/>
              </w:rPr>
              <w:t>附件清单（如有）</w:t>
            </w:r>
          </w:p>
        </w:tc>
        <w:tc>
          <w:tcPr>
            <w:tcW w:w="5800" w:type="dxa"/>
            <w:vAlign w:val="center"/>
          </w:tcPr>
          <w:p w14:paraId="73E9FEB2">
            <w:pPr>
              <w:widowControl/>
              <w:jc w:val="left"/>
              <w:rPr>
                <w:rFonts w:ascii="宋体" w:hAnsi="宋体" w:eastAsia="宋体" w:cs="宋体"/>
                <w:kern w:val="0"/>
                <w:sz w:val="22"/>
              </w:rPr>
            </w:pPr>
            <w:r>
              <w:rPr>
                <w:rFonts w:hint="eastAsia" w:ascii="宋体" w:hAnsi="宋体" w:eastAsia="宋体" w:cs="宋体"/>
                <w:color w:val="000000"/>
                <w:kern w:val="0"/>
                <w:sz w:val="22"/>
              </w:rPr>
              <w:t>无</w:t>
            </w:r>
          </w:p>
        </w:tc>
      </w:tr>
    </w:tbl>
    <w:p w14:paraId="16B8F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A891E"/>
    <w:multiLevelType w:val="singleLevel"/>
    <w:tmpl w:val="E32A891E"/>
    <w:lvl w:ilvl="0" w:tentative="0">
      <w:start w:val="1"/>
      <w:numFmt w:val="decimal"/>
      <w:suff w:val="nothing"/>
      <w:lvlText w:val="%1、"/>
      <w:lvlJc w:val="left"/>
    </w:lvl>
  </w:abstractNum>
  <w:abstractNum w:abstractNumId="1">
    <w:nsid w:val="0EDFDD53"/>
    <w:multiLevelType w:val="singleLevel"/>
    <w:tmpl w:val="0EDFDD53"/>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mJhNWUwZDM5YjMzNmE5OTJjMTljYWEyYTUyZGQifQ=="/>
  </w:docVars>
  <w:rsids>
    <w:rsidRoot w:val="00172A27"/>
    <w:rsid w:val="00437DB0"/>
    <w:rsid w:val="007963DE"/>
    <w:rsid w:val="009F2CF0"/>
    <w:rsid w:val="00C20653"/>
    <w:rsid w:val="010A1B1D"/>
    <w:rsid w:val="013F35C7"/>
    <w:rsid w:val="016F222E"/>
    <w:rsid w:val="021D3B2B"/>
    <w:rsid w:val="02210598"/>
    <w:rsid w:val="02227CFD"/>
    <w:rsid w:val="023B4798"/>
    <w:rsid w:val="02701533"/>
    <w:rsid w:val="02B13BC6"/>
    <w:rsid w:val="02C72BF4"/>
    <w:rsid w:val="03463684"/>
    <w:rsid w:val="03A26EFC"/>
    <w:rsid w:val="03DE5572"/>
    <w:rsid w:val="03F01827"/>
    <w:rsid w:val="03FE37A0"/>
    <w:rsid w:val="04E00A6D"/>
    <w:rsid w:val="04F05A45"/>
    <w:rsid w:val="05435F87"/>
    <w:rsid w:val="05437A4D"/>
    <w:rsid w:val="059D36F5"/>
    <w:rsid w:val="05D26539"/>
    <w:rsid w:val="05D9297D"/>
    <w:rsid w:val="05EB486B"/>
    <w:rsid w:val="06270600"/>
    <w:rsid w:val="07097292"/>
    <w:rsid w:val="07460ABA"/>
    <w:rsid w:val="078F6F30"/>
    <w:rsid w:val="07A27123"/>
    <w:rsid w:val="07AC7BD4"/>
    <w:rsid w:val="07C7513E"/>
    <w:rsid w:val="08616FEA"/>
    <w:rsid w:val="089A4863"/>
    <w:rsid w:val="08EE736F"/>
    <w:rsid w:val="08F62613"/>
    <w:rsid w:val="08F874F0"/>
    <w:rsid w:val="09094DDA"/>
    <w:rsid w:val="09632933"/>
    <w:rsid w:val="097F1A8E"/>
    <w:rsid w:val="0A0D68E9"/>
    <w:rsid w:val="0A1107B2"/>
    <w:rsid w:val="0A44176F"/>
    <w:rsid w:val="0A4B061F"/>
    <w:rsid w:val="0A6646D7"/>
    <w:rsid w:val="0AC20E80"/>
    <w:rsid w:val="0ACA197F"/>
    <w:rsid w:val="0ACC7133"/>
    <w:rsid w:val="0AFE299F"/>
    <w:rsid w:val="0B245D47"/>
    <w:rsid w:val="0B585547"/>
    <w:rsid w:val="0B64383C"/>
    <w:rsid w:val="0BB3573E"/>
    <w:rsid w:val="0BD62C31"/>
    <w:rsid w:val="0C1C5DD6"/>
    <w:rsid w:val="0CDC5604"/>
    <w:rsid w:val="0D016360"/>
    <w:rsid w:val="0DD341C2"/>
    <w:rsid w:val="0DDA0D2C"/>
    <w:rsid w:val="0E2C57A1"/>
    <w:rsid w:val="0E636C57"/>
    <w:rsid w:val="0EC87A33"/>
    <w:rsid w:val="0ED924BE"/>
    <w:rsid w:val="0ED96309"/>
    <w:rsid w:val="0EE91861"/>
    <w:rsid w:val="0EEE3020"/>
    <w:rsid w:val="0F503A5A"/>
    <w:rsid w:val="0F5572A5"/>
    <w:rsid w:val="0F5727DE"/>
    <w:rsid w:val="0F9A02BF"/>
    <w:rsid w:val="0FAB3DE0"/>
    <w:rsid w:val="102A7E2E"/>
    <w:rsid w:val="108175CA"/>
    <w:rsid w:val="109816DF"/>
    <w:rsid w:val="10FF4C3C"/>
    <w:rsid w:val="11211562"/>
    <w:rsid w:val="112655BB"/>
    <w:rsid w:val="11332717"/>
    <w:rsid w:val="114C4F30"/>
    <w:rsid w:val="11DE7013"/>
    <w:rsid w:val="12093BAD"/>
    <w:rsid w:val="121811C9"/>
    <w:rsid w:val="12C05415"/>
    <w:rsid w:val="13032866"/>
    <w:rsid w:val="131A369D"/>
    <w:rsid w:val="136705BC"/>
    <w:rsid w:val="141166AC"/>
    <w:rsid w:val="14211F49"/>
    <w:rsid w:val="15160683"/>
    <w:rsid w:val="15417794"/>
    <w:rsid w:val="156144BC"/>
    <w:rsid w:val="16137463"/>
    <w:rsid w:val="1642631D"/>
    <w:rsid w:val="16612B9C"/>
    <w:rsid w:val="169F72CB"/>
    <w:rsid w:val="16A971B0"/>
    <w:rsid w:val="16BE1E47"/>
    <w:rsid w:val="177253C0"/>
    <w:rsid w:val="17DF6058"/>
    <w:rsid w:val="17ED46D0"/>
    <w:rsid w:val="182B7D2A"/>
    <w:rsid w:val="184B797D"/>
    <w:rsid w:val="18666660"/>
    <w:rsid w:val="18895C11"/>
    <w:rsid w:val="18AC0339"/>
    <w:rsid w:val="18C24271"/>
    <w:rsid w:val="19024334"/>
    <w:rsid w:val="19D4595C"/>
    <w:rsid w:val="1A123269"/>
    <w:rsid w:val="1A533D8C"/>
    <w:rsid w:val="1A981ABF"/>
    <w:rsid w:val="1AA0263F"/>
    <w:rsid w:val="1AAA2915"/>
    <w:rsid w:val="1B364D60"/>
    <w:rsid w:val="1B4D3645"/>
    <w:rsid w:val="1B7D37E0"/>
    <w:rsid w:val="1BBB78FF"/>
    <w:rsid w:val="1BCE6400"/>
    <w:rsid w:val="1BEA5FCD"/>
    <w:rsid w:val="1C281CCA"/>
    <w:rsid w:val="1CAD5C4C"/>
    <w:rsid w:val="1CD04682"/>
    <w:rsid w:val="1D010737"/>
    <w:rsid w:val="1D032DBE"/>
    <w:rsid w:val="1D336832"/>
    <w:rsid w:val="1D342C3A"/>
    <w:rsid w:val="1DF97785"/>
    <w:rsid w:val="1E2612FC"/>
    <w:rsid w:val="1E276378"/>
    <w:rsid w:val="1EF315BA"/>
    <w:rsid w:val="1F54082A"/>
    <w:rsid w:val="1F69641E"/>
    <w:rsid w:val="1F713148"/>
    <w:rsid w:val="1FB57B5F"/>
    <w:rsid w:val="1FBF5D12"/>
    <w:rsid w:val="2020430B"/>
    <w:rsid w:val="209452FD"/>
    <w:rsid w:val="21260517"/>
    <w:rsid w:val="2165773C"/>
    <w:rsid w:val="21AA4163"/>
    <w:rsid w:val="21D56297"/>
    <w:rsid w:val="22057693"/>
    <w:rsid w:val="220B45FB"/>
    <w:rsid w:val="223360A0"/>
    <w:rsid w:val="22907E14"/>
    <w:rsid w:val="22C504CA"/>
    <w:rsid w:val="230A7776"/>
    <w:rsid w:val="231064A5"/>
    <w:rsid w:val="233E7BBA"/>
    <w:rsid w:val="239724A4"/>
    <w:rsid w:val="2436696D"/>
    <w:rsid w:val="24486182"/>
    <w:rsid w:val="247A5BD6"/>
    <w:rsid w:val="24AA16AC"/>
    <w:rsid w:val="255013C8"/>
    <w:rsid w:val="255A6D2C"/>
    <w:rsid w:val="25BA1229"/>
    <w:rsid w:val="27215DF4"/>
    <w:rsid w:val="27397488"/>
    <w:rsid w:val="27760BB9"/>
    <w:rsid w:val="27855555"/>
    <w:rsid w:val="27A2751F"/>
    <w:rsid w:val="27EB31D8"/>
    <w:rsid w:val="28154152"/>
    <w:rsid w:val="281976B6"/>
    <w:rsid w:val="282473C7"/>
    <w:rsid w:val="28C01545"/>
    <w:rsid w:val="28CE09B0"/>
    <w:rsid w:val="293A22CE"/>
    <w:rsid w:val="29477D41"/>
    <w:rsid w:val="297B7E8B"/>
    <w:rsid w:val="299020A1"/>
    <w:rsid w:val="2A032341"/>
    <w:rsid w:val="2A0E5B0E"/>
    <w:rsid w:val="2A4B1DB7"/>
    <w:rsid w:val="2ABD7C20"/>
    <w:rsid w:val="2AC5217D"/>
    <w:rsid w:val="2ADA3454"/>
    <w:rsid w:val="2B6A4497"/>
    <w:rsid w:val="2BC55B39"/>
    <w:rsid w:val="2CAD6C55"/>
    <w:rsid w:val="2CD077D7"/>
    <w:rsid w:val="2CEA61F8"/>
    <w:rsid w:val="2D8F7C42"/>
    <w:rsid w:val="2D951AFB"/>
    <w:rsid w:val="2E6B3F2B"/>
    <w:rsid w:val="2EC6530B"/>
    <w:rsid w:val="2F6A2554"/>
    <w:rsid w:val="30E12562"/>
    <w:rsid w:val="3115795B"/>
    <w:rsid w:val="311C1AD3"/>
    <w:rsid w:val="31456BEB"/>
    <w:rsid w:val="31605B7D"/>
    <w:rsid w:val="31612DB1"/>
    <w:rsid w:val="318A49A8"/>
    <w:rsid w:val="31970A44"/>
    <w:rsid w:val="321665E0"/>
    <w:rsid w:val="325B3210"/>
    <w:rsid w:val="329007D9"/>
    <w:rsid w:val="329B1F49"/>
    <w:rsid w:val="32DD7307"/>
    <w:rsid w:val="33147CE6"/>
    <w:rsid w:val="335E09E9"/>
    <w:rsid w:val="33A00548"/>
    <w:rsid w:val="33AC6322"/>
    <w:rsid w:val="3439694D"/>
    <w:rsid w:val="34516EE5"/>
    <w:rsid w:val="345320E1"/>
    <w:rsid w:val="35275116"/>
    <w:rsid w:val="35C239A1"/>
    <w:rsid w:val="35D005E4"/>
    <w:rsid w:val="35D1418C"/>
    <w:rsid w:val="35F37400"/>
    <w:rsid w:val="363D3C0F"/>
    <w:rsid w:val="363E1541"/>
    <w:rsid w:val="36573053"/>
    <w:rsid w:val="36A67FA0"/>
    <w:rsid w:val="36BB34B9"/>
    <w:rsid w:val="37464610"/>
    <w:rsid w:val="3798061D"/>
    <w:rsid w:val="37C27B03"/>
    <w:rsid w:val="387A6C7E"/>
    <w:rsid w:val="38984EB0"/>
    <w:rsid w:val="38A36DF6"/>
    <w:rsid w:val="39052B68"/>
    <w:rsid w:val="392E24CC"/>
    <w:rsid w:val="395D6464"/>
    <w:rsid w:val="397D1296"/>
    <w:rsid w:val="39BB6F27"/>
    <w:rsid w:val="39D31C98"/>
    <w:rsid w:val="3AC4126A"/>
    <w:rsid w:val="3AE643CE"/>
    <w:rsid w:val="3B0F2A3B"/>
    <w:rsid w:val="3B4066D5"/>
    <w:rsid w:val="3B5404EC"/>
    <w:rsid w:val="3C0042EC"/>
    <w:rsid w:val="3C0F02F1"/>
    <w:rsid w:val="3C44739D"/>
    <w:rsid w:val="3C725E88"/>
    <w:rsid w:val="3C951CEB"/>
    <w:rsid w:val="3CB72D11"/>
    <w:rsid w:val="3D71311A"/>
    <w:rsid w:val="3D896A98"/>
    <w:rsid w:val="3DC87A8D"/>
    <w:rsid w:val="3DFB09DB"/>
    <w:rsid w:val="3E11180D"/>
    <w:rsid w:val="3E8401FC"/>
    <w:rsid w:val="3E940F7D"/>
    <w:rsid w:val="3F0E0AC7"/>
    <w:rsid w:val="3F1026D2"/>
    <w:rsid w:val="3F4756E8"/>
    <w:rsid w:val="3F7F3446"/>
    <w:rsid w:val="3FA93D9F"/>
    <w:rsid w:val="400C5F49"/>
    <w:rsid w:val="401F5C3E"/>
    <w:rsid w:val="4064171F"/>
    <w:rsid w:val="40B774B3"/>
    <w:rsid w:val="40C63A63"/>
    <w:rsid w:val="40EA56FB"/>
    <w:rsid w:val="41037834"/>
    <w:rsid w:val="41250B55"/>
    <w:rsid w:val="418C1E31"/>
    <w:rsid w:val="41CA7CD2"/>
    <w:rsid w:val="420B22DF"/>
    <w:rsid w:val="4235270E"/>
    <w:rsid w:val="425F778B"/>
    <w:rsid w:val="427778D5"/>
    <w:rsid w:val="42A96C58"/>
    <w:rsid w:val="42FF712E"/>
    <w:rsid w:val="432307B8"/>
    <w:rsid w:val="432A1001"/>
    <w:rsid w:val="43394FCF"/>
    <w:rsid w:val="43790FC1"/>
    <w:rsid w:val="43D0207E"/>
    <w:rsid w:val="44331706"/>
    <w:rsid w:val="444B19CF"/>
    <w:rsid w:val="445642ED"/>
    <w:rsid w:val="446F7A2D"/>
    <w:rsid w:val="447A7409"/>
    <w:rsid w:val="447D0FBB"/>
    <w:rsid w:val="44E15CD4"/>
    <w:rsid w:val="45222596"/>
    <w:rsid w:val="452914D7"/>
    <w:rsid w:val="453136A9"/>
    <w:rsid w:val="45827D99"/>
    <w:rsid w:val="463466FB"/>
    <w:rsid w:val="465E3E35"/>
    <w:rsid w:val="470F4080"/>
    <w:rsid w:val="472B1063"/>
    <w:rsid w:val="475F01D5"/>
    <w:rsid w:val="47B072FC"/>
    <w:rsid w:val="47CF4FD6"/>
    <w:rsid w:val="48783EC5"/>
    <w:rsid w:val="48AE790D"/>
    <w:rsid w:val="48D23F22"/>
    <w:rsid w:val="48D909BC"/>
    <w:rsid w:val="48F12E38"/>
    <w:rsid w:val="4903536C"/>
    <w:rsid w:val="49687097"/>
    <w:rsid w:val="49756D85"/>
    <w:rsid w:val="4979722E"/>
    <w:rsid w:val="4984533F"/>
    <w:rsid w:val="49C9058B"/>
    <w:rsid w:val="4A6E03EE"/>
    <w:rsid w:val="4AD13BC7"/>
    <w:rsid w:val="4B090752"/>
    <w:rsid w:val="4B1F4F5F"/>
    <w:rsid w:val="4B4D41D4"/>
    <w:rsid w:val="4B653633"/>
    <w:rsid w:val="4B7E2F51"/>
    <w:rsid w:val="4B930A43"/>
    <w:rsid w:val="4BF70FA7"/>
    <w:rsid w:val="4C211DE9"/>
    <w:rsid w:val="4C757CBC"/>
    <w:rsid w:val="4C903D54"/>
    <w:rsid w:val="4D317A1B"/>
    <w:rsid w:val="4D387C5C"/>
    <w:rsid w:val="4D9011F0"/>
    <w:rsid w:val="4E126D3A"/>
    <w:rsid w:val="4E714C6A"/>
    <w:rsid w:val="4E796E1E"/>
    <w:rsid w:val="4F13449C"/>
    <w:rsid w:val="4F297D4A"/>
    <w:rsid w:val="4F881896"/>
    <w:rsid w:val="4F8E345D"/>
    <w:rsid w:val="503E4904"/>
    <w:rsid w:val="50692847"/>
    <w:rsid w:val="508F5DD3"/>
    <w:rsid w:val="509C43C4"/>
    <w:rsid w:val="50D7421A"/>
    <w:rsid w:val="50D744E9"/>
    <w:rsid w:val="50E161BC"/>
    <w:rsid w:val="512111FB"/>
    <w:rsid w:val="5138209E"/>
    <w:rsid w:val="516F18AB"/>
    <w:rsid w:val="523A1E14"/>
    <w:rsid w:val="529E4657"/>
    <w:rsid w:val="52B753C1"/>
    <w:rsid w:val="52DD2E1E"/>
    <w:rsid w:val="534E704F"/>
    <w:rsid w:val="536454A1"/>
    <w:rsid w:val="539B6B31"/>
    <w:rsid w:val="53CF1E7C"/>
    <w:rsid w:val="53D02297"/>
    <w:rsid w:val="53E91C39"/>
    <w:rsid w:val="543D53F8"/>
    <w:rsid w:val="54E619FF"/>
    <w:rsid w:val="551B42A4"/>
    <w:rsid w:val="551D67DF"/>
    <w:rsid w:val="5545416E"/>
    <w:rsid w:val="55560EC1"/>
    <w:rsid w:val="55FE4406"/>
    <w:rsid w:val="561673D2"/>
    <w:rsid w:val="566779D8"/>
    <w:rsid w:val="56914A08"/>
    <w:rsid w:val="56E74480"/>
    <w:rsid w:val="56E87D29"/>
    <w:rsid w:val="57AF1DBF"/>
    <w:rsid w:val="57FF1A43"/>
    <w:rsid w:val="57FF3E6E"/>
    <w:rsid w:val="58BF7C36"/>
    <w:rsid w:val="592C2B4D"/>
    <w:rsid w:val="597A6232"/>
    <w:rsid w:val="59A12425"/>
    <w:rsid w:val="59C3104F"/>
    <w:rsid w:val="59F0161C"/>
    <w:rsid w:val="59F439CA"/>
    <w:rsid w:val="5A1A68E8"/>
    <w:rsid w:val="5AB40632"/>
    <w:rsid w:val="5B060463"/>
    <w:rsid w:val="5BD42293"/>
    <w:rsid w:val="5BDD766D"/>
    <w:rsid w:val="5C307A8B"/>
    <w:rsid w:val="5C8368D6"/>
    <w:rsid w:val="5C9626D8"/>
    <w:rsid w:val="5D312048"/>
    <w:rsid w:val="5D500321"/>
    <w:rsid w:val="5D902E1F"/>
    <w:rsid w:val="5E0013AF"/>
    <w:rsid w:val="5E532442"/>
    <w:rsid w:val="5EB26960"/>
    <w:rsid w:val="5ECA60E4"/>
    <w:rsid w:val="5EF53CC8"/>
    <w:rsid w:val="5EF84405"/>
    <w:rsid w:val="5F6107C3"/>
    <w:rsid w:val="5FB765CD"/>
    <w:rsid w:val="60331C88"/>
    <w:rsid w:val="605D7B4A"/>
    <w:rsid w:val="6060031F"/>
    <w:rsid w:val="60614D0A"/>
    <w:rsid w:val="61107AD5"/>
    <w:rsid w:val="611976B3"/>
    <w:rsid w:val="612666CE"/>
    <w:rsid w:val="61361570"/>
    <w:rsid w:val="61691F7C"/>
    <w:rsid w:val="618B4015"/>
    <w:rsid w:val="619E1588"/>
    <w:rsid w:val="61C57FB9"/>
    <w:rsid w:val="61E96F29"/>
    <w:rsid w:val="620C4264"/>
    <w:rsid w:val="62B2525D"/>
    <w:rsid w:val="62D2376F"/>
    <w:rsid w:val="63455D65"/>
    <w:rsid w:val="6365113D"/>
    <w:rsid w:val="638B41CB"/>
    <w:rsid w:val="640A42F1"/>
    <w:rsid w:val="642E7568"/>
    <w:rsid w:val="64787261"/>
    <w:rsid w:val="64EC395F"/>
    <w:rsid w:val="64F62857"/>
    <w:rsid w:val="652F0DE7"/>
    <w:rsid w:val="656B002A"/>
    <w:rsid w:val="65B72141"/>
    <w:rsid w:val="65BF1D00"/>
    <w:rsid w:val="66087D37"/>
    <w:rsid w:val="664E6468"/>
    <w:rsid w:val="665D7F78"/>
    <w:rsid w:val="66633782"/>
    <w:rsid w:val="66A148DD"/>
    <w:rsid w:val="66B370FA"/>
    <w:rsid w:val="66C66513"/>
    <w:rsid w:val="66D91FDE"/>
    <w:rsid w:val="66FC0076"/>
    <w:rsid w:val="671A784B"/>
    <w:rsid w:val="679E48C0"/>
    <w:rsid w:val="68314937"/>
    <w:rsid w:val="68382D66"/>
    <w:rsid w:val="684F1CF5"/>
    <w:rsid w:val="68B34299"/>
    <w:rsid w:val="68DA5601"/>
    <w:rsid w:val="68F83862"/>
    <w:rsid w:val="692823E0"/>
    <w:rsid w:val="69370C94"/>
    <w:rsid w:val="69376D7B"/>
    <w:rsid w:val="698353CB"/>
    <w:rsid w:val="69E11460"/>
    <w:rsid w:val="6B131620"/>
    <w:rsid w:val="6B520BFD"/>
    <w:rsid w:val="6BF41431"/>
    <w:rsid w:val="6C1372C1"/>
    <w:rsid w:val="6C3B59F1"/>
    <w:rsid w:val="6C8A547B"/>
    <w:rsid w:val="6C9A398D"/>
    <w:rsid w:val="6CC938CF"/>
    <w:rsid w:val="6CE86177"/>
    <w:rsid w:val="6CF96C8E"/>
    <w:rsid w:val="6D3C12AA"/>
    <w:rsid w:val="6DA85A13"/>
    <w:rsid w:val="6DBF58D0"/>
    <w:rsid w:val="6DEC349C"/>
    <w:rsid w:val="6DFC5EB5"/>
    <w:rsid w:val="6E564558"/>
    <w:rsid w:val="6E6B3B38"/>
    <w:rsid w:val="6E7626AB"/>
    <w:rsid w:val="6E7A7577"/>
    <w:rsid w:val="6EBC4EA2"/>
    <w:rsid w:val="6F4B11EA"/>
    <w:rsid w:val="6F6A074D"/>
    <w:rsid w:val="6F717228"/>
    <w:rsid w:val="6F8E19D1"/>
    <w:rsid w:val="6F9F7DAF"/>
    <w:rsid w:val="6FA87620"/>
    <w:rsid w:val="6FC36291"/>
    <w:rsid w:val="70556C38"/>
    <w:rsid w:val="70605573"/>
    <w:rsid w:val="70EE1B56"/>
    <w:rsid w:val="71424947"/>
    <w:rsid w:val="71922E29"/>
    <w:rsid w:val="71AC2D14"/>
    <w:rsid w:val="71EE215A"/>
    <w:rsid w:val="720D65E0"/>
    <w:rsid w:val="72360EE8"/>
    <w:rsid w:val="72646CEB"/>
    <w:rsid w:val="72B90FC4"/>
    <w:rsid w:val="73345474"/>
    <w:rsid w:val="7387396F"/>
    <w:rsid w:val="73C76A4A"/>
    <w:rsid w:val="73E532F1"/>
    <w:rsid w:val="74401AB8"/>
    <w:rsid w:val="750077C7"/>
    <w:rsid w:val="751437B2"/>
    <w:rsid w:val="752179EF"/>
    <w:rsid w:val="75952E0A"/>
    <w:rsid w:val="75A339A7"/>
    <w:rsid w:val="75C76111"/>
    <w:rsid w:val="765D56C8"/>
    <w:rsid w:val="766E7E8B"/>
    <w:rsid w:val="769062DB"/>
    <w:rsid w:val="76C6190C"/>
    <w:rsid w:val="7733375C"/>
    <w:rsid w:val="777A72F9"/>
    <w:rsid w:val="777C4347"/>
    <w:rsid w:val="777D392A"/>
    <w:rsid w:val="77857E22"/>
    <w:rsid w:val="779E27EC"/>
    <w:rsid w:val="781F7040"/>
    <w:rsid w:val="783629EC"/>
    <w:rsid w:val="7883527A"/>
    <w:rsid w:val="78AE262D"/>
    <w:rsid w:val="78D10B9C"/>
    <w:rsid w:val="79270A91"/>
    <w:rsid w:val="7A122D59"/>
    <w:rsid w:val="7A304361"/>
    <w:rsid w:val="7ABA1BA8"/>
    <w:rsid w:val="7B7C4A19"/>
    <w:rsid w:val="7BF64FE7"/>
    <w:rsid w:val="7C313C16"/>
    <w:rsid w:val="7C6164C4"/>
    <w:rsid w:val="7C6E7291"/>
    <w:rsid w:val="7C8E0680"/>
    <w:rsid w:val="7CB75A48"/>
    <w:rsid w:val="7CC3658D"/>
    <w:rsid w:val="7CE765F7"/>
    <w:rsid w:val="7D28519D"/>
    <w:rsid w:val="7D38369E"/>
    <w:rsid w:val="7D60687A"/>
    <w:rsid w:val="7D9D61F5"/>
    <w:rsid w:val="7DD96791"/>
    <w:rsid w:val="7DE83587"/>
    <w:rsid w:val="7E15459A"/>
    <w:rsid w:val="7E4E5983"/>
    <w:rsid w:val="7E5342F6"/>
    <w:rsid w:val="7EEE63B7"/>
    <w:rsid w:val="7EF2463D"/>
    <w:rsid w:val="7F1B2E7F"/>
    <w:rsid w:val="7F232D2E"/>
    <w:rsid w:val="7F593C7E"/>
    <w:rsid w:val="7F863FFD"/>
    <w:rsid w:val="7F8E4305"/>
    <w:rsid w:val="7FAC1E0B"/>
    <w:rsid w:val="7FB45BB2"/>
    <w:rsid w:val="7FC75574"/>
    <w:rsid w:val="7FD40763"/>
    <w:rsid w:val="7FE61CF4"/>
    <w:rsid w:val="7FF369C9"/>
    <w:rsid w:val="7FF3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eastAsia="仿宋_GB2312"/>
      <w:color w:val="000000"/>
    </w:rPr>
  </w:style>
  <w:style w:type="paragraph" w:styleId="6">
    <w:name w:val="Title"/>
    <w:basedOn w:val="1"/>
    <w:next w:val="1"/>
    <w:autoRedefine/>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paragraph" w:customStyle="1" w:styleId="13">
    <w:name w:val="_Style 217"/>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
    <w:name w:val="_Style 113"/>
    <w:autoRedefine/>
    <w:qFormat/>
    <w:uiPriority w:val="0"/>
    <w:rPr>
      <w:rFonts w:ascii="宋体" w:hAnsi="宋体" w:eastAsia="宋体" w:cs="宋体"/>
      <w:sz w:val="21"/>
      <w:szCs w:val="24"/>
      <w:lang w:val="en-US" w:eastAsia="zh-CN" w:bidi="ar-SA"/>
    </w:rPr>
  </w:style>
  <w:style w:type="paragraph" w:customStyle="1" w:styleId="15">
    <w:name w:val="_Style 47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2116</Words>
  <Characters>2221</Characters>
  <Lines>1</Lines>
  <Paragraphs>1</Paragraphs>
  <TotalTime>227</TotalTime>
  <ScaleCrop>false</ScaleCrop>
  <LinksUpToDate>false</LinksUpToDate>
  <CharactersWithSpaces>2282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Ivin</dc:creator>
  <cp:lastModifiedBy>Ivin</cp:lastModifiedBy>
  <cp:lastPrinted>2022-09-30T10:29:00Z</cp:lastPrinted>
  <dcterms:modified xsi:type="dcterms:W3CDTF">2025-05-29T05:50:00Z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F68E36CE0517490DBEA1DFBD5CD69417_13</vt:lpwstr>
  </property>
  <property fmtid="{D5CDD505-2E9C-101B-9397-08002B2CF9AE}" pid="4" name="KSOTemplateDocerSaveRecord">
    <vt:lpwstr>eyJoZGlkIjoiYTVkN2FiZTA1NjZlMGUxMjcxN2IwMWFhYzQ4NGIxN2YiLCJ1c2VySWQiOiIyNjA2MTQ0NzgifQ==</vt:lpwstr>
  </property>
</Properties>
</file>