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5</w:t>
      </w:r>
      <w:r>
        <w:rPr>
          <w:rFonts w:hint="eastAsia" w:ascii="宋体" w:hAnsi="宋体"/>
          <w:b/>
          <w:iCs/>
          <w:sz w:val="24"/>
          <w:szCs w:val="24"/>
        </w:rPr>
        <w:t>年</w:t>
      </w:r>
      <w:r>
        <w:rPr>
          <w:rFonts w:hint="eastAsia" w:ascii="宋体" w:hAnsi="宋体"/>
          <w:b/>
          <w:iCs/>
          <w:sz w:val="24"/>
          <w:szCs w:val="24"/>
          <w:lang w:val="en-US" w:eastAsia="zh-CN"/>
        </w:rPr>
        <w:t>5</w:t>
      </w:r>
      <w:r>
        <w:rPr>
          <w:rFonts w:hint="eastAsia" w:ascii="宋体" w:hAnsi="宋体"/>
          <w:b/>
          <w:iCs/>
          <w:sz w:val="24"/>
          <w:szCs w:val="24"/>
        </w:rPr>
        <w:t>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7CE61A69">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highlight w:val="none"/>
                <w:lang w:val="en-US" w:eastAsia="zh-CN"/>
              </w:rPr>
              <w:t>招商证券</w:t>
            </w:r>
            <w:r>
              <w:rPr>
                <w:rFonts w:hint="eastAsia" w:ascii="宋体" w:hAnsi="宋体" w:cs="宋体"/>
                <w:sz w:val="24"/>
                <w:szCs w:val="24"/>
                <w:highlight w:val="none"/>
                <w:lang w:val="en-US" w:eastAsia="zh-CN"/>
              </w:rPr>
              <w:t>、南方基金</w:t>
            </w:r>
            <w:bookmarkStart w:id="0" w:name="_GoBack"/>
            <w:bookmarkEnd w:id="0"/>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5</w:t>
            </w:r>
            <w:r>
              <w:rPr>
                <w:rFonts w:hint="eastAsia" w:ascii="宋体" w:hAnsi="宋体"/>
                <w:bCs/>
                <w:iCs/>
                <w:sz w:val="24"/>
                <w:szCs w:val="24"/>
              </w:rPr>
              <w:t>年</w:t>
            </w:r>
            <w:r>
              <w:rPr>
                <w:rFonts w:hint="eastAsia" w:ascii="宋体" w:hAnsi="宋体"/>
                <w:bCs/>
                <w:iCs/>
                <w:sz w:val="24"/>
                <w:szCs w:val="24"/>
                <w:lang w:val="en-US" w:eastAsia="zh-CN"/>
              </w:rPr>
              <w:t>5</w:t>
            </w:r>
            <w:r>
              <w:rPr>
                <w:rFonts w:hint="eastAsia" w:ascii="宋体" w:hAnsi="宋体"/>
                <w:bCs/>
                <w:iCs/>
                <w:sz w:val="24"/>
                <w:szCs w:val="24"/>
              </w:rPr>
              <w:t>月</w:t>
            </w:r>
            <w:r>
              <w:rPr>
                <w:rFonts w:hint="eastAsia" w:ascii="宋体" w:hAnsi="宋体"/>
                <w:bCs/>
                <w:iCs/>
                <w:sz w:val="24"/>
                <w:szCs w:val="24"/>
                <w:lang w:val="en-US" w:eastAsia="zh-CN"/>
              </w:rPr>
              <w:t>29</w:t>
            </w:r>
            <w:r>
              <w:rPr>
                <w:rFonts w:hint="eastAsia" w:ascii="宋体" w:hAnsi="宋体"/>
                <w:bCs/>
                <w:iCs/>
                <w:sz w:val="24"/>
                <w:szCs w:val="24"/>
              </w:rPr>
              <w:t>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rPr>
              <w:t>线</w:t>
            </w:r>
            <w:r>
              <w:rPr>
                <w:rFonts w:hint="eastAsia" w:ascii="宋体" w:hAnsi="宋体"/>
                <w:bCs/>
                <w:iCs/>
                <w:sz w:val="24"/>
                <w:szCs w:val="24"/>
                <w:lang w:val="en-US" w:eastAsia="zh-CN"/>
              </w:rPr>
              <w:t>下</w:t>
            </w:r>
            <w:r>
              <w:rPr>
                <w:rFonts w:hint="eastAsia" w:ascii="宋体" w:hAnsi="宋体"/>
                <w:bCs/>
                <w:iCs/>
                <w:sz w:val="24"/>
                <w:szCs w:val="24"/>
              </w:rPr>
              <w:t>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5422822E">
            <w:pPr>
              <w:spacing w:line="360" w:lineRule="auto"/>
              <w:rPr>
                <w:rFonts w:hint="default" w:ascii="宋体" w:hAnsi="宋体"/>
                <w:bCs/>
                <w:iCs/>
                <w:sz w:val="24"/>
                <w:szCs w:val="24"/>
                <w:lang w:val="en-US"/>
              </w:rPr>
            </w:pPr>
            <w:r>
              <w:rPr>
                <w:rFonts w:hint="eastAsia" w:ascii="宋体" w:hAnsi="宋体"/>
                <w:bCs/>
                <w:iCs/>
                <w:sz w:val="24"/>
                <w:szCs w:val="24"/>
                <w:lang w:val="en-US" w:eastAsia="zh-CN"/>
              </w:rPr>
              <w:t>董事会秘书 魏丽萍女士</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4D36C545">
            <w:pPr>
              <w:numPr>
                <w:ilvl w:val="255"/>
                <w:numId w:val="0"/>
              </w:numPr>
              <w:spacing w:before="156" w:beforeLines="50" w:line="360" w:lineRule="auto"/>
              <w:ind w:firstLine="480" w:firstLineChars="200"/>
              <w:rPr>
                <w:sz w:val="24"/>
              </w:rPr>
            </w:pPr>
            <w:r>
              <w:rPr>
                <w:rFonts w:hint="eastAsia"/>
                <w:sz w:val="24"/>
              </w:rPr>
              <w:t>一、公司介绍环节</w:t>
            </w:r>
          </w:p>
          <w:p w14:paraId="0BC77868">
            <w:pPr>
              <w:numPr>
                <w:ilvl w:val="255"/>
                <w:numId w:val="0"/>
              </w:numPr>
              <w:spacing w:before="156" w:beforeLines="50" w:line="360" w:lineRule="auto"/>
              <w:ind w:firstLine="480" w:firstLineChars="200"/>
              <w:rPr>
                <w:rFonts w:hint="eastAsia"/>
                <w:kern w:val="0"/>
                <w:sz w:val="24"/>
                <w:lang w:val="en-US" w:eastAsia="zh-CN"/>
              </w:rPr>
            </w:pPr>
            <w:r>
              <w:rPr>
                <w:rFonts w:hint="eastAsia"/>
                <w:sz w:val="24"/>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r>
              <w:rPr>
                <w:rFonts w:hint="eastAsia" w:ascii="Times New Roman" w:hAnsi="Times New Roman" w:eastAsia="宋体" w:cs="Times New Roman"/>
                <w:sz w:val="24"/>
                <w:szCs w:val="24"/>
              </w:rPr>
              <w:t>作为一家专注于药物创新研发的综合性企业，阳光诺和通过“研发服务+管线培育+新质产业链”三位一体战略，在自研创新、技术升级及全球化布局上实现多重突破，展现出从CRO“委托方”向创新驱动型“合作方”转型的强劲势能。</w:t>
            </w:r>
          </w:p>
          <w:p w14:paraId="3C74F722">
            <w:pPr>
              <w:numPr>
                <w:ilvl w:val="255"/>
                <w:numId w:val="0"/>
              </w:numPr>
              <w:spacing w:before="156" w:beforeLines="50" w:line="360" w:lineRule="auto"/>
              <w:ind w:firstLine="480" w:firstLineChars="200"/>
              <w:rPr>
                <w:rFonts w:hint="default"/>
                <w:sz w:val="24"/>
                <w:lang w:val="en-US" w:eastAsia="zh-CN"/>
              </w:rPr>
            </w:pPr>
            <w:r>
              <w:rPr>
                <w:rFonts w:hint="default"/>
                <w:sz w:val="24"/>
                <w:lang w:val="en-US" w:eastAsia="zh-CN"/>
              </w:rPr>
              <w:t>研发创新方面，公司不断加大研发投入，报告期内，公司研发费用</w:t>
            </w:r>
            <w:r>
              <w:rPr>
                <w:rFonts w:hint="eastAsia"/>
                <w:sz w:val="24"/>
                <w:lang w:val="en-US" w:eastAsia="zh-CN"/>
              </w:rPr>
              <w:t>为</w:t>
            </w:r>
            <w:r>
              <w:rPr>
                <w:rFonts w:hint="eastAsia" w:ascii="Times New Roman" w:hAnsi="Times New Roman" w:eastAsia="宋体" w:cs="Times New Roman"/>
                <w:sz w:val="24"/>
                <w:szCs w:val="24"/>
              </w:rPr>
              <w:t>3,772.95万元，同比增长7.90%，研发费用占营业收入的比例为16.34%，截止2024年底公司</w:t>
            </w:r>
            <w:r>
              <w:rPr>
                <w:rFonts w:hint="default"/>
                <w:sz w:val="24"/>
                <w:lang w:val="en-US" w:eastAsia="zh-CN"/>
              </w:rPr>
              <w:t>研发项目累计已超430项，其中新立项自研项目达89余项。在创新药研发方面在研产品主要应用在镇痛、肾病与透析、肿瘤辅助、心脑血管、抗菌用药等适应症领域，并有多个创新药在研项目在国内无相同产品上市，竞争格局良好，极具市场价值。后续随着这些药品上市，将为公司拓展更多临床应用场景提供可能性。例如在多肽领域，公司目前已有3个适应症管线进入临床，其中“STC007注射液”目前具有手术镇痛和尿毒症瘙痒两个适应症都已进入二期临床试验阶段，“STC008注射液”也已进入一期临床试验阶段，其主要适应症为治疗晚期实体瘤相关的肿瘤恶液质，其他管线在临床前研究不同阶段，进展顺利。</w:t>
            </w:r>
          </w:p>
          <w:p w14:paraId="5242BECC">
            <w:pPr>
              <w:numPr>
                <w:ilvl w:val="255"/>
                <w:numId w:val="0"/>
              </w:numPr>
              <w:spacing w:before="156" w:beforeLines="50" w:line="360" w:lineRule="auto"/>
              <w:ind w:firstLine="482" w:firstLineChars="200"/>
              <w:rPr>
                <w:rFonts w:hint="eastAsia" w:ascii="宋体" w:hAnsi="宋体"/>
                <w:b/>
                <w:iCs/>
                <w:sz w:val="24"/>
                <w:szCs w:val="24"/>
              </w:rPr>
            </w:pPr>
            <w:r>
              <w:rPr>
                <w:rFonts w:hint="eastAsia" w:ascii="宋体" w:hAnsi="宋体"/>
                <w:b/>
                <w:iCs/>
                <w:sz w:val="24"/>
                <w:szCs w:val="24"/>
              </w:rPr>
              <w:t>二、问答环节</w:t>
            </w:r>
          </w:p>
          <w:p w14:paraId="26B8C90D">
            <w:pPr>
              <w:numPr>
                <w:ilvl w:val="0"/>
                <w:numId w:val="1"/>
              </w:numPr>
              <w:spacing w:before="156" w:beforeLines="50" w:line="360" w:lineRule="auto"/>
              <w:ind w:left="425" w:leftChars="0" w:firstLine="1" w:firstLineChars="0"/>
              <w:rPr>
                <w:rFonts w:hint="eastAsia"/>
                <w:b/>
                <w:iCs/>
                <w:sz w:val="24"/>
                <w:szCs w:val="24"/>
                <w:lang w:val="en-US" w:eastAsia="zh-CN"/>
              </w:rPr>
            </w:pPr>
            <w:r>
              <w:rPr>
                <w:rFonts w:hint="eastAsia"/>
                <w:b/>
                <w:iCs/>
                <w:sz w:val="24"/>
                <w:szCs w:val="24"/>
                <w:lang w:val="en-US" w:eastAsia="zh-CN"/>
              </w:rPr>
              <w:t xml:space="preserve">阳光诺和在小核酸药物领域的布局，对公司未来发展战略有何重要意义？ </w:t>
            </w:r>
          </w:p>
          <w:p w14:paraId="5141B665">
            <w:pPr>
              <w:numPr>
                <w:ilvl w:val="255"/>
                <w:numId w:val="0"/>
              </w:numPr>
              <w:spacing w:before="156" w:beforeLines="50" w:line="360" w:lineRule="auto"/>
              <w:ind w:firstLine="480" w:firstLineChars="200"/>
              <w:rPr>
                <w:rFonts w:hint="default"/>
                <w:sz w:val="24"/>
                <w:lang w:val="en-US" w:eastAsia="zh-CN"/>
              </w:rPr>
            </w:pPr>
            <w:r>
              <w:rPr>
                <w:rFonts w:hint="eastAsia"/>
                <w:sz w:val="24"/>
                <w:lang w:val="en-US" w:eastAsia="zh-CN"/>
              </w:rPr>
              <w:t>阳光诺和布局小核酸药物领域，契合行业趋势，对公司未来发展战略意义重大。从发展前景来看，小核酸药物作为第三代药物形态，有着广阔的发展前景，其直接干预基因的特性，可开发靶点数量远超传统药物，阳光诺和布局该领域，能紧跟行业前沿趋势，引领自身创新转型，从传统研发模式向基因层面精准研发转变，提升公司在创新药研发领域的技术水平和竞争力。从公司布局来看，公司在小核酸药物领域规划了多个项目，这些项目丰富了公司的产品管线，为未来业绩增长提供了新的支撑点。随着这些产品逐步推进，有望为公司带来持续的收入和利润增长，增强公司发展潜力。从市场来看，全球小核酸药物市场增长迅速，预计到2033年全球市场规模将达467亿美元，2030年中国市场规模可达100亿。阳光诺和布局小核酸药物，能够提前抢占市场先机，开拓新的市场空间。通过推出具有竞争力的小核酸药物产品，提升公司在国内外市场的份额，增强公司在全球医药市场的影响力。从产业来看，阳光诺和构建了“研发服务+管线培育+新质产业链”的业务生态体系。小核酸药物的研发、生产和销售可融入这一体系，进一步完善产业链布局。研发成果可通过朗研生命的生产平台实现产业化，利用现有销售渠道推向市场，强化各业务环节的协同效应，提高公司整体运营效率和盈利能力。小核酸药物领域备受资本关注，众多MNC（跨国制药企业）下场布局，阳光诺和在该领域的布局，有助于吸引更多的资金、技术和人才等资源。同时，更易与国内外企业开展战略合作，公司可整合各方优势，提升综合实力，加速发展进程。</w:t>
            </w:r>
          </w:p>
          <w:p w14:paraId="1579521E">
            <w:pPr>
              <w:numPr>
                <w:ilvl w:val="0"/>
                <w:numId w:val="1"/>
              </w:numPr>
              <w:spacing w:before="156" w:beforeLines="50" w:line="360" w:lineRule="auto"/>
              <w:ind w:left="425" w:leftChars="0" w:firstLine="1" w:firstLineChars="0"/>
              <w:rPr>
                <w:rFonts w:hint="eastAsia"/>
                <w:b/>
                <w:iCs/>
                <w:sz w:val="24"/>
                <w:szCs w:val="24"/>
              </w:rPr>
            </w:pPr>
            <w:r>
              <w:rPr>
                <w:rFonts w:hint="eastAsia"/>
                <w:b/>
                <w:iCs/>
                <w:sz w:val="24"/>
                <w:szCs w:val="24"/>
                <w:lang w:val="en-US" w:eastAsia="zh-CN"/>
              </w:rPr>
              <w:t>阳光诺和构建的“研发服务+管线培育+新质产业链”三位一体业务生态体系，有怎样的协同优势？</w:t>
            </w:r>
          </w:p>
          <w:p w14:paraId="643AED48">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ascii="宋体" w:hAnsi="宋体" w:eastAsia="宋体"/>
                <w:b w:val="0"/>
                <w:bCs/>
                <w:iCs/>
                <w:sz w:val="24"/>
                <w:szCs w:val="24"/>
                <w:lang w:val="en-US" w:eastAsia="zh-CN"/>
              </w:rPr>
            </w:pPr>
            <w:r>
              <w:rPr>
                <w:rFonts w:hint="eastAsia" w:ascii="宋体" w:hAnsi="宋体"/>
                <w:b w:val="0"/>
                <w:bCs/>
                <w:iCs/>
                <w:sz w:val="24"/>
                <w:szCs w:val="24"/>
                <w:lang w:val="en-US" w:eastAsia="zh-CN"/>
              </w:rPr>
              <w:t>在研发服务上，公司打造了全面且专业的平台，从药物发现到临床研究各环节都具备成熟技术与经验。管线培育方面，布局了丰富涵盖创新药、改良药和特殊剂型仿制药的产品线。新质产业链上，拟收购的朗研生命整合了原料药和制剂生产能力。这种三位一体体系下，研发服务为管线培育提供技术支撑，研发成果能通过新质产业链实现产业化落地；新质产业链又能为研发服务和管线培育提供资金与生产保障，管线培育的成果可借助研发服务和新质产业链推向市场，各环节相互促进、协同发展，极大提升公司整体运营效率与盈利能力，增强公司在行业内的综合竞争力。</w:t>
            </w:r>
          </w:p>
          <w:p w14:paraId="13EF8075">
            <w:pPr>
              <w:numPr>
                <w:ilvl w:val="0"/>
                <w:numId w:val="2"/>
              </w:numPr>
              <w:spacing w:before="156" w:beforeLines="50" w:line="360" w:lineRule="auto"/>
              <w:ind w:firstLine="482" w:firstLineChars="200"/>
              <w:rPr>
                <w:rFonts w:hint="eastAsia"/>
                <w:b/>
                <w:sz w:val="24"/>
              </w:rPr>
            </w:pPr>
            <w:r>
              <w:rPr>
                <w:rFonts w:hint="eastAsia"/>
                <w:b/>
                <w:sz w:val="24"/>
              </w:rPr>
              <w:t xml:space="preserve">阳光诺和在经皮递送研发平台（TDDS）方面的成果对公司发展有何重要意义？ </w:t>
            </w:r>
          </w:p>
          <w:p w14:paraId="404DB656">
            <w:pPr>
              <w:numPr>
                <w:ilvl w:val="-1"/>
                <w:numId w:val="0"/>
              </w:numPr>
              <w:spacing w:before="156" w:beforeLines="50" w:line="360" w:lineRule="auto"/>
              <w:ind w:firstLine="480" w:firstLineChars="200"/>
              <w:rPr>
                <w:rFonts w:hint="eastAsia"/>
                <w:b/>
                <w:sz w:val="24"/>
              </w:rPr>
            </w:pPr>
            <w:r>
              <w:rPr>
                <w:rFonts w:hint="eastAsia"/>
                <w:bCs/>
                <w:iCs/>
                <w:sz w:val="24"/>
                <w:szCs w:val="24"/>
                <w:lang w:val="en-US" w:eastAsia="zh-CN"/>
              </w:rPr>
              <w:t>在经皮递送研发平台方面，子公司诺和恒光在凝胶贴膏、热熔贴剂和透皮贴研发上经验丰富，公司已成功验证多个产品工艺，如洛索洛芬钠凝胶贴膏、氟比洛芬凝胶贴膏等，并完成上市申请。通过与日本 KANEKA 公司合作，引进先进透皮贴剂技术，在研项目覆盖阿尔茨海默病、精神分裂、哮喘等多个领域。这不仅丰富了公司的产品管线，为患者提供更多给药选择，还能拓展公司在高端制剂市场的业务范围，提升公司产品的附加值与市场竞争力，为公司带来新的盈利增长点，推动公司持续稳定发展。</w:t>
            </w:r>
          </w:p>
          <w:p w14:paraId="1630CA43">
            <w:pPr>
              <w:numPr>
                <w:ilvl w:val="0"/>
                <w:numId w:val="3"/>
              </w:numPr>
              <w:spacing w:before="156" w:beforeLines="50" w:line="360" w:lineRule="auto"/>
              <w:ind w:firstLine="482" w:firstLineChars="200"/>
              <w:rPr>
                <w:rFonts w:hint="eastAsia"/>
                <w:b/>
                <w:sz w:val="24"/>
                <w:highlight w:val="none"/>
              </w:rPr>
            </w:pPr>
            <w:r>
              <w:rPr>
                <w:rFonts w:hint="default"/>
                <w:b/>
                <w:sz w:val="24"/>
                <w:highlight w:val="none"/>
                <w:lang w:val="en-US" w:eastAsia="zh-CN"/>
              </w:rPr>
              <w:t>公司在多肽药物研发方面有哪些布局和进展？</w:t>
            </w:r>
          </w:p>
          <w:p w14:paraId="04262ED9">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b w:val="0"/>
                <w:bCs/>
                <w:sz w:val="24"/>
                <w:highlight w:val="none"/>
                <w:lang w:val="en-US" w:eastAsia="zh-CN"/>
              </w:rPr>
            </w:pPr>
            <w:r>
              <w:rPr>
                <w:rFonts w:hint="eastAsia"/>
                <w:b w:val="0"/>
                <w:bCs/>
                <w:sz w:val="24"/>
                <w:highlight w:val="none"/>
                <w:lang w:val="en-US" w:eastAsia="zh-CN"/>
              </w:rPr>
              <w:t>阳光诺和在多肽药物研发方面积极布局，公司拥有iCVETide多肽新药发现平台，利用计算辅助药物发现（CADD）技术加速多肽创新药物分子的发现速度并大幅降低筛选成本。公司还将与华为云合作开发基于盘古大模型的AI多肽分子发现平台，通过人工智能辅助药物发现（AIDD）技术进一步提升iCVETide平台的分子发现与优化能力。公司同时拥有BiMTtide多肽偶联药物（PDC）开发平台，能够进行PDC、RDC药物的分子结构优化与定制开发。目前，公司已有3个适应症管线进入临床，其中“STC007注射液”（治疗接受血液透析（HD）的成人慢性肾脏疾病相关的中至重度瘙痒（CKD-aP）及治疗术后疼痛）两个适应症，均进入二期临床试验阶段；“STC008注射液”已进入一期临床试验阶段,主要适应症为治疗晚期实体瘤相关的肿瘤恶液质。</w:t>
            </w:r>
          </w:p>
          <w:p w14:paraId="7B217B6D">
            <w:pPr>
              <w:numPr>
                <w:ilvl w:val="0"/>
                <w:numId w:val="3"/>
              </w:numPr>
              <w:spacing w:before="156" w:beforeLines="50" w:line="360" w:lineRule="auto"/>
              <w:ind w:firstLine="482" w:firstLineChars="200"/>
              <w:rPr>
                <w:rFonts w:hint="default"/>
                <w:b w:val="0"/>
                <w:bCs/>
                <w:sz w:val="24"/>
                <w:highlight w:val="none"/>
                <w:lang w:val="en-US" w:eastAsia="zh-CN"/>
              </w:rPr>
            </w:pPr>
            <w:r>
              <w:rPr>
                <w:rFonts w:hint="default"/>
                <w:b/>
                <w:sz w:val="24"/>
                <w:highlight w:val="none"/>
                <w:lang w:val="en-US" w:eastAsia="zh-CN"/>
              </w:rPr>
              <w:t>公司注射用缓释微球技术平台</w:t>
            </w:r>
            <w:r>
              <w:rPr>
                <w:rFonts w:hint="eastAsia"/>
                <w:b/>
                <w:sz w:val="24"/>
                <w:highlight w:val="none"/>
                <w:lang w:val="en-US" w:eastAsia="zh-CN"/>
              </w:rPr>
              <w:t>的优势</w:t>
            </w:r>
            <w:r>
              <w:rPr>
                <w:rFonts w:hint="default"/>
                <w:b/>
                <w:sz w:val="24"/>
                <w:highlight w:val="none"/>
                <w:lang w:val="en-US" w:eastAsia="zh-CN"/>
              </w:rPr>
              <w:t>？</w:t>
            </w:r>
          </w:p>
          <w:p w14:paraId="37707B2E">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eastAsia="宋体"/>
                <w:bCs/>
                <w:sz w:val="24"/>
                <w:lang w:val="en-US" w:eastAsia="zh-CN"/>
              </w:rPr>
            </w:pPr>
            <w:r>
              <w:rPr>
                <w:rFonts w:hint="eastAsia"/>
                <w:bCs/>
                <w:sz w:val="24"/>
                <w:lang w:val="en-US" w:eastAsia="zh-CN"/>
              </w:rPr>
              <w:t>子公司诺和必拓</w:t>
            </w:r>
            <w:r>
              <w:rPr>
                <w:rFonts w:hint="default" w:eastAsia="宋体"/>
                <w:bCs/>
                <w:sz w:val="24"/>
                <w:lang w:val="en-US" w:eastAsia="zh-CN"/>
              </w:rPr>
              <w:t>建立了缓释微球技术平台</w:t>
            </w:r>
            <w:r>
              <w:rPr>
                <w:rFonts w:hint="eastAsia"/>
                <w:bCs/>
                <w:sz w:val="24"/>
                <w:lang w:val="en-US" w:eastAsia="zh-CN"/>
              </w:rPr>
              <w:t>，</w:t>
            </w:r>
            <w:r>
              <w:rPr>
                <w:rFonts w:hint="default" w:eastAsia="宋体"/>
                <w:bCs/>
                <w:sz w:val="24"/>
                <w:lang w:val="en-US" w:eastAsia="zh-CN"/>
              </w:rPr>
              <w:t>聚焦注射用缓释微球，实现 7 日甚至数月用药 1 次，减少给药频次，提高患者依从性及药物疗效。</w:t>
            </w:r>
            <w:r>
              <w:rPr>
                <w:rFonts w:hint="eastAsia"/>
                <w:bCs/>
                <w:sz w:val="24"/>
                <w:lang w:val="en-US" w:eastAsia="zh-CN"/>
              </w:rPr>
              <w:t>本项目技术能够</w:t>
            </w:r>
            <w:r>
              <w:rPr>
                <w:rFonts w:hint="default" w:eastAsia="宋体"/>
                <w:bCs/>
                <w:sz w:val="24"/>
                <w:lang w:val="en-US" w:eastAsia="zh-CN"/>
              </w:rPr>
              <w:t>解决现有技术缺陷</w:t>
            </w:r>
            <w:r>
              <w:rPr>
                <w:rFonts w:hint="eastAsia"/>
                <w:bCs/>
                <w:sz w:val="24"/>
                <w:lang w:val="en-US" w:eastAsia="zh-CN"/>
              </w:rPr>
              <w:t>，</w:t>
            </w:r>
            <w:r>
              <w:rPr>
                <w:rFonts w:hint="default" w:eastAsia="宋体"/>
                <w:bCs/>
                <w:sz w:val="24"/>
                <w:lang w:val="en-US" w:eastAsia="zh-CN"/>
              </w:rPr>
              <w:t>改变微球 pH 环境，解决了国内已有技术中药物泄漏问题，且批产量提升至 12000 支，还能兼容多产品生产。注射用缓释微球</w:t>
            </w:r>
            <w:r>
              <w:rPr>
                <w:rFonts w:hint="eastAsia"/>
                <w:bCs/>
                <w:sz w:val="24"/>
                <w:lang w:val="en-US" w:eastAsia="zh-CN"/>
              </w:rPr>
              <w:t>的</w:t>
            </w:r>
            <w:r>
              <w:rPr>
                <w:rFonts w:hint="default" w:eastAsia="宋体"/>
                <w:bCs/>
                <w:sz w:val="24"/>
                <w:lang w:val="en-US" w:eastAsia="zh-CN"/>
              </w:rPr>
              <w:t>市场与技术壁垒高</w:t>
            </w:r>
            <w:r>
              <w:rPr>
                <w:rFonts w:hint="eastAsia"/>
                <w:bCs/>
                <w:sz w:val="24"/>
                <w:lang w:val="en-US" w:eastAsia="zh-CN"/>
              </w:rPr>
              <w:t>，</w:t>
            </w:r>
            <w:r>
              <w:rPr>
                <w:rFonts w:hint="default" w:eastAsia="宋体"/>
                <w:bCs/>
                <w:sz w:val="24"/>
                <w:lang w:val="en-US" w:eastAsia="zh-CN"/>
              </w:rPr>
              <w:t>药学研究复杂、生产线定制化且受专利保护，难以被仿制，市场竞争优势明显。以公司重点在研品种BTS0327为例，该产品基于注射用缓释微球技术开发，通过将药物精准包裹于微球载体，实现药物在体内的缓慢、持续释放，显著延长药物作用时间，提升药物疗效与安全性，</w:t>
            </w:r>
            <w:r>
              <w:rPr>
                <w:rFonts w:hint="eastAsia"/>
                <w:bCs/>
                <w:sz w:val="24"/>
                <w:lang w:val="en-US" w:eastAsia="zh-CN"/>
              </w:rPr>
              <w:t>截止2024年年度报告披露日，</w:t>
            </w:r>
            <w:r>
              <w:rPr>
                <w:rFonts w:hint="default" w:eastAsia="宋体"/>
                <w:bCs/>
                <w:sz w:val="24"/>
                <w:lang w:val="en-US" w:eastAsia="zh-CN"/>
              </w:rPr>
              <w:t>该品种临床试验申请已获得受理。</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default" w:ascii="Times New Roman" w:hAnsi="Times New Roman"/>
                <w:bCs/>
                <w:iCs/>
                <w:sz w:val="24"/>
                <w:szCs w:val="24"/>
              </w:rPr>
              <w:t>20</w:t>
            </w:r>
            <w:r>
              <w:rPr>
                <w:rFonts w:ascii="Times New Roman" w:hAnsi="Times New Roman"/>
                <w:bCs/>
                <w:iCs/>
                <w:sz w:val="24"/>
                <w:szCs w:val="24"/>
              </w:rPr>
              <w:t>2</w:t>
            </w:r>
            <w:r>
              <w:rPr>
                <w:rFonts w:hint="eastAsia"/>
                <w:bCs/>
                <w:iCs/>
                <w:sz w:val="24"/>
                <w:szCs w:val="24"/>
                <w:lang w:val="en-US" w:eastAsia="zh-CN"/>
              </w:rPr>
              <w:t>5</w:t>
            </w:r>
            <w:r>
              <w:rPr>
                <w:rFonts w:hint="default" w:ascii="Times New Roman" w:hAnsi="Times New Roman"/>
                <w:bCs/>
                <w:iCs/>
                <w:sz w:val="24"/>
                <w:szCs w:val="24"/>
              </w:rPr>
              <w:t>年</w:t>
            </w:r>
            <w:r>
              <w:rPr>
                <w:rFonts w:hint="eastAsia"/>
                <w:bCs/>
                <w:iCs/>
                <w:sz w:val="24"/>
                <w:szCs w:val="24"/>
                <w:lang w:val="en-US" w:eastAsia="zh-CN"/>
              </w:rPr>
              <w:t>5</w:t>
            </w:r>
            <w:r>
              <w:rPr>
                <w:rFonts w:hint="default" w:ascii="Times New Roman" w:hAnsi="Times New Roman"/>
                <w:bCs/>
                <w:iCs/>
                <w:sz w:val="24"/>
                <w:szCs w:val="24"/>
              </w:rPr>
              <w:t>月</w:t>
            </w:r>
            <w:r>
              <w:rPr>
                <w:rFonts w:hint="eastAsia"/>
                <w:bCs/>
                <w:iCs/>
                <w:sz w:val="24"/>
                <w:szCs w:val="24"/>
                <w:lang w:val="en-US" w:eastAsia="zh-CN"/>
              </w:rPr>
              <w:t>29</w:t>
            </w:r>
            <w:r>
              <w:rPr>
                <w:rFonts w:hint="default" w:ascii="Times New Roman" w:hAnsi="Times New Roman"/>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6A866"/>
    <w:multiLevelType w:val="singleLevel"/>
    <w:tmpl w:val="B956A866"/>
    <w:lvl w:ilvl="0" w:tentative="0">
      <w:start w:val="4"/>
      <w:numFmt w:val="decimal"/>
      <w:lvlText w:val="%1."/>
      <w:lvlJc w:val="left"/>
      <w:pPr>
        <w:tabs>
          <w:tab w:val="left" w:pos="312"/>
        </w:tabs>
      </w:pPr>
      <w:rPr>
        <w:rFonts w:hint="default"/>
        <w:b/>
        <w:bCs/>
      </w:rPr>
    </w:lvl>
  </w:abstractNum>
  <w:abstractNum w:abstractNumId="1">
    <w:nsid w:val="DC9D47E6"/>
    <w:multiLevelType w:val="singleLevel"/>
    <w:tmpl w:val="DC9D47E6"/>
    <w:lvl w:ilvl="0" w:tentative="0">
      <w:start w:val="3"/>
      <w:numFmt w:val="decimal"/>
      <w:lvlText w:val="%1."/>
      <w:lvlJc w:val="left"/>
      <w:pPr>
        <w:tabs>
          <w:tab w:val="left" w:pos="312"/>
        </w:tabs>
      </w:pPr>
    </w:lvl>
  </w:abstractNum>
  <w:abstractNum w:abstractNumId="2">
    <w:nsid w:val="FFFD3353"/>
    <w:multiLevelType w:val="singleLevel"/>
    <w:tmpl w:val="FFFD3353"/>
    <w:lvl w:ilvl="0" w:tentative="0">
      <w:start w:val="1"/>
      <w:numFmt w:val="decimal"/>
      <w:lvlText w:val="%1."/>
      <w:lvlJc w:val="left"/>
      <w:pPr>
        <w:tabs>
          <w:tab w:val="left" w:pos="425"/>
        </w:tabs>
        <w:ind w:left="425" w:leftChars="0" w:firstLine="1"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2MTRlOTE5NzU3Y2FhZmJjMTA4ODAwNjMyZWVhZDcifQ=="/>
  </w:docVars>
  <w:rsids>
    <w:rsidRoot w:val="52FF551A"/>
    <w:rsid w:val="007C7638"/>
    <w:rsid w:val="00A06CDD"/>
    <w:rsid w:val="00BB2E0E"/>
    <w:rsid w:val="00BF064F"/>
    <w:rsid w:val="00E31C19"/>
    <w:rsid w:val="01AC06BF"/>
    <w:rsid w:val="01CC4519"/>
    <w:rsid w:val="02290130"/>
    <w:rsid w:val="0244511A"/>
    <w:rsid w:val="025F5A5E"/>
    <w:rsid w:val="026811C2"/>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1F7BAB"/>
    <w:rsid w:val="0C612D69"/>
    <w:rsid w:val="0CC92960"/>
    <w:rsid w:val="0D174ABA"/>
    <w:rsid w:val="0DBE3551"/>
    <w:rsid w:val="0DCC4700"/>
    <w:rsid w:val="0E086001"/>
    <w:rsid w:val="0EB77202"/>
    <w:rsid w:val="0F824FAF"/>
    <w:rsid w:val="0FE77118"/>
    <w:rsid w:val="11866453"/>
    <w:rsid w:val="11FF5668"/>
    <w:rsid w:val="122E5DAC"/>
    <w:rsid w:val="12527029"/>
    <w:rsid w:val="12B62932"/>
    <w:rsid w:val="12DB5893"/>
    <w:rsid w:val="134A000D"/>
    <w:rsid w:val="13CF5910"/>
    <w:rsid w:val="144F54F1"/>
    <w:rsid w:val="14EC5248"/>
    <w:rsid w:val="14ED4281"/>
    <w:rsid w:val="15930D03"/>
    <w:rsid w:val="15AA2CEE"/>
    <w:rsid w:val="15B14D16"/>
    <w:rsid w:val="16761466"/>
    <w:rsid w:val="16DA51E9"/>
    <w:rsid w:val="17345A11"/>
    <w:rsid w:val="17FB3086"/>
    <w:rsid w:val="1839393F"/>
    <w:rsid w:val="190E77ED"/>
    <w:rsid w:val="1A0F1E47"/>
    <w:rsid w:val="1A2C70A7"/>
    <w:rsid w:val="1A547590"/>
    <w:rsid w:val="1B2D550F"/>
    <w:rsid w:val="1C51DC73"/>
    <w:rsid w:val="1C524E00"/>
    <w:rsid w:val="1D0C17E5"/>
    <w:rsid w:val="1D74016F"/>
    <w:rsid w:val="1E121C15"/>
    <w:rsid w:val="1EBC241A"/>
    <w:rsid w:val="1F792F8D"/>
    <w:rsid w:val="1F983F69"/>
    <w:rsid w:val="1FAE3E0B"/>
    <w:rsid w:val="20BE1BE1"/>
    <w:rsid w:val="210274BB"/>
    <w:rsid w:val="216347EC"/>
    <w:rsid w:val="22A01C5E"/>
    <w:rsid w:val="22F83CD2"/>
    <w:rsid w:val="2362320E"/>
    <w:rsid w:val="23910C76"/>
    <w:rsid w:val="23D01B44"/>
    <w:rsid w:val="23D06D2E"/>
    <w:rsid w:val="23EB5621"/>
    <w:rsid w:val="241427AF"/>
    <w:rsid w:val="249D14E3"/>
    <w:rsid w:val="24BB0950"/>
    <w:rsid w:val="256D51A0"/>
    <w:rsid w:val="25821C24"/>
    <w:rsid w:val="26A5400D"/>
    <w:rsid w:val="26D51ECB"/>
    <w:rsid w:val="271625E5"/>
    <w:rsid w:val="273725B6"/>
    <w:rsid w:val="27452AA5"/>
    <w:rsid w:val="29093405"/>
    <w:rsid w:val="29706363"/>
    <w:rsid w:val="29DE4401"/>
    <w:rsid w:val="2AC65169"/>
    <w:rsid w:val="2AD401BA"/>
    <w:rsid w:val="2B061EFA"/>
    <w:rsid w:val="2B9F7FE4"/>
    <w:rsid w:val="2C535356"/>
    <w:rsid w:val="2CA85D23"/>
    <w:rsid w:val="2CB67043"/>
    <w:rsid w:val="2CE05AC2"/>
    <w:rsid w:val="2D631540"/>
    <w:rsid w:val="2DCD4D3B"/>
    <w:rsid w:val="2E6F33D5"/>
    <w:rsid w:val="2EA00B62"/>
    <w:rsid w:val="2EA9018A"/>
    <w:rsid w:val="2EDE674F"/>
    <w:rsid w:val="2F4F0EF9"/>
    <w:rsid w:val="2FA368BA"/>
    <w:rsid w:val="2FFA9855"/>
    <w:rsid w:val="303D276E"/>
    <w:rsid w:val="308E0410"/>
    <w:rsid w:val="30A2064A"/>
    <w:rsid w:val="31060FA7"/>
    <w:rsid w:val="31093612"/>
    <w:rsid w:val="31BF300D"/>
    <w:rsid w:val="32A42B73"/>
    <w:rsid w:val="32D27F68"/>
    <w:rsid w:val="33231F8D"/>
    <w:rsid w:val="33260499"/>
    <w:rsid w:val="332F655B"/>
    <w:rsid w:val="33687BF4"/>
    <w:rsid w:val="337942D4"/>
    <w:rsid w:val="34E872B4"/>
    <w:rsid w:val="350D634B"/>
    <w:rsid w:val="36952F4E"/>
    <w:rsid w:val="36B70E22"/>
    <w:rsid w:val="36D92FB2"/>
    <w:rsid w:val="37467413"/>
    <w:rsid w:val="37787510"/>
    <w:rsid w:val="381776BB"/>
    <w:rsid w:val="387520F0"/>
    <w:rsid w:val="39D2147A"/>
    <w:rsid w:val="3A8D04C3"/>
    <w:rsid w:val="3A9F5F2A"/>
    <w:rsid w:val="3B237CC2"/>
    <w:rsid w:val="3B3C7B22"/>
    <w:rsid w:val="3B7403CD"/>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8851C9"/>
    <w:rsid w:val="489D1235"/>
    <w:rsid w:val="48E21AEF"/>
    <w:rsid w:val="4A717AA0"/>
    <w:rsid w:val="4A830B91"/>
    <w:rsid w:val="4AAF5236"/>
    <w:rsid w:val="4AB212D8"/>
    <w:rsid w:val="4B1A52D2"/>
    <w:rsid w:val="4B265D22"/>
    <w:rsid w:val="4B35552C"/>
    <w:rsid w:val="4BB85758"/>
    <w:rsid w:val="4C014C57"/>
    <w:rsid w:val="4C020555"/>
    <w:rsid w:val="4C1E0FC8"/>
    <w:rsid w:val="4C556F25"/>
    <w:rsid w:val="4C84793E"/>
    <w:rsid w:val="4D0E2637"/>
    <w:rsid w:val="4D6024B5"/>
    <w:rsid w:val="4D6378A0"/>
    <w:rsid w:val="4D9C101F"/>
    <w:rsid w:val="4DF658A7"/>
    <w:rsid w:val="4EDF2A9B"/>
    <w:rsid w:val="4EF8205F"/>
    <w:rsid w:val="4F444544"/>
    <w:rsid w:val="4FE37D9E"/>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18013A"/>
    <w:rsid w:val="573622C3"/>
    <w:rsid w:val="576D5BCE"/>
    <w:rsid w:val="57A634A8"/>
    <w:rsid w:val="58836DC8"/>
    <w:rsid w:val="58BA5B76"/>
    <w:rsid w:val="599C16F8"/>
    <w:rsid w:val="5A2A67F5"/>
    <w:rsid w:val="5A4F27F0"/>
    <w:rsid w:val="5A880128"/>
    <w:rsid w:val="5AAE4583"/>
    <w:rsid w:val="5B1D47FA"/>
    <w:rsid w:val="5B205964"/>
    <w:rsid w:val="5D012421"/>
    <w:rsid w:val="5D674700"/>
    <w:rsid w:val="5DD427BF"/>
    <w:rsid w:val="5DDC2CA3"/>
    <w:rsid w:val="5DEC4365"/>
    <w:rsid w:val="5E7435BA"/>
    <w:rsid w:val="5E932ED8"/>
    <w:rsid w:val="60760873"/>
    <w:rsid w:val="60C214BD"/>
    <w:rsid w:val="60C265CF"/>
    <w:rsid w:val="611B583E"/>
    <w:rsid w:val="617862AC"/>
    <w:rsid w:val="62A30EA1"/>
    <w:rsid w:val="62F60387"/>
    <w:rsid w:val="63181F99"/>
    <w:rsid w:val="6320789A"/>
    <w:rsid w:val="63D1618C"/>
    <w:rsid w:val="64661261"/>
    <w:rsid w:val="64932BAD"/>
    <w:rsid w:val="649B4982"/>
    <w:rsid w:val="64BC0286"/>
    <w:rsid w:val="650C2A2C"/>
    <w:rsid w:val="65B7D2A7"/>
    <w:rsid w:val="65CA54AC"/>
    <w:rsid w:val="6680326B"/>
    <w:rsid w:val="669A3582"/>
    <w:rsid w:val="66F23252"/>
    <w:rsid w:val="67920D68"/>
    <w:rsid w:val="67E47875"/>
    <w:rsid w:val="681F4C63"/>
    <w:rsid w:val="68E055B0"/>
    <w:rsid w:val="69961E22"/>
    <w:rsid w:val="6A23123C"/>
    <w:rsid w:val="6A2842F5"/>
    <w:rsid w:val="6A6547A8"/>
    <w:rsid w:val="6A6B5660"/>
    <w:rsid w:val="6B685571"/>
    <w:rsid w:val="6B8F7280"/>
    <w:rsid w:val="6C3309C1"/>
    <w:rsid w:val="6D1E32A1"/>
    <w:rsid w:val="6D322B1C"/>
    <w:rsid w:val="6D9B2F52"/>
    <w:rsid w:val="6E2576AE"/>
    <w:rsid w:val="6E290AB7"/>
    <w:rsid w:val="6E4B77F4"/>
    <w:rsid w:val="6EA45979"/>
    <w:rsid w:val="6EEB2130"/>
    <w:rsid w:val="6FAD1A1F"/>
    <w:rsid w:val="700B2EC6"/>
    <w:rsid w:val="70754AA5"/>
    <w:rsid w:val="70B8083E"/>
    <w:rsid w:val="714D6AE5"/>
    <w:rsid w:val="7171086E"/>
    <w:rsid w:val="719510A4"/>
    <w:rsid w:val="71A66548"/>
    <w:rsid w:val="71C53B96"/>
    <w:rsid w:val="71FA4772"/>
    <w:rsid w:val="71FC4DEA"/>
    <w:rsid w:val="728671BF"/>
    <w:rsid w:val="72C2568A"/>
    <w:rsid w:val="72C94CD5"/>
    <w:rsid w:val="73300DA4"/>
    <w:rsid w:val="744616E9"/>
    <w:rsid w:val="745A380B"/>
    <w:rsid w:val="74A02866"/>
    <w:rsid w:val="75580D0F"/>
    <w:rsid w:val="76440F92"/>
    <w:rsid w:val="767A7C68"/>
    <w:rsid w:val="772F3652"/>
    <w:rsid w:val="779F15A2"/>
    <w:rsid w:val="77AE1328"/>
    <w:rsid w:val="77B6383C"/>
    <w:rsid w:val="77B751AF"/>
    <w:rsid w:val="77FE6C2A"/>
    <w:rsid w:val="78423920"/>
    <w:rsid w:val="78A45D63"/>
    <w:rsid w:val="792128C5"/>
    <w:rsid w:val="794D08AD"/>
    <w:rsid w:val="79661C63"/>
    <w:rsid w:val="79D25FC2"/>
    <w:rsid w:val="79EA2C4D"/>
    <w:rsid w:val="79F90BEF"/>
    <w:rsid w:val="7A4A14CB"/>
    <w:rsid w:val="7A774554"/>
    <w:rsid w:val="7A7F1400"/>
    <w:rsid w:val="7AD051DC"/>
    <w:rsid w:val="7ADB0A5E"/>
    <w:rsid w:val="7AE62B2D"/>
    <w:rsid w:val="7B28387D"/>
    <w:rsid w:val="7BA223D0"/>
    <w:rsid w:val="7C064AE8"/>
    <w:rsid w:val="7C29373A"/>
    <w:rsid w:val="7C6A3054"/>
    <w:rsid w:val="7CD54AA1"/>
    <w:rsid w:val="7CE44ECC"/>
    <w:rsid w:val="7CE571C4"/>
    <w:rsid w:val="7D0375F5"/>
    <w:rsid w:val="7D546905"/>
    <w:rsid w:val="7D6D7ABB"/>
    <w:rsid w:val="7D7234FB"/>
    <w:rsid w:val="7E4F6774"/>
    <w:rsid w:val="7F173DB2"/>
    <w:rsid w:val="7F2266A0"/>
    <w:rsid w:val="7F2E17A9"/>
    <w:rsid w:val="7FAD2049"/>
    <w:rsid w:val="7FEE7A90"/>
    <w:rsid w:val="7FEF3D0E"/>
    <w:rsid w:val="7FF23572"/>
    <w:rsid w:val="8DFE854D"/>
    <w:rsid w:val="CEEA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customStyle="1" w:styleId="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9">
    <w:name w:val="批注文字 字符"/>
    <w:basedOn w:val="6"/>
    <w:link w:val="2"/>
    <w:qFormat/>
    <w:uiPriority w:val="0"/>
    <w:rPr>
      <w:kern w:val="2"/>
      <w:sz w:val="21"/>
    </w:rPr>
  </w:style>
  <w:style w:type="character" w:customStyle="1" w:styleId="10">
    <w:name w:val="批注主题 字符"/>
    <w:basedOn w:val="9"/>
    <w:link w:val="4"/>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2643</Words>
  <Characters>2781</Characters>
  <Lines>18</Lines>
  <Paragraphs>5</Paragraphs>
  <TotalTime>124</TotalTime>
  <ScaleCrop>false</ScaleCrop>
  <LinksUpToDate>false</LinksUpToDate>
  <CharactersWithSpaces>2858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2024-09-26T06:32:00Z</dcterms:created>
  <dc:creator>杨贵娇</dc:creator>
  <cp:lastModifiedBy>杨贵娇</cp:lastModifiedBy>
  <dcterms:modified xsi:type="dcterms:W3CDTF">2025-05-30T06:19:18Z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6C50DA1D0F464CF3850B58D3366B7706_13</vt:lpwstr>
  </property>
  <property fmtid="{D5CDD505-2E9C-101B-9397-08002B2CF9AE}" pid="4" name="KSOTemplateDocerSaveRecord">
    <vt:lpwstr>eyJoZGlkIjoiZTM2MTRlOTE5NzU3Y2FhZmJjMTA4ODAwNjMyZWVhZDciLCJ1c2VySWQiOiIzOTQyNDEyNzQifQ==</vt:lpwstr>
  </property>
</Properties>
</file>