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B01E3">
      <w:pPr>
        <w:spacing w:before="156" w:beforeLines="50" w:after="156" w:afterLines="50" w:line="400" w:lineRule="exact"/>
        <w:rPr>
          <w:bCs/>
          <w:iCs/>
          <w:color w:val="000000"/>
          <w:sz w:val="24"/>
          <w:szCs w:val="22"/>
        </w:rPr>
      </w:pPr>
      <w:r>
        <w:rPr>
          <w:bCs/>
          <w:iCs/>
          <w:color w:val="000000"/>
          <w:sz w:val="24"/>
          <w:szCs w:val="22"/>
        </w:rPr>
        <w:t>证券代码：688361                                 证券简称：中科飞测</w:t>
      </w:r>
    </w:p>
    <w:p w14:paraId="6D942100">
      <w:pPr>
        <w:spacing w:line="360" w:lineRule="auto"/>
        <w:ind w:firstLine="482" w:firstLineChars="200"/>
        <w:jc w:val="center"/>
        <w:rPr>
          <w:rFonts w:hint="eastAsia" w:ascii="宋体" w:hAnsi="宋体"/>
          <w:b/>
          <w:bCs/>
          <w:iCs/>
          <w:color w:val="000000"/>
          <w:sz w:val="24"/>
        </w:rPr>
      </w:pPr>
      <w:r>
        <w:rPr>
          <w:rFonts w:hint="eastAsia" w:ascii="宋体" w:hAnsi="宋体"/>
          <w:b/>
          <w:bCs/>
          <w:iCs/>
          <w:color w:val="000000"/>
          <w:sz w:val="24"/>
        </w:rPr>
        <w:t>深圳中科飞测科技股份有限公司投资者关系活动记录表</w:t>
      </w:r>
    </w:p>
    <w:p w14:paraId="66C2FE66">
      <w:pPr>
        <w:spacing w:line="400" w:lineRule="exact"/>
        <w:ind w:firstLine="480" w:firstLineChars="200"/>
        <w:rPr>
          <w:bCs/>
          <w:iCs/>
          <w:color w:val="000000"/>
          <w:sz w:val="24"/>
        </w:rPr>
      </w:pPr>
      <w:r>
        <w:rPr>
          <w:bCs/>
          <w:iCs/>
          <w:color w:val="000000"/>
          <w:sz w:val="24"/>
        </w:rPr>
        <w:t xml:space="preserve">                                                   编号：202</w:t>
      </w:r>
      <w:r>
        <w:rPr>
          <w:rFonts w:hint="eastAsia"/>
          <w:bCs/>
          <w:iCs/>
          <w:color w:val="000000"/>
          <w:sz w:val="24"/>
        </w:rPr>
        <w:t>5</w:t>
      </w:r>
      <w:r>
        <w:rPr>
          <w:bCs/>
          <w:iCs/>
          <w:color w:val="000000"/>
          <w:sz w:val="24"/>
        </w:rPr>
        <w:t>-00</w:t>
      </w:r>
      <w:r>
        <w:rPr>
          <w:rFonts w:hint="eastAsia"/>
          <w:bCs/>
          <w:iCs/>
          <w:color w:val="000000"/>
          <w:sz w:val="24"/>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384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61A68391">
            <w:pPr>
              <w:spacing w:line="360" w:lineRule="auto"/>
              <w:rPr>
                <w:bCs/>
                <w:iCs/>
                <w:color w:val="000000"/>
                <w:szCs w:val="21"/>
              </w:rPr>
            </w:pPr>
            <w:r>
              <w:rPr>
                <w:rFonts w:hint="eastAsia"/>
                <w:bCs/>
                <w:iCs/>
                <w:color w:val="000000"/>
                <w:szCs w:val="21"/>
              </w:rPr>
              <w:t>投资者关系活动类别</w:t>
            </w:r>
          </w:p>
          <w:p w14:paraId="4C123CD3">
            <w:pPr>
              <w:spacing w:line="360" w:lineRule="auto"/>
              <w:rPr>
                <w:bCs/>
                <w:iCs/>
                <w:color w:val="000000"/>
                <w:szCs w:val="21"/>
              </w:rPr>
            </w:pPr>
          </w:p>
        </w:tc>
        <w:tc>
          <w:tcPr>
            <w:tcW w:w="6600" w:type="dxa"/>
            <w:tcBorders>
              <w:top w:val="single" w:color="auto" w:sz="4" w:space="0"/>
              <w:left w:val="single" w:color="auto" w:sz="4" w:space="0"/>
              <w:bottom w:val="single" w:color="auto" w:sz="4" w:space="0"/>
              <w:right w:val="single" w:color="auto" w:sz="4" w:space="0"/>
            </w:tcBorders>
            <w:shd w:val="clear" w:color="auto" w:fill="auto"/>
          </w:tcPr>
          <w:p w14:paraId="72B43ABF">
            <w:pPr>
              <w:spacing w:line="480" w:lineRule="atLeast"/>
              <w:rPr>
                <w:bCs/>
                <w:iCs/>
                <w:color w:val="000000"/>
                <w:szCs w:val="21"/>
              </w:rPr>
            </w:pPr>
            <w:r>
              <w:rPr>
                <w:rFonts w:hint="eastAsia"/>
                <w:color w:val="000000"/>
                <w:szCs w:val="21"/>
              </w:rPr>
              <w:t>☑</w:t>
            </w:r>
            <w:r>
              <w:rPr>
                <w:rFonts w:hint="eastAsia"/>
                <w:szCs w:val="21"/>
              </w:rPr>
              <w:t xml:space="preserve">特定对象调研        </w:t>
            </w:r>
            <w:r>
              <w:rPr>
                <w:rFonts w:hint="eastAsia"/>
                <w:bCs/>
                <w:iCs/>
                <w:color w:val="000000"/>
                <w:szCs w:val="21"/>
              </w:rPr>
              <w:t>□</w:t>
            </w:r>
            <w:r>
              <w:rPr>
                <w:rFonts w:hint="eastAsia"/>
                <w:szCs w:val="21"/>
              </w:rPr>
              <w:t>分析师会议</w:t>
            </w:r>
          </w:p>
          <w:p w14:paraId="073EB843">
            <w:pPr>
              <w:spacing w:line="480" w:lineRule="atLeast"/>
              <w:rPr>
                <w:bCs/>
                <w:iCs/>
                <w:color w:val="000000"/>
                <w:szCs w:val="21"/>
              </w:rPr>
            </w:pPr>
            <w:r>
              <w:rPr>
                <w:rFonts w:hint="eastAsia"/>
                <w:bCs/>
                <w:iCs/>
                <w:color w:val="000000"/>
                <w:szCs w:val="21"/>
              </w:rPr>
              <w:t>□</w:t>
            </w:r>
            <w:r>
              <w:rPr>
                <w:rFonts w:hint="eastAsia"/>
                <w:szCs w:val="21"/>
              </w:rPr>
              <w:t xml:space="preserve">媒体采访            </w:t>
            </w:r>
            <w:r>
              <w:rPr>
                <w:rFonts w:hint="eastAsia"/>
                <w:bCs/>
                <w:iCs/>
                <w:color w:val="000000"/>
                <w:szCs w:val="21"/>
              </w:rPr>
              <w:t>□</w:t>
            </w:r>
            <w:r>
              <w:rPr>
                <w:rFonts w:hint="eastAsia"/>
                <w:szCs w:val="21"/>
              </w:rPr>
              <w:t>业绩说明会</w:t>
            </w:r>
          </w:p>
          <w:p w14:paraId="0C2F9405">
            <w:pPr>
              <w:spacing w:line="480" w:lineRule="atLeast"/>
              <w:rPr>
                <w:bCs/>
                <w:iCs/>
                <w:color w:val="000000"/>
                <w:szCs w:val="21"/>
              </w:rPr>
            </w:pPr>
            <w:r>
              <w:rPr>
                <w:rFonts w:hint="eastAsia"/>
                <w:bCs/>
                <w:iCs/>
                <w:color w:val="000000"/>
                <w:szCs w:val="21"/>
              </w:rPr>
              <w:t>□</w:t>
            </w:r>
            <w:r>
              <w:rPr>
                <w:rFonts w:hint="eastAsia"/>
                <w:szCs w:val="21"/>
              </w:rPr>
              <w:t xml:space="preserve">新闻发布会          </w:t>
            </w:r>
            <w:r>
              <w:rPr>
                <w:rFonts w:hint="eastAsia"/>
                <w:bCs/>
                <w:iCs/>
                <w:color w:val="000000"/>
                <w:szCs w:val="21"/>
              </w:rPr>
              <w:t>□</w:t>
            </w:r>
            <w:r>
              <w:rPr>
                <w:rFonts w:hint="eastAsia"/>
                <w:szCs w:val="21"/>
              </w:rPr>
              <w:t>路演活动</w:t>
            </w:r>
          </w:p>
          <w:p w14:paraId="184E47B4">
            <w:pPr>
              <w:tabs>
                <w:tab w:val="left" w:pos="3045"/>
                <w:tab w:val="center" w:pos="3199"/>
              </w:tabs>
              <w:spacing w:line="480" w:lineRule="atLeast"/>
              <w:rPr>
                <w:bCs/>
                <w:iCs/>
                <w:color w:val="000000"/>
                <w:szCs w:val="21"/>
              </w:rPr>
            </w:pPr>
            <w:r>
              <w:rPr>
                <w:rFonts w:hint="eastAsia"/>
                <w:bCs/>
                <w:iCs/>
                <w:color w:val="000000"/>
                <w:szCs w:val="21"/>
              </w:rPr>
              <w:t>□</w:t>
            </w:r>
            <w:r>
              <w:rPr>
                <w:rFonts w:hint="eastAsia"/>
                <w:szCs w:val="21"/>
              </w:rPr>
              <w:t>现场参观</w:t>
            </w:r>
            <w:r>
              <w:rPr>
                <w:rFonts w:hint="eastAsia"/>
                <w:bCs/>
                <w:iCs/>
                <w:color w:val="000000"/>
                <w:szCs w:val="21"/>
              </w:rPr>
              <w:tab/>
            </w:r>
          </w:p>
          <w:p w14:paraId="0E218D99">
            <w:pPr>
              <w:tabs>
                <w:tab w:val="center" w:pos="3199"/>
              </w:tabs>
              <w:spacing w:line="480" w:lineRule="atLeast"/>
              <w:rPr>
                <w:bCs/>
                <w:iCs/>
                <w:color w:val="000000"/>
                <w:szCs w:val="21"/>
              </w:rPr>
            </w:pPr>
            <w:bookmarkStart w:id="0" w:name="OLE_LINK7"/>
            <w:r>
              <w:rPr>
                <w:rFonts w:hint="eastAsia"/>
                <w:color w:val="000000"/>
                <w:szCs w:val="21"/>
              </w:rPr>
              <w:t>☑</w:t>
            </w:r>
            <w:bookmarkEnd w:id="0"/>
            <w:r>
              <w:rPr>
                <w:rFonts w:hint="eastAsia"/>
                <w:szCs w:val="21"/>
              </w:rPr>
              <w:t xml:space="preserve">其他 </w:t>
            </w:r>
            <w:r>
              <w:rPr>
                <w:rFonts w:hint="eastAsia"/>
                <w:szCs w:val="21"/>
                <w:u w:val="single"/>
              </w:rPr>
              <w:t>（电话会议、网络会议等形式）</w:t>
            </w:r>
          </w:p>
        </w:tc>
      </w:tr>
      <w:tr w14:paraId="5DD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54008478">
            <w:pPr>
              <w:spacing w:line="360" w:lineRule="auto"/>
              <w:rPr>
                <w:bCs/>
                <w:iCs/>
                <w:color w:val="000000"/>
                <w:szCs w:val="21"/>
              </w:rPr>
            </w:pPr>
            <w:r>
              <w:rPr>
                <w:rFonts w:hint="eastAsia"/>
                <w:bCs/>
                <w:iCs/>
                <w:color w:val="000000"/>
                <w:szCs w:val="21"/>
              </w:rPr>
              <w:t>参与单位名称</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32E6DDBD">
            <w:pPr>
              <w:spacing w:line="360" w:lineRule="auto"/>
              <w:rPr>
                <w:bCs/>
                <w:iCs/>
                <w:color w:val="000000"/>
                <w:szCs w:val="21"/>
              </w:rPr>
            </w:pPr>
            <w:r>
              <w:rPr>
                <w:rFonts w:hint="eastAsia"/>
                <w:bCs/>
                <w:iCs/>
                <w:color w:val="000000"/>
                <w:szCs w:val="21"/>
              </w:rPr>
              <w:t>博时基金、长江证券、东方基金、工银瑞信基金、</w:t>
            </w:r>
            <w:bookmarkStart w:id="1" w:name="OLE_LINK8"/>
            <w:r>
              <w:rPr>
                <w:rFonts w:hint="eastAsia"/>
                <w:bCs/>
                <w:iCs/>
                <w:color w:val="000000"/>
                <w:szCs w:val="21"/>
              </w:rPr>
              <w:t>光大保德信</w:t>
            </w:r>
            <w:bookmarkEnd w:id="1"/>
            <w:r>
              <w:rPr>
                <w:rFonts w:hint="eastAsia"/>
                <w:bCs/>
                <w:iCs/>
                <w:color w:val="000000"/>
                <w:szCs w:val="21"/>
              </w:rPr>
              <w:t>基金、华安证券、华源证券、汇添富基金、嘉实基金、太平资产、天风证券、信达澳亚基金、新华资产、易方达基金、中信证券等</w:t>
            </w:r>
          </w:p>
        </w:tc>
      </w:tr>
      <w:tr w14:paraId="5B6E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611AC065">
            <w:pPr>
              <w:spacing w:line="360" w:lineRule="auto"/>
              <w:rPr>
                <w:bCs/>
                <w:iCs/>
                <w:color w:val="000000"/>
                <w:szCs w:val="21"/>
              </w:rPr>
            </w:pPr>
            <w:r>
              <w:rPr>
                <w:rFonts w:hint="eastAsia"/>
                <w:bCs/>
                <w:iCs/>
                <w:color w:val="000000"/>
                <w:szCs w:val="21"/>
              </w:rPr>
              <w:t>时间</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A53C9B7">
            <w:pPr>
              <w:rPr>
                <w:bCs/>
                <w:iCs/>
                <w:color w:val="000000"/>
                <w:szCs w:val="21"/>
              </w:rPr>
            </w:pPr>
            <w:r>
              <w:rPr>
                <w:rFonts w:hint="eastAsia"/>
                <w:bCs/>
                <w:iCs/>
                <w:color w:val="000000"/>
                <w:szCs w:val="21"/>
              </w:rPr>
              <w:t>2</w:t>
            </w:r>
            <w:r>
              <w:rPr>
                <w:bCs/>
                <w:iCs/>
                <w:color w:val="000000"/>
                <w:szCs w:val="21"/>
              </w:rPr>
              <w:t>02</w:t>
            </w:r>
            <w:r>
              <w:rPr>
                <w:rFonts w:hint="eastAsia"/>
                <w:bCs/>
                <w:iCs/>
                <w:color w:val="000000"/>
                <w:szCs w:val="21"/>
              </w:rPr>
              <w:t>5年4月29日-5月29日</w:t>
            </w:r>
          </w:p>
        </w:tc>
      </w:tr>
      <w:tr w14:paraId="3320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35A4C86A">
            <w:pPr>
              <w:spacing w:line="360" w:lineRule="auto"/>
              <w:rPr>
                <w:bCs/>
                <w:iCs/>
                <w:color w:val="000000"/>
                <w:szCs w:val="21"/>
              </w:rPr>
            </w:pPr>
            <w:r>
              <w:rPr>
                <w:rFonts w:hint="eastAsia"/>
                <w:bCs/>
                <w:iCs/>
                <w:color w:val="000000"/>
                <w:szCs w:val="21"/>
              </w:rPr>
              <w:t>地点</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DA94DF2">
            <w:pPr>
              <w:rPr>
                <w:bCs/>
                <w:iCs/>
                <w:color w:val="000000"/>
                <w:szCs w:val="21"/>
              </w:rPr>
            </w:pPr>
            <w:r>
              <w:rPr>
                <w:rFonts w:hint="eastAsia"/>
                <w:bCs/>
                <w:iCs/>
                <w:color w:val="000000"/>
                <w:szCs w:val="21"/>
              </w:rPr>
              <w:t>中科飞测办公室、线上会议</w:t>
            </w:r>
          </w:p>
        </w:tc>
      </w:tr>
      <w:tr w14:paraId="40C3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6E135E71">
            <w:pPr>
              <w:spacing w:line="360" w:lineRule="auto"/>
              <w:rPr>
                <w:bCs/>
                <w:iCs/>
                <w:color w:val="000000"/>
                <w:szCs w:val="21"/>
              </w:rPr>
            </w:pPr>
            <w:r>
              <w:rPr>
                <w:rFonts w:hint="eastAsia"/>
                <w:bCs/>
                <w:iCs/>
                <w:color w:val="000000"/>
                <w:szCs w:val="21"/>
              </w:rPr>
              <w:t>上市公司接待人员姓名</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3966338">
            <w:pPr>
              <w:spacing w:line="360" w:lineRule="auto"/>
              <w:rPr>
                <w:bCs/>
                <w:iCs/>
                <w:color w:val="000000"/>
                <w:szCs w:val="21"/>
              </w:rPr>
            </w:pPr>
            <w:r>
              <w:rPr>
                <w:rFonts w:hint="eastAsia"/>
                <w:bCs/>
                <w:iCs/>
                <w:color w:val="000000"/>
                <w:szCs w:val="21"/>
              </w:rPr>
              <w:t xml:space="preserve">古凯男 </w:t>
            </w:r>
            <w:r>
              <w:rPr>
                <w:bCs/>
                <w:iCs/>
                <w:color w:val="000000"/>
                <w:szCs w:val="21"/>
              </w:rPr>
              <w:t xml:space="preserve"> </w:t>
            </w:r>
            <w:r>
              <w:rPr>
                <w:rFonts w:hint="eastAsia"/>
                <w:bCs/>
                <w:iCs/>
                <w:color w:val="000000"/>
                <w:szCs w:val="21"/>
              </w:rPr>
              <w:t>董事会秘书</w:t>
            </w:r>
          </w:p>
          <w:p w14:paraId="2057F5B6">
            <w:pPr>
              <w:spacing w:line="360" w:lineRule="auto"/>
              <w:rPr>
                <w:rFonts w:hint="eastAsia"/>
                <w:bCs/>
                <w:iCs/>
                <w:color w:val="000000"/>
                <w:szCs w:val="21"/>
              </w:rPr>
            </w:pPr>
            <w:r>
              <w:rPr>
                <w:rFonts w:hint="eastAsia"/>
                <w:bCs/>
                <w:iCs/>
                <w:color w:val="000000"/>
                <w:szCs w:val="21"/>
              </w:rPr>
              <w:t>黄茵  证券事务专员</w:t>
            </w:r>
          </w:p>
        </w:tc>
      </w:tr>
      <w:tr w14:paraId="2C31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184766AC">
            <w:pPr>
              <w:spacing w:line="360" w:lineRule="auto"/>
              <w:rPr>
                <w:bCs/>
                <w:iCs/>
                <w:color w:val="000000"/>
                <w:szCs w:val="21"/>
              </w:rPr>
            </w:pPr>
            <w:r>
              <w:rPr>
                <w:rFonts w:hint="eastAsia"/>
                <w:bCs/>
                <w:iCs/>
                <w:color w:val="000000"/>
                <w:szCs w:val="21"/>
              </w:rPr>
              <w:t>投资者关系活动主要内容介绍</w:t>
            </w:r>
          </w:p>
        </w:tc>
        <w:tc>
          <w:tcPr>
            <w:tcW w:w="6600" w:type="dxa"/>
            <w:tcBorders>
              <w:top w:val="single" w:color="auto" w:sz="4" w:space="0"/>
              <w:left w:val="single" w:color="auto" w:sz="4" w:space="0"/>
              <w:bottom w:val="single" w:color="auto" w:sz="4" w:space="0"/>
              <w:right w:val="single" w:color="auto" w:sz="4" w:space="0"/>
            </w:tcBorders>
            <w:shd w:val="clear" w:color="auto" w:fill="auto"/>
          </w:tcPr>
          <w:p w14:paraId="200045B7">
            <w:pPr>
              <w:spacing w:line="360" w:lineRule="auto"/>
              <w:ind w:firstLine="422" w:firstLineChars="200"/>
              <w:rPr>
                <w:b/>
                <w:bCs/>
                <w:szCs w:val="21"/>
              </w:rPr>
            </w:pPr>
            <w:r>
              <w:rPr>
                <w:rFonts w:hint="eastAsia"/>
                <w:b/>
                <w:bCs/>
                <w:szCs w:val="21"/>
              </w:rPr>
              <w:t>1、关于一季度收入同比增速放缓的原因、最新的业绩情况以及全年业绩展望。</w:t>
            </w:r>
          </w:p>
          <w:p w14:paraId="410A6A23">
            <w:pPr>
              <w:spacing w:line="360" w:lineRule="auto"/>
              <w:ind w:firstLine="420" w:firstLineChars="200"/>
              <w:rPr>
                <w:szCs w:val="21"/>
              </w:rPr>
            </w:pPr>
            <w:r>
              <w:rPr>
                <w:rFonts w:hint="eastAsia"/>
                <w:szCs w:val="21"/>
              </w:rPr>
              <w:t>答：公司一季度收入规模相对较小、单台设备价值量较大，且验收的设备数量在各个季度并不平均分布，一季度同比增速放缓属于正常的季节性波动。公司目前产品进展及订单情况良好，对于2025年全年营收增长有信心保持和过去几年相当的水平。</w:t>
            </w:r>
          </w:p>
          <w:p w14:paraId="5A4E4BBC">
            <w:pPr>
              <w:spacing w:line="360" w:lineRule="auto"/>
              <w:ind w:firstLine="420" w:firstLineChars="200"/>
              <w:rPr>
                <w:szCs w:val="21"/>
              </w:rPr>
            </w:pPr>
          </w:p>
          <w:p w14:paraId="68F86FE2">
            <w:pPr>
              <w:spacing w:line="360" w:lineRule="auto"/>
              <w:ind w:firstLine="422" w:firstLineChars="200"/>
              <w:rPr>
                <w:b/>
                <w:bCs/>
                <w:szCs w:val="21"/>
              </w:rPr>
            </w:pPr>
            <w:r>
              <w:rPr>
                <w:rFonts w:hint="eastAsia"/>
                <w:b/>
                <w:bCs/>
                <w:szCs w:val="21"/>
              </w:rPr>
              <w:t>2、关于明暗场设备的工艺节点、验证进展和竞争优势。</w:t>
            </w:r>
          </w:p>
          <w:p w14:paraId="79308E5F">
            <w:pPr>
              <w:spacing w:line="360" w:lineRule="auto"/>
              <w:ind w:firstLine="420" w:firstLineChars="200"/>
              <w:rPr>
                <w:szCs w:val="21"/>
              </w:rPr>
            </w:pPr>
            <w:r>
              <w:rPr>
                <w:rFonts w:hint="eastAsia"/>
                <w:szCs w:val="21"/>
              </w:rPr>
              <w:t>答：目前公司已出货的明暗场设备均已覆盖先进制程工艺节点，从客户端反馈的验证情况顺利，正在按与客户协商的进度计划推进。公司在明暗场设备具有很强的竞争优势，主要原因是：</w:t>
            </w:r>
          </w:p>
          <w:p w14:paraId="5C127F65">
            <w:pPr>
              <w:spacing w:line="360" w:lineRule="auto"/>
              <w:ind w:firstLine="420" w:firstLineChars="200"/>
              <w:rPr>
                <w:szCs w:val="21"/>
              </w:rPr>
            </w:pPr>
            <w:r>
              <w:rPr>
                <w:rFonts w:hint="eastAsia"/>
                <w:szCs w:val="21"/>
              </w:rPr>
              <w:t>（1）技术方面：公司在明暗场设备上的研发投入时间均超过3年，并且部分核心技术与公司已批量量产设备有很强的共通性，公司通过科学高效的研发组织架构，使得不同设备间的研发知识和经验有效共享，进一步提升设备研发和迭代效率；</w:t>
            </w:r>
          </w:p>
          <w:p w14:paraId="611DE176">
            <w:pPr>
              <w:spacing w:line="360" w:lineRule="auto"/>
              <w:ind w:firstLine="420" w:firstLineChars="200"/>
              <w:rPr>
                <w:szCs w:val="21"/>
              </w:rPr>
            </w:pPr>
            <w:r>
              <w:rPr>
                <w:rFonts w:hint="eastAsia"/>
                <w:szCs w:val="21"/>
              </w:rPr>
              <w:t>（2）客户资源方面：公司作为国内半导体质量控制设备领军企业，客户数量超过200家、累计出货数量超过1000台，并于与多家国内头部客户建立了良好稳定的合作关系，历史上数十款设备的成功验证经验使得客户对公司新产品能够验证成功积累了良好的信任基础；</w:t>
            </w:r>
          </w:p>
          <w:p w14:paraId="5429225B">
            <w:pPr>
              <w:spacing w:line="360" w:lineRule="auto"/>
              <w:ind w:firstLine="420" w:firstLineChars="200"/>
              <w:rPr>
                <w:szCs w:val="21"/>
              </w:rPr>
            </w:pPr>
            <w:r>
              <w:rPr>
                <w:rFonts w:hint="eastAsia"/>
                <w:szCs w:val="21"/>
              </w:rPr>
              <w:t>（3）产品进展方面：公司明暗场设备较早地进入到了国内多家头部客户产线上进行工艺开发与应用验证工作，并实现小批量出货，在设备验证成熟度和出货数量上均具有显著优势。</w:t>
            </w:r>
          </w:p>
          <w:p w14:paraId="4E3EE0C5">
            <w:pPr>
              <w:spacing w:line="360" w:lineRule="auto"/>
              <w:rPr>
                <w:szCs w:val="21"/>
              </w:rPr>
            </w:pPr>
          </w:p>
          <w:p w14:paraId="5F23D852">
            <w:pPr>
              <w:numPr>
                <w:ilvl w:val="0"/>
                <w:numId w:val="1"/>
              </w:numPr>
              <w:spacing w:line="360" w:lineRule="auto"/>
              <w:ind w:firstLine="422" w:firstLineChars="200"/>
              <w:rPr>
                <w:b/>
                <w:bCs/>
                <w:szCs w:val="21"/>
              </w:rPr>
            </w:pPr>
            <w:r>
              <w:rPr>
                <w:rFonts w:hint="eastAsia"/>
                <w:b/>
                <w:bCs/>
                <w:szCs w:val="21"/>
              </w:rPr>
              <w:t>关于七大量产设备的升级迭代进展、国内市占率情况以及未来增长预期。</w:t>
            </w:r>
          </w:p>
          <w:p w14:paraId="081F9F6C">
            <w:pPr>
              <w:spacing w:line="360" w:lineRule="auto"/>
              <w:ind w:firstLine="420" w:firstLineChars="200"/>
              <w:rPr>
                <w:szCs w:val="21"/>
              </w:rPr>
            </w:pPr>
            <w:r>
              <w:rPr>
                <w:rFonts w:hint="eastAsia"/>
                <w:szCs w:val="21"/>
              </w:rPr>
              <w:t>答：目前公司各系列量产设备迭代升级进展与国内客户前沿的产线扩展需求相匹配。目前高端半导体量检测设备国产化率仍相对较低，随着公司新产品的持续推出及先进制程设备成熟度不断提升，公司作为国内半导体质量控制设备的领军企业，将通过自身发展带动高端半导体质量控制设备国产化率持续增长。</w:t>
            </w:r>
          </w:p>
          <w:p w14:paraId="50D68893">
            <w:pPr>
              <w:spacing w:line="360" w:lineRule="auto"/>
              <w:rPr>
                <w:szCs w:val="21"/>
              </w:rPr>
            </w:pPr>
          </w:p>
          <w:p w14:paraId="021AB562">
            <w:pPr>
              <w:numPr>
                <w:ilvl w:val="0"/>
                <w:numId w:val="1"/>
              </w:numPr>
              <w:spacing w:line="360" w:lineRule="auto"/>
              <w:ind w:firstLine="422" w:firstLineChars="200"/>
              <w:rPr>
                <w:b/>
                <w:bCs/>
                <w:szCs w:val="21"/>
              </w:rPr>
            </w:pPr>
            <w:r>
              <w:rPr>
                <w:rFonts w:hint="eastAsia"/>
                <w:b/>
                <w:bCs/>
                <w:szCs w:val="21"/>
              </w:rPr>
              <w:t>关于先进制程和HBM先进封装客户的扩产需求、订单情况、产品布局以及竞争优势。</w:t>
            </w:r>
          </w:p>
          <w:p w14:paraId="73B9F251">
            <w:pPr>
              <w:spacing w:line="360" w:lineRule="auto"/>
              <w:ind w:firstLine="420" w:firstLineChars="200"/>
              <w:rPr>
                <w:szCs w:val="21"/>
              </w:rPr>
            </w:pPr>
            <w:r>
              <w:rPr>
                <w:rFonts w:hint="eastAsia"/>
                <w:szCs w:val="21"/>
              </w:rPr>
              <w:t>答：先进制程的扩产以及HBM等新兴应用带来的扩产是2025年主要的市场需求增长因素。目前公司各系列量产设备以及正在验证中的设备能够覆盖到先进制程的产品需求，3D AOI设备、三维形貌量测设备、套刻精度量测设备也均已经通过HBM先进封装工艺的验证，公司有望在扩产中显著受益。</w:t>
            </w:r>
          </w:p>
          <w:p w14:paraId="776B359F">
            <w:pPr>
              <w:spacing w:line="360" w:lineRule="auto"/>
              <w:rPr>
                <w:szCs w:val="21"/>
              </w:rPr>
            </w:pPr>
          </w:p>
          <w:p w14:paraId="3C79A5FC">
            <w:pPr>
              <w:numPr>
                <w:ilvl w:val="0"/>
                <w:numId w:val="1"/>
              </w:numPr>
              <w:spacing w:line="360" w:lineRule="auto"/>
              <w:ind w:firstLine="422" w:firstLineChars="200"/>
              <w:rPr>
                <w:b/>
                <w:bCs/>
                <w:szCs w:val="21"/>
              </w:rPr>
            </w:pPr>
            <w:r>
              <w:rPr>
                <w:rFonts w:hint="eastAsia"/>
                <w:b/>
                <w:bCs/>
                <w:szCs w:val="21"/>
              </w:rPr>
              <w:t>关于软件产品的发展定位以及未来规划。</w:t>
            </w:r>
          </w:p>
          <w:p w14:paraId="21B59DC9">
            <w:pPr>
              <w:spacing w:line="360" w:lineRule="auto"/>
              <w:ind w:firstLine="420" w:firstLineChars="200"/>
              <w:rPr>
                <w:szCs w:val="21"/>
              </w:rPr>
            </w:pPr>
            <w:r>
              <w:rPr>
                <w:szCs w:val="21"/>
              </w:rPr>
              <w:t>答：公司三大系列软件产品是</w:t>
            </w:r>
            <w:r>
              <w:rPr>
                <w:rFonts w:hint="eastAsia"/>
                <w:szCs w:val="21"/>
              </w:rPr>
              <w:t>公司为客户提供的质量控制解决方案中重要的组成部分</w:t>
            </w:r>
            <w:r>
              <w:rPr>
                <w:szCs w:val="21"/>
              </w:rPr>
              <w:t>。目前，公司开发的三大系列智能软件已全部应用在国内头部客户，并不断提高在不同应用领域的覆盖度，结合质量控制设备产品组合，使得客户能够准确测量并且集中管理和分析芯片制造过程中产生的所有检测、量测、电性测试等良率相关数据，有效地提升半导体制造良率和产品性能。公司</w:t>
            </w:r>
            <w:r>
              <w:rPr>
                <w:rFonts w:asciiTheme="minorEastAsia" w:hAnsiTheme="minorEastAsia" w:eastAsiaTheme="minorEastAsia"/>
                <w:szCs w:val="21"/>
              </w:rPr>
              <w:t>“设备+软件”</w:t>
            </w:r>
            <w:r>
              <w:rPr>
                <w:szCs w:val="21"/>
              </w:rPr>
              <w:t>的产品组合构成了全方位的良率管理解决方案，软件产品的持续推广有望进一步提升公司与客户合作粘性以及公司综合竞争力。</w:t>
            </w:r>
          </w:p>
          <w:p w14:paraId="44B2A82D">
            <w:pPr>
              <w:spacing w:line="360" w:lineRule="auto"/>
              <w:rPr>
                <w:szCs w:val="21"/>
              </w:rPr>
            </w:pPr>
          </w:p>
          <w:p w14:paraId="4C0281D3">
            <w:pPr>
              <w:numPr>
                <w:ilvl w:val="0"/>
                <w:numId w:val="1"/>
              </w:numPr>
              <w:spacing w:line="360" w:lineRule="auto"/>
              <w:ind w:firstLine="422" w:firstLineChars="200"/>
              <w:rPr>
                <w:b/>
                <w:bCs/>
                <w:szCs w:val="21"/>
              </w:rPr>
            </w:pPr>
            <w:r>
              <w:rPr>
                <w:rFonts w:hint="eastAsia"/>
                <w:b/>
                <w:bCs/>
                <w:szCs w:val="21"/>
              </w:rPr>
              <w:t>关于未来研发费用率变动以及利润预期。</w:t>
            </w:r>
          </w:p>
          <w:p w14:paraId="2F21634D">
            <w:pPr>
              <w:spacing w:line="360" w:lineRule="auto"/>
              <w:ind w:firstLine="420" w:firstLineChars="200"/>
              <w:rPr>
                <w:szCs w:val="21"/>
              </w:rPr>
            </w:pPr>
            <w:r>
              <w:rPr>
                <w:rFonts w:hint="eastAsia"/>
                <w:szCs w:val="21"/>
              </w:rPr>
              <w:t>答：公司去年研发投入大幅增长主要是研发人员数量及薪酬增长，以及部分新产品研发初期发生的研发投入比较大。随着在研项目持续推进、产品布局逐渐完善、研发团队建设基本完成，未来研发支出增速将有所放缓，研发费用率会整体呈现下降的趋势。受此影响，2025年度盈利水平有望得到改善。</w:t>
            </w:r>
          </w:p>
          <w:p w14:paraId="75D4487E">
            <w:pPr>
              <w:spacing w:line="360" w:lineRule="auto"/>
              <w:rPr>
                <w:b/>
                <w:bCs/>
                <w:szCs w:val="21"/>
              </w:rPr>
            </w:pPr>
          </w:p>
          <w:p w14:paraId="79188A53">
            <w:pPr>
              <w:numPr>
                <w:ilvl w:val="0"/>
                <w:numId w:val="1"/>
              </w:numPr>
              <w:spacing w:line="360" w:lineRule="auto"/>
              <w:ind w:firstLine="422" w:firstLineChars="200"/>
              <w:rPr>
                <w:b/>
                <w:bCs/>
                <w:szCs w:val="21"/>
              </w:rPr>
            </w:pPr>
            <w:r>
              <w:rPr>
                <w:rFonts w:hint="eastAsia"/>
                <w:b/>
                <w:bCs/>
                <w:szCs w:val="21"/>
              </w:rPr>
              <w:t>关于当前国内竞争形势及未来趋势。</w:t>
            </w:r>
          </w:p>
          <w:p w14:paraId="495C5F63">
            <w:pPr>
              <w:spacing w:line="360" w:lineRule="auto"/>
              <w:ind w:firstLine="420" w:firstLineChars="200"/>
              <w:rPr>
                <w:szCs w:val="21"/>
              </w:rPr>
            </w:pPr>
            <w:r>
              <w:rPr>
                <w:rFonts w:hint="eastAsia"/>
                <w:szCs w:val="21"/>
              </w:rPr>
              <w:t>答：公司通过十余年的经营积累，在核心技术积累、产品覆盖广度和深度、客户资源、市占率等方面在国内企业中占据显著优势，未来公司将继续致力于高端半导体质量控制领域，以自身发展带动国产化率的提升。</w:t>
            </w:r>
          </w:p>
          <w:p w14:paraId="19C7C60D">
            <w:pPr>
              <w:spacing w:line="360" w:lineRule="auto"/>
              <w:rPr>
                <w:b/>
                <w:bCs/>
                <w:szCs w:val="21"/>
              </w:rPr>
            </w:pPr>
          </w:p>
          <w:p w14:paraId="1A1F4485">
            <w:pPr>
              <w:numPr>
                <w:ilvl w:val="0"/>
                <w:numId w:val="1"/>
              </w:numPr>
              <w:spacing w:line="360" w:lineRule="auto"/>
              <w:ind w:firstLine="422" w:firstLineChars="200"/>
              <w:rPr>
                <w:b/>
                <w:bCs/>
                <w:szCs w:val="21"/>
              </w:rPr>
            </w:pPr>
            <w:r>
              <w:rPr>
                <w:rFonts w:hint="eastAsia"/>
                <w:b/>
                <w:bCs/>
                <w:szCs w:val="21"/>
              </w:rPr>
              <w:t>关于产能建设情况、再融资进展以及预计发行日期。</w:t>
            </w:r>
          </w:p>
          <w:p w14:paraId="29ED74F0">
            <w:pPr>
              <w:spacing w:line="360" w:lineRule="auto"/>
              <w:ind w:firstLine="420" w:firstLineChars="200"/>
              <w:rPr>
                <w:szCs w:val="21"/>
              </w:rPr>
            </w:pPr>
            <w:bookmarkStart w:id="2" w:name="OLE_LINK5"/>
            <w:r>
              <w:rPr>
                <w:rFonts w:hint="eastAsia"/>
                <w:szCs w:val="21"/>
              </w:rPr>
              <w:t>答：</w:t>
            </w:r>
            <w:bookmarkEnd w:id="2"/>
            <w:r>
              <w:rPr>
                <w:rFonts w:hint="eastAsia"/>
                <w:szCs w:val="21"/>
              </w:rPr>
              <w:t>公司位于广州的IPO募投项目“高端半导体质量控制设备产业化项目”建设顺利，项目全面投产后将较大程度提升公司产能规模及综合竞争力。</w:t>
            </w:r>
          </w:p>
          <w:p w14:paraId="12B4E928">
            <w:pPr>
              <w:spacing w:line="360" w:lineRule="auto"/>
              <w:ind w:firstLine="420" w:firstLineChars="200"/>
              <w:rPr>
                <w:szCs w:val="21"/>
              </w:rPr>
            </w:pPr>
            <w:r>
              <w:rPr>
                <w:rFonts w:hint="eastAsia"/>
                <w:szCs w:val="21"/>
              </w:rPr>
              <w:t>基于公司长期发展规划，公司拟通过再融资在上海张江规划建设综合产业化基地，目前再融资在交易所审核阶段，公司将根据相关要求及时披露审核进展情况及后续发行安排。</w:t>
            </w:r>
          </w:p>
          <w:p w14:paraId="1C7B5409">
            <w:pPr>
              <w:spacing w:line="360" w:lineRule="auto"/>
              <w:ind w:firstLine="420" w:firstLineChars="200"/>
              <w:rPr>
                <w:szCs w:val="21"/>
              </w:rPr>
            </w:pPr>
          </w:p>
          <w:p w14:paraId="18D9CAF9">
            <w:pPr>
              <w:spacing w:line="360" w:lineRule="auto"/>
              <w:ind w:firstLine="440" w:firstLineChars="200"/>
              <w:rPr>
                <w:rFonts w:hint="eastAsia"/>
                <w:szCs w:val="21"/>
              </w:rPr>
            </w:pPr>
            <w:r>
              <w:rPr>
                <w:rFonts w:hint="eastAsia"/>
                <w:sz w:val="22"/>
                <w:szCs w:val="22"/>
              </w:rPr>
              <w:t>除以上问题外，其余交流内容已在之前发布的投资者关系活动记录表或定期报告等公告中披露，本次不再重复披露。</w:t>
            </w:r>
          </w:p>
        </w:tc>
      </w:tr>
    </w:tbl>
    <w:p w14:paraId="2131B2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D6ADE"/>
    <w:multiLevelType w:val="singleLevel"/>
    <w:tmpl w:val="A44D6AD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IzNDM2ZmQ0NThhMzE2OWRmODYzMWIwNWE2MmMifQ=="/>
  </w:docVars>
  <w:rsids>
    <w:rsidRoot w:val="00172A27"/>
    <w:rsid w:val="000000D4"/>
    <w:rsid w:val="0000207D"/>
    <w:rsid w:val="00003F99"/>
    <w:rsid w:val="00005DB8"/>
    <w:rsid w:val="00043CCB"/>
    <w:rsid w:val="00050222"/>
    <w:rsid w:val="00051824"/>
    <w:rsid w:val="00064B25"/>
    <w:rsid w:val="0009301F"/>
    <w:rsid w:val="000A3524"/>
    <w:rsid w:val="000F5B3C"/>
    <w:rsid w:val="0010517B"/>
    <w:rsid w:val="00117898"/>
    <w:rsid w:val="001417C0"/>
    <w:rsid w:val="0014778B"/>
    <w:rsid w:val="0016571F"/>
    <w:rsid w:val="00172A27"/>
    <w:rsid w:val="00181984"/>
    <w:rsid w:val="0019768E"/>
    <w:rsid w:val="001A2E1E"/>
    <w:rsid w:val="001C1B81"/>
    <w:rsid w:val="001D3494"/>
    <w:rsid w:val="001F435C"/>
    <w:rsid w:val="002026A5"/>
    <w:rsid w:val="002037FD"/>
    <w:rsid w:val="00246AED"/>
    <w:rsid w:val="00280483"/>
    <w:rsid w:val="00293E36"/>
    <w:rsid w:val="00295CED"/>
    <w:rsid w:val="002A2C74"/>
    <w:rsid w:val="002A6E13"/>
    <w:rsid w:val="002B6BCC"/>
    <w:rsid w:val="002D0E0D"/>
    <w:rsid w:val="002D5760"/>
    <w:rsid w:val="002D7C22"/>
    <w:rsid w:val="002F3005"/>
    <w:rsid w:val="003035EA"/>
    <w:rsid w:val="003443FE"/>
    <w:rsid w:val="003609BA"/>
    <w:rsid w:val="0038458E"/>
    <w:rsid w:val="003D0E20"/>
    <w:rsid w:val="003D73F2"/>
    <w:rsid w:val="003E09D6"/>
    <w:rsid w:val="003E70FC"/>
    <w:rsid w:val="00407A41"/>
    <w:rsid w:val="004109D3"/>
    <w:rsid w:val="00437A53"/>
    <w:rsid w:val="004674B3"/>
    <w:rsid w:val="0048202E"/>
    <w:rsid w:val="0048508F"/>
    <w:rsid w:val="00496083"/>
    <w:rsid w:val="004A4122"/>
    <w:rsid w:val="004D3712"/>
    <w:rsid w:val="004D6884"/>
    <w:rsid w:val="004E4354"/>
    <w:rsid w:val="005157BA"/>
    <w:rsid w:val="005422D5"/>
    <w:rsid w:val="00551BA0"/>
    <w:rsid w:val="00564B9A"/>
    <w:rsid w:val="005C0B50"/>
    <w:rsid w:val="005D04EB"/>
    <w:rsid w:val="005D73F1"/>
    <w:rsid w:val="005F0DD6"/>
    <w:rsid w:val="0062274F"/>
    <w:rsid w:val="0063431E"/>
    <w:rsid w:val="00652AE8"/>
    <w:rsid w:val="006903D5"/>
    <w:rsid w:val="006A78DE"/>
    <w:rsid w:val="006B66ED"/>
    <w:rsid w:val="006E257E"/>
    <w:rsid w:val="007239F2"/>
    <w:rsid w:val="00726300"/>
    <w:rsid w:val="00752966"/>
    <w:rsid w:val="00754837"/>
    <w:rsid w:val="007A2DAD"/>
    <w:rsid w:val="007D2990"/>
    <w:rsid w:val="007D3D5E"/>
    <w:rsid w:val="008163B8"/>
    <w:rsid w:val="0084654C"/>
    <w:rsid w:val="00860F71"/>
    <w:rsid w:val="00872228"/>
    <w:rsid w:val="008A37DE"/>
    <w:rsid w:val="008B0754"/>
    <w:rsid w:val="008C3B93"/>
    <w:rsid w:val="0097563A"/>
    <w:rsid w:val="00985A79"/>
    <w:rsid w:val="009967E3"/>
    <w:rsid w:val="009A490D"/>
    <w:rsid w:val="009B0B11"/>
    <w:rsid w:val="009E743C"/>
    <w:rsid w:val="009F2462"/>
    <w:rsid w:val="00A02202"/>
    <w:rsid w:val="00A12EF6"/>
    <w:rsid w:val="00A3564B"/>
    <w:rsid w:val="00A636BA"/>
    <w:rsid w:val="00A6539A"/>
    <w:rsid w:val="00AB116A"/>
    <w:rsid w:val="00AC10F8"/>
    <w:rsid w:val="00AC7C57"/>
    <w:rsid w:val="00AE4ED3"/>
    <w:rsid w:val="00AE71E8"/>
    <w:rsid w:val="00B0079D"/>
    <w:rsid w:val="00B217D8"/>
    <w:rsid w:val="00B26A5B"/>
    <w:rsid w:val="00B27B4D"/>
    <w:rsid w:val="00B760BE"/>
    <w:rsid w:val="00B77E3E"/>
    <w:rsid w:val="00B87A8B"/>
    <w:rsid w:val="00B94D7F"/>
    <w:rsid w:val="00BB31C3"/>
    <w:rsid w:val="00BC65F4"/>
    <w:rsid w:val="00BD220D"/>
    <w:rsid w:val="00BD4DEB"/>
    <w:rsid w:val="00BE043D"/>
    <w:rsid w:val="00BF03C6"/>
    <w:rsid w:val="00BF3668"/>
    <w:rsid w:val="00C10067"/>
    <w:rsid w:val="00C1721D"/>
    <w:rsid w:val="00CA0D83"/>
    <w:rsid w:val="00CA5C82"/>
    <w:rsid w:val="00CC6256"/>
    <w:rsid w:val="00CF1F10"/>
    <w:rsid w:val="00D01259"/>
    <w:rsid w:val="00D039FA"/>
    <w:rsid w:val="00D50502"/>
    <w:rsid w:val="00D718FC"/>
    <w:rsid w:val="00DA041C"/>
    <w:rsid w:val="00DA4F8C"/>
    <w:rsid w:val="00DB361F"/>
    <w:rsid w:val="00DC3D07"/>
    <w:rsid w:val="00DC74EB"/>
    <w:rsid w:val="00DF70B1"/>
    <w:rsid w:val="00E123FA"/>
    <w:rsid w:val="00E26FA8"/>
    <w:rsid w:val="00E52443"/>
    <w:rsid w:val="00E94303"/>
    <w:rsid w:val="00EB0D2E"/>
    <w:rsid w:val="00ED20E6"/>
    <w:rsid w:val="00ED2CF5"/>
    <w:rsid w:val="00ED430E"/>
    <w:rsid w:val="00F1786D"/>
    <w:rsid w:val="00F4588B"/>
    <w:rsid w:val="00F514E1"/>
    <w:rsid w:val="00F52EBA"/>
    <w:rsid w:val="00F81DF3"/>
    <w:rsid w:val="00F84115"/>
    <w:rsid w:val="00FF3305"/>
    <w:rsid w:val="030148E2"/>
    <w:rsid w:val="071F2612"/>
    <w:rsid w:val="07C2505E"/>
    <w:rsid w:val="09047953"/>
    <w:rsid w:val="091C163A"/>
    <w:rsid w:val="0BA01CF7"/>
    <w:rsid w:val="0BC67500"/>
    <w:rsid w:val="12313CE5"/>
    <w:rsid w:val="12B807E4"/>
    <w:rsid w:val="161820D8"/>
    <w:rsid w:val="1A397B11"/>
    <w:rsid w:val="1B845309"/>
    <w:rsid w:val="1CE80106"/>
    <w:rsid w:val="1FFA65F9"/>
    <w:rsid w:val="1FFE32B4"/>
    <w:rsid w:val="22707610"/>
    <w:rsid w:val="25315EDA"/>
    <w:rsid w:val="27CF598B"/>
    <w:rsid w:val="28325638"/>
    <w:rsid w:val="296319DB"/>
    <w:rsid w:val="2C55425C"/>
    <w:rsid w:val="302546A7"/>
    <w:rsid w:val="306E1D90"/>
    <w:rsid w:val="3589692D"/>
    <w:rsid w:val="361F6B5B"/>
    <w:rsid w:val="36CB6E86"/>
    <w:rsid w:val="3AE466CB"/>
    <w:rsid w:val="3B992858"/>
    <w:rsid w:val="3D1C232A"/>
    <w:rsid w:val="40E56658"/>
    <w:rsid w:val="475278BE"/>
    <w:rsid w:val="48643D4D"/>
    <w:rsid w:val="48B85F6C"/>
    <w:rsid w:val="545C0414"/>
    <w:rsid w:val="572A730E"/>
    <w:rsid w:val="5B4E5BC2"/>
    <w:rsid w:val="5C3E620B"/>
    <w:rsid w:val="5EBF3633"/>
    <w:rsid w:val="62963996"/>
    <w:rsid w:val="641E0DFC"/>
    <w:rsid w:val="6B216750"/>
    <w:rsid w:val="6C4B4758"/>
    <w:rsid w:val="75C4732A"/>
    <w:rsid w:val="75D80EF5"/>
    <w:rsid w:val="79204546"/>
    <w:rsid w:val="79C532C0"/>
    <w:rsid w:val="7CD51896"/>
    <w:rsid w:val="7DE6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u w:val="single"/>
    </w:rPr>
  </w:style>
  <w:style w:type="character" w:styleId="11">
    <w:name w:val="Hyperlink"/>
    <w:basedOn w:val="9"/>
    <w:semiHidden/>
    <w:unhideWhenUsed/>
    <w:qFormat/>
    <w:uiPriority w:val="99"/>
    <w:rPr>
      <w:color w:val="0563C1"/>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文字 字符"/>
    <w:basedOn w:val="9"/>
    <w:link w:val="2"/>
    <w:qFormat/>
    <w:uiPriority w:val="99"/>
    <w:rPr>
      <w:rFonts w:ascii="Times New Roman" w:hAnsi="Times New Roman" w:eastAsia="宋体" w:cs="Times New Roman"/>
      <w:szCs w:val="24"/>
    </w:rPr>
  </w:style>
  <w:style w:type="character" w:customStyle="1" w:styleId="16">
    <w:name w:val="批注主题 字符"/>
    <w:basedOn w:val="15"/>
    <w:link w:val="6"/>
    <w:semiHidden/>
    <w:qFormat/>
    <w:uiPriority w:val="99"/>
    <w:rPr>
      <w:rFonts w:ascii="Times New Roman" w:hAnsi="Times New Roman" w:eastAsia="宋体" w:cs="Times New Roman"/>
      <w:b/>
      <w:bCs/>
      <w:szCs w:val="24"/>
    </w:rPr>
  </w:style>
  <w:style w:type="character" w:customStyle="1" w:styleId="17">
    <w:name w:val="批注框文本 字符"/>
    <w:basedOn w:val="9"/>
    <w:link w:val="3"/>
    <w:semiHidden/>
    <w:qFormat/>
    <w:uiPriority w:val="99"/>
    <w:rPr>
      <w:rFonts w:ascii="Times New Roman" w:hAnsi="Times New Roman" w:eastAsia="宋体" w:cs="Times New Roman"/>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font5"/>
    <w:basedOn w:val="1"/>
    <w:qFormat/>
    <w:uiPriority w:val="0"/>
    <w:pPr>
      <w:widowControl/>
      <w:spacing w:before="100" w:beforeAutospacing="1" w:after="100" w:afterAutospacing="1"/>
      <w:jc w:val="left"/>
    </w:pPr>
    <w:rPr>
      <w:rFonts w:ascii="楷体" w:hAnsi="楷体" w:eastAsia="楷体"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楷体" w:hAnsi="楷体" w:eastAsia="楷体" w:cs="宋体"/>
      <w:b/>
      <w:bCs/>
      <w:color w:val="000000"/>
      <w:kern w:val="0"/>
      <w:sz w:val="28"/>
      <w:szCs w:val="28"/>
    </w:rPr>
  </w:style>
  <w:style w:type="paragraph" w:customStyle="1" w:styleId="22">
    <w:name w:val="xl63"/>
    <w:basedOn w:val="1"/>
    <w:qFormat/>
    <w:uiPriority w:val="0"/>
    <w:pPr>
      <w:widowControl/>
      <w:spacing w:before="100" w:beforeAutospacing="1" w:after="100" w:afterAutospacing="1"/>
      <w:jc w:val="center"/>
    </w:pPr>
    <w:rPr>
      <w:kern w:val="0"/>
      <w:sz w:val="24"/>
    </w:rPr>
  </w:style>
  <w:style w:type="paragraph" w:customStyle="1" w:styleId="23">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70"/>
    <w:basedOn w:val="1"/>
    <w:qFormat/>
    <w:uiPriority w:val="0"/>
    <w:pPr>
      <w:widowControl/>
      <w:spacing w:before="100" w:beforeAutospacing="1" w:after="100" w:afterAutospacing="1"/>
      <w:jc w:val="center"/>
    </w:pPr>
    <w:rPr>
      <w:kern w:val="0"/>
      <w:sz w:val="24"/>
    </w:rPr>
  </w:style>
  <w:style w:type="paragraph" w:customStyle="1" w:styleId="30">
    <w:name w:val="xl7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E372-227E-4E52-899C-EA93357B07EF}">
  <ds:schemaRefs/>
</ds:datastoreItem>
</file>

<file path=docProps/app.xml><?xml version="1.0" encoding="utf-8"?>
<Properties xmlns="http://schemas.openxmlformats.org/officeDocument/2006/extended-properties" xmlns:vt="http://schemas.openxmlformats.org/officeDocument/2006/docPropsVTypes">
  <Template>Normal</Template>
  <Pages>3</Pages>
  <Words>1894</Words>
  <Characters>1938</Characters>
  <Lines>130</Lines>
  <Paragraphs>140</Paragraphs>
  <TotalTime>38</TotalTime>
  <ScaleCrop>false</ScaleCrop>
  <LinksUpToDate>false</LinksUpToDate>
  <CharactersWithSpaces>2059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2024-04-25T14:09:00Z</dcterms:created>
  <dc:creator>skd004</dc:creator>
  <cp:lastModifiedBy>huangyin</cp:lastModifiedBy>
  <dcterms:modified xsi:type="dcterms:W3CDTF">2025-05-30T07:32:01Z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2E4D79369BFC48FB81B6D5ABA5E2BFB9_13</vt:lpwstr>
  </property>
  <property fmtid="{D5CDD505-2E9C-101B-9397-08002B2CF9AE}" pid="4" name="KSOTemplateDocerSaveRecord">
    <vt:lpwstr>eyJoZGlkIjoiMjAyYzIzNDM2ZmQ0NThhMzE2OWRmODYzMWIwNWE2MmMiLCJ1c2VySWQiOiIxNjczNzY5MTMxIn0=</vt:lpwstr>
  </property>
</Properties>
</file>