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ascii="宋体" w:hAnsi="宋体" w:eastAsia="宋体" w:cs="Times New Roman"/>
          <w:bCs/>
          <w:iCs/>
          <w:color w:val="000000"/>
          <w:sz w:val="28"/>
        </w:rPr>
      </w:pPr>
      <w:r>
        <w:rPr>
          <w:rFonts w:hint="eastAsia" w:ascii="宋体" w:hAnsi="宋体" w:eastAsia="宋体" w:cs="Times New Roman"/>
          <w:bCs/>
          <w:iCs/>
          <w:color w:val="000000"/>
          <w:sz w:val="28"/>
        </w:rPr>
        <w:t>证券代码：</w:t>
      </w:r>
      <w:r>
        <w:rPr>
          <w:rFonts w:ascii="宋体" w:hAnsi="宋体" w:eastAsia="宋体" w:cs="Times New Roman"/>
          <w:bCs/>
          <w:iCs/>
          <w:color w:val="000000"/>
          <w:sz w:val="28"/>
        </w:rPr>
        <w:t>688</w:t>
      </w:r>
      <w:r>
        <w:rPr>
          <w:rFonts w:hint="eastAsia" w:ascii="宋体" w:hAnsi="宋体" w:eastAsia="宋体" w:cs="Times New Roman"/>
          <w:bCs/>
          <w:iCs/>
          <w:color w:val="000000"/>
          <w:sz w:val="28"/>
        </w:rPr>
        <w:t>5</w:t>
      </w:r>
      <w:r>
        <w:rPr>
          <w:rFonts w:ascii="宋体" w:hAnsi="宋体" w:eastAsia="宋体" w:cs="Times New Roman"/>
          <w:bCs/>
          <w:iCs/>
          <w:color w:val="000000"/>
          <w:sz w:val="28"/>
        </w:rPr>
        <w:t>95</w:t>
      </w:r>
      <w:r>
        <w:rPr>
          <w:rFonts w:hint="eastAsia" w:ascii="宋体" w:hAnsi="宋体" w:eastAsia="宋体" w:cs="Times New Roman"/>
          <w:bCs/>
          <w:iCs/>
          <w:color w:val="000000"/>
          <w:sz w:val="28"/>
        </w:rPr>
        <w:t xml:space="preserve">                        证券简称：芯海科技</w:t>
      </w:r>
    </w:p>
    <w:p>
      <w:pPr>
        <w:spacing w:before="156" w:beforeLines="50" w:after="156" w:afterLines="50" w:line="400" w:lineRule="exact"/>
        <w:rPr>
          <w:rFonts w:ascii="宋体" w:hAnsi="宋体" w:eastAsia="宋体" w:cs="Times New Roman"/>
          <w:bCs/>
          <w:iCs/>
          <w:color w:val="000000"/>
          <w:sz w:val="28"/>
        </w:rPr>
      </w:pPr>
      <w:r>
        <w:rPr>
          <w:rFonts w:ascii="宋体" w:hAnsi="宋体" w:eastAsia="宋体" w:cs="Times New Roman"/>
          <w:bCs/>
          <w:iCs/>
          <w:color w:val="000000"/>
          <w:sz w:val="28"/>
        </w:rPr>
        <w:t>债券代码：118015                        债券简称：芯海转债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 w:cs="Times New Roman"/>
          <w:b/>
          <w:bCs/>
          <w:iCs/>
          <w:color w:val="000000"/>
          <w:sz w:val="32"/>
          <w:szCs w:val="32"/>
        </w:rPr>
      </w:pPr>
    </w:p>
    <w:p>
      <w:pPr>
        <w:spacing w:before="156" w:beforeLines="50" w:after="156" w:afterLines="50" w:line="400" w:lineRule="exact"/>
        <w:jc w:val="center"/>
        <w:rPr>
          <w:rFonts w:ascii="宋体" w:hAnsi="宋体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iCs/>
          <w:color w:val="000000"/>
          <w:sz w:val="32"/>
          <w:szCs w:val="32"/>
        </w:rPr>
        <w:t>芯海科技（深圳）股份有限公司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rFonts w:hint="eastAsia" w:ascii="宋体" w:hAnsi="宋体" w:eastAsia="宋体" w:cs="Times New Roman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bCs/>
          <w:iCs/>
          <w:color w:val="000000"/>
          <w:sz w:val="24"/>
        </w:rPr>
        <w:t xml:space="preserve">                                                   编号：2</w:t>
      </w:r>
      <w:r>
        <w:rPr>
          <w:rFonts w:ascii="宋体" w:hAnsi="宋体" w:eastAsia="宋体" w:cs="Times New Roman"/>
          <w:bCs/>
          <w:iCs/>
          <w:color w:val="000000"/>
          <w:sz w:val="24"/>
        </w:rPr>
        <w:t>025</w:t>
      </w:r>
      <w:r>
        <w:rPr>
          <w:rFonts w:hint="eastAsia" w:ascii="宋体" w:hAnsi="宋体" w:eastAsia="宋体" w:cs="Times New Roman"/>
          <w:bCs/>
          <w:iCs/>
          <w:color w:val="000000"/>
          <w:sz w:val="24"/>
        </w:rPr>
        <w:t>-</w:t>
      </w:r>
      <w:r>
        <w:rPr>
          <w:rFonts w:ascii="宋体" w:hAnsi="宋体" w:eastAsia="宋体" w:cs="Times New Roman"/>
          <w:bCs/>
          <w:iCs/>
          <w:color w:val="000000"/>
          <w:sz w:val="24"/>
        </w:rPr>
        <w:t>00</w:t>
      </w:r>
      <w:r>
        <w:rPr>
          <w:rFonts w:hint="eastAsia" w:ascii="宋体" w:hAnsi="宋体" w:eastAsia="宋体" w:cs="Times New Roman"/>
          <w:bCs/>
          <w:iCs/>
          <w:color w:val="000000"/>
          <w:sz w:val="24"/>
          <w:lang w:val="en-US" w:eastAsia="zh-CN"/>
        </w:rPr>
        <w:t>5</w:t>
      </w:r>
    </w:p>
    <w:tbl>
      <w:tblPr>
        <w:tblStyle w:val="3"/>
        <w:tblW w:w="10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994"/>
        <w:gridCol w:w="2346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r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□电话会议</w:t>
            </w:r>
          </w:p>
          <w:p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 xml:space="preserve">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日期/时间</w:t>
            </w:r>
          </w:p>
        </w:tc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80" w:lineRule="atLeast"/>
              <w:jc w:val="center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jc w:val="center"/>
              <w:rPr>
                <w:rFonts w:hint="default" w:ascii="宋体" w:hAnsi="宋体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numPr>
                <w:ilvl w:val="0"/>
                <w:numId w:val="1"/>
              </w:numPr>
              <w:spacing w:line="480" w:lineRule="atLeast"/>
              <w:ind w:left="0" w:firstLine="0" w:firstLineChars="0"/>
              <w:rPr>
                <w:rFonts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  <w:lang w:val="en-US" w:eastAsia="zh-CN"/>
              </w:rPr>
              <w:t>一季度</w:t>
            </w:r>
            <w:r>
              <w:rPr>
                <w:rFonts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毛利率提升至3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  <w:lang w:val="en-US" w:eastAsia="zh-CN"/>
              </w:rPr>
              <w:t>7.19</w:t>
            </w:r>
            <w:r>
              <w:rPr>
                <w:rFonts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%，主要驱动因素是什么？</w:t>
            </w:r>
          </w:p>
          <w:p>
            <w:pPr>
              <w:pStyle w:val="5"/>
              <w:spacing w:line="480" w:lineRule="atLeast"/>
              <w:ind w:left="420" w:leftChars="200" w:firstLine="0" w:firstLineChars="0"/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  <w:lang w:val="en-US" w:eastAsia="zh-CN"/>
              </w:rPr>
              <w:t>公司2025年一季度毛利率同比提升约3个百分点，主要原因是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随着前几年的战略布局，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产品结构发生了变化，2-5节BMS、PPG新产品出货量较上年同期翻番增长，传统业务占比较上期有所下降，产品结构优化使得毛利率同比增长。</w:t>
            </w:r>
          </w:p>
          <w:p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hAnsi="宋体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color w:val="00000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b/>
                <w:iCs/>
                <w:color w:val="000000"/>
                <w:sz w:val="24"/>
                <w:szCs w:val="24"/>
              </w:rPr>
              <w:t>进入联想AVL列表</w:t>
            </w:r>
            <w:r>
              <w:rPr>
                <w:rFonts w:hint="eastAsia" w:ascii="宋体" w:hAnsi="宋体" w:eastAsia="宋体" w:cs="Times New Roman"/>
                <w:b/>
                <w:iCs/>
                <w:color w:val="000000"/>
                <w:sz w:val="24"/>
                <w:szCs w:val="24"/>
                <w:lang w:val="en-US" w:eastAsia="zh-CN"/>
              </w:rPr>
              <w:t>意味着什么？</w:t>
            </w:r>
          </w:p>
          <w:p>
            <w:pPr>
              <w:numPr>
                <w:ilvl w:val="0"/>
                <w:numId w:val="0"/>
              </w:numPr>
              <w:spacing w:line="480" w:lineRule="atLeast"/>
              <w:ind w:leftChars="200"/>
              <w:rPr>
                <w:rFonts w:ascii="宋体" w:hAnsi="宋体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  <w:lang w:val="en-US" w:eastAsia="zh-CN"/>
              </w:rPr>
              <w:t>芯海EC系列已于近期进入联想AVL列表，不仅标志着公司EC产品在可靠性、兼容性及长期供货保障等方面得到了充分验证，还意味着芯海EC将加速进军全球供应链体系，实现产业链生态闭环。在通信与计算机领域，公司始终坚持以国际化视野，通过深化国际伙伴的合作、加快融入全球供应链、全面对接国际标准，与英特尔、AMD、高通等生态伙伴长期保持密切沟通与协作，为国内外众多龙头品牌厂商提供创新硬件支持。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atLeast"/>
              <w:ind w:left="0" w:firstLine="0" w:firstLineChars="0"/>
              <w:rPr>
                <w:rFonts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  <w:lang w:val="en-US" w:eastAsia="zh-CN"/>
              </w:rPr>
              <w:t>公司在汽车电子方面是否有新进展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>
            <w:pPr>
              <w:pStyle w:val="5"/>
              <w:spacing w:line="480" w:lineRule="atLeast"/>
              <w:ind w:left="420" w:leftChars="200" w:firstLine="0" w:firstLineChars="0"/>
              <w:rPr>
                <w:rFonts w:hint="default" w:ascii="宋体" w:hAnsi="宋体" w:eastAsia="宋体" w:cs="Times New Roman"/>
                <w:b w:val="0"/>
                <w:bCs w:val="0"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color w:val="000000"/>
                <w:sz w:val="24"/>
                <w:szCs w:val="24"/>
                <w:lang w:val="en-US" w:eastAsia="zh-CN"/>
              </w:rPr>
              <w:t>首款</w:t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高性能</w:t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高可靠性</w:t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color w:val="000000"/>
                <w:sz w:val="24"/>
                <w:szCs w:val="24"/>
              </w:rPr>
              <w:t>高功能安全 ASIL-D等级的车规MCU产品</w:t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color w:val="000000"/>
                <w:sz w:val="24"/>
                <w:szCs w:val="24"/>
                <w:lang w:val="en-US" w:eastAsia="zh-CN"/>
              </w:rPr>
              <w:t>已于近期流片。目前，公司已成功完成多款符合AEC-Q100认证标准的MCU和模拟类的车规芯片开发验证工作，覆盖智能座舱、车载快充、电池管理（BMS）、车身控制等关键场景，获得多家整车厂商和一级供应商的认可并实现了量产交付。未来，公司将稳步推进汽车电子战略布局，深化与产业链上下游的合作关系，持续拓展汽车芯片的产品组合和应用场景，为汽车客户提供安全，可靠的芯片产品和解决方案，同时将进一步发挥自身技术优势，发展核心技术能力，为汽车电子行业的智能化转身贡献力量。</w:t>
            </w:r>
          </w:p>
          <w:p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hint="eastAsia" w:ascii="宋体" w:hAnsi="宋体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color w:val="000000"/>
                <w:sz w:val="24"/>
                <w:szCs w:val="24"/>
                <w:lang w:val="en-US" w:eastAsia="zh-CN"/>
              </w:rPr>
              <w:t>请问</w:t>
            </w:r>
            <w:r>
              <w:rPr>
                <w:rFonts w:hint="eastAsia" w:ascii="宋体" w:hAnsi="宋体" w:eastAsia="宋体" w:cs="Times New Roman"/>
                <w:b/>
                <w:iCs/>
                <w:color w:val="000000"/>
                <w:sz w:val="24"/>
                <w:szCs w:val="24"/>
              </w:rPr>
              <w:t>公司有什么芯片可以用在</w:t>
            </w:r>
            <w:r>
              <w:rPr>
                <w:rFonts w:hint="eastAsia" w:ascii="宋体" w:hAnsi="宋体" w:eastAsia="宋体" w:cs="Times New Roman"/>
                <w:b/>
                <w:iCs/>
                <w:color w:val="000000"/>
                <w:sz w:val="24"/>
                <w:szCs w:val="24"/>
                <w:lang w:val="en-US" w:eastAsia="zh-CN"/>
              </w:rPr>
              <w:t>人形机器人</w:t>
            </w:r>
            <w:r>
              <w:rPr>
                <w:rFonts w:hint="eastAsia" w:ascii="宋体" w:hAnsi="宋体" w:eastAsia="宋体" w:cs="Times New Roman"/>
                <w:b/>
                <w:iCs/>
                <w:color w:val="000000"/>
                <w:sz w:val="24"/>
                <w:szCs w:val="24"/>
              </w:rPr>
              <w:t>上？</w:t>
            </w:r>
          </w:p>
          <w:p>
            <w:pPr>
              <w:pStyle w:val="5"/>
              <w:spacing w:line="480" w:lineRule="atLeast"/>
              <w:ind w:left="420" w:leftChars="200" w:firstLine="0" w:firstLineChars="0"/>
              <w:rPr>
                <w:rFonts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公司回答：人形机器人对半导体的集成度、智能化和感知水平提出了更高要求。在机器人领域，围绕电子皮肤、六维力传感器等关键应用，公司已与相关客户展开探索与合作。例如，ADC是电子皮肤的底层技术之一，高精度ADC能将微小压力变化精准数字化，避免信号模糊。芯海ADC具有高精度、高线性度、低温漂等特性，且布局广泛、应用场景众多。机器人的感知、决策、执行等动作需要电子皮肤、六维力传感器、空心杯电机等设备作为基础桥梁，而这些设备的精确运转离不开对应的高精度ADC、MCU、触觉反馈芯片、传感器调理芯片、压力触控芯片等硬件的支持。</w:t>
            </w:r>
          </w:p>
          <w:p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hAnsi="宋体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公司目前产品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哪些具备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  <w:lang w:val="en-US" w:eastAsia="zh-CN"/>
              </w:rPr>
              <w:t>国产替代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能力？</w:t>
            </w:r>
          </w:p>
          <w:p>
            <w:pPr>
              <w:pStyle w:val="5"/>
              <w:spacing w:line="480" w:lineRule="atLeast"/>
              <w:ind w:left="420" w:leftChars="200" w:firstLine="0" w:firstLineChars="0"/>
              <w:rPr>
                <w:rFonts w:ascii="宋体" w:hAnsi="宋体" w:eastAsia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公司回答：公司一直积极拓展符合公司战略发展方向的国内外客户。公司多款芯片成功实现了国产替代，比如高精度ADC芯片，EC系列芯片，PD芯片，BMS芯片，传感器调理芯片等。公司从2003年成立以来，一直聚焦在信号链领域的设计研发，拥有高精度ADC、高可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靠性MCU等核心技术。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atLeast"/>
              <w:ind w:left="0" w:firstLine="0" w:firstLineChars="0"/>
              <w:rPr>
                <w:rFonts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用于手机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  <w:lang w:val="en-US" w:eastAsia="zh-CN"/>
              </w:rPr>
              <w:t>侧边按键的触觉反馈芯片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目前实现了向哪些手机品牌的销售</w:t>
            </w:r>
            <w:r>
              <w:rPr>
                <w:rFonts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？</w:t>
            </w:r>
          </w:p>
          <w:p>
            <w:pPr>
              <w:pStyle w:val="5"/>
              <w:spacing w:line="480" w:lineRule="atLeast"/>
              <w:ind w:left="420" w:leftChars="200" w:firstLine="0" w:firstLineChars="0"/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公司回答：目前公司压力触控芯片已经在OPPO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Find X8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  <w:lang w:eastAsia="zh-CN"/>
              </w:rPr>
              <w:t>、vivo X200 Ultra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系列实现销售。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  <w:lang w:val="en-US" w:eastAsia="zh-CN"/>
              </w:rPr>
              <w:t>芯海持续夯实在压力触控这一领域的龙头地位，公司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自2016年开始进行压力触控芯片及应用研发，压感产品历经初代到第四代，不断突破技术瓶颈，为用户带来了更加卓越的交互体验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  <w:lang w:val="en-US" w:eastAsia="zh-CN"/>
              </w:rPr>
              <w:t>未来公司将凭借自身优势把产品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  <w:lang w:eastAsia="zh-CN"/>
              </w:rPr>
              <w:t>导入更多客户端</w:t>
            </w: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hAnsi="宋体" w:eastAsia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color w:val="000000"/>
                <w:sz w:val="24"/>
                <w:szCs w:val="24"/>
              </w:rPr>
              <w:t>公司在AI落地方面有什么新的战略布局吗？</w:t>
            </w:r>
          </w:p>
          <w:p>
            <w:pPr>
              <w:pStyle w:val="5"/>
              <w:spacing w:line="480" w:lineRule="atLeast"/>
              <w:ind w:left="420" w:leftChars="200" w:firstLine="0" w:firstLineChars="0"/>
              <w:rPr>
                <w:rFonts w:ascii="宋体" w:hAnsi="宋体" w:eastAsia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公司回答：在云端，芯海科技和子公司康柚健康希望与合作伙伴一起，以芯片与算法为核心优势，借助AI大模型进行数据分析，预测和评估千万用户的健康状况，为用户推送健康信息前瞻提示，助力运动与饮食干预，推动健康生活方式养成。</w:t>
            </w:r>
          </w:p>
          <w:p>
            <w:pPr>
              <w:pStyle w:val="5"/>
              <w:spacing w:line="480" w:lineRule="atLeast"/>
              <w:ind w:left="420" w:leftChars="200" w:firstLine="0" w:firstLineChars="0"/>
              <w:rPr>
                <w:rFonts w:ascii="宋体" w:hAnsi="宋体" w:eastAsia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在边缘端，智能边缘设备与AI技术逐步融合。边缘AI离客户更近，出于数据隐私与资产保护考量，众多企业用户不愿将数据传至云端，倾向私有化部署数据中心，边缘AI正好契合这一需求。能实现定制化、个性化，以低时延、高响应特性，更好匹配场景要求。</w:t>
            </w:r>
          </w:p>
          <w:p>
            <w:pPr>
              <w:pStyle w:val="5"/>
              <w:spacing w:line="480" w:lineRule="atLeast"/>
              <w:ind w:left="420" w:leftChars="200" w:firstLine="0" w:firstLineChars="0"/>
              <w:rPr>
                <w:rFonts w:ascii="宋体" w:hAnsi="宋体" w:eastAsia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在应用终端，AI技术赋予了各种终端设备更智能化的特性，作为重要的生产力工具，AI应用的落地需要硬件的承载，与各行各业结合，赋能千行百业。在智能汽车、人形机器人、工业物联网、医疗健康等领域，行业应用爆发，从“万物互联”迈向“万物智联”。各类新型智能终端的快速发展，催生了万亿级芯片增量市场，芯片功能从“通用化”转向“场景定制化”。</w:t>
            </w:r>
          </w:p>
          <w:p>
            <w:pPr>
              <w:pStyle w:val="5"/>
              <w:spacing w:line="480" w:lineRule="atLeast"/>
              <w:ind w:left="420" w:leftChars="200" w:firstLine="0" w:firstLineChars="0"/>
              <w:rPr>
                <w:rFonts w:ascii="宋体" w:hAnsi="宋体" w:eastAsia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  <w:t>公司将加大AI技术方面投入，结合ADC、MCU双平台优势，围绕通信与计算机、机器人、工业高精度测量和汽车等方向布局。公司积极配合AI技术落地不断创新，围绕“云边端”协同和落地，与下游生态深度绑定，为垂直场景提供“芯片+算法+数据”全栈方案，力求在市场中占据领先地位，实现企业的快速发展。</w:t>
            </w:r>
          </w:p>
          <w:p>
            <w:pPr>
              <w:pStyle w:val="5"/>
              <w:spacing w:line="480" w:lineRule="atLeast"/>
              <w:ind w:left="420" w:leftChars="200" w:firstLine="0" w:firstLineChars="0"/>
              <w:rPr>
                <w:rFonts w:hint="eastAsia" w:ascii="宋体" w:hAnsi="宋体" w:eastAsia="宋体" w:cs="Times New Roman"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附件清单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以下为本次活动参与人员签字页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9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tLeast"/>
              <w:rPr>
                <w:rFonts w:hint="default" w:ascii="宋体" w:hAnsi="宋体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民生证券、中信证券、国盛证券、中信资管、重阳投资、长城基金、华安基金、浦银安盛基金、光大保德信基金、诺安基金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color w:val="000000"/>
                <w:sz w:val="24"/>
                <w:szCs w:val="24"/>
              </w:rPr>
              <w:t>董事会秘书：张娟苓女士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42B47"/>
    <w:multiLevelType w:val="multilevel"/>
    <w:tmpl w:val="59F42B47"/>
    <w:lvl w:ilvl="0" w:tentative="0">
      <w:start w:val="1"/>
      <w:numFmt w:val="decimal"/>
      <w:lvlText w:val="%1、"/>
      <w:lvlJc w:val="left"/>
      <w:pPr>
        <w:ind w:left="96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1" w:hanging="420"/>
      </w:pPr>
    </w:lvl>
    <w:lvl w:ilvl="2" w:tentative="0">
      <w:start w:val="1"/>
      <w:numFmt w:val="lowerRoman"/>
      <w:lvlText w:val="%3."/>
      <w:lvlJc w:val="right"/>
      <w:pPr>
        <w:ind w:left="1501" w:hanging="420"/>
      </w:pPr>
    </w:lvl>
    <w:lvl w:ilvl="3" w:tentative="0">
      <w:start w:val="1"/>
      <w:numFmt w:val="decimal"/>
      <w:lvlText w:val="%4."/>
      <w:lvlJc w:val="left"/>
      <w:pPr>
        <w:ind w:left="1921" w:hanging="420"/>
      </w:pPr>
    </w:lvl>
    <w:lvl w:ilvl="4" w:tentative="0">
      <w:start w:val="1"/>
      <w:numFmt w:val="lowerLetter"/>
      <w:lvlText w:val="%5)"/>
      <w:lvlJc w:val="left"/>
      <w:pPr>
        <w:ind w:left="2341" w:hanging="420"/>
      </w:pPr>
    </w:lvl>
    <w:lvl w:ilvl="5" w:tentative="0">
      <w:start w:val="1"/>
      <w:numFmt w:val="lowerRoman"/>
      <w:lvlText w:val="%6."/>
      <w:lvlJc w:val="right"/>
      <w:pPr>
        <w:ind w:left="2761" w:hanging="420"/>
      </w:pPr>
    </w:lvl>
    <w:lvl w:ilvl="6" w:tentative="0">
      <w:start w:val="1"/>
      <w:numFmt w:val="decimal"/>
      <w:lvlText w:val="%7."/>
      <w:lvlJc w:val="left"/>
      <w:pPr>
        <w:ind w:left="3181" w:hanging="420"/>
      </w:pPr>
    </w:lvl>
    <w:lvl w:ilvl="7" w:tentative="0">
      <w:start w:val="1"/>
      <w:numFmt w:val="lowerLetter"/>
      <w:lvlText w:val="%8)"/>
      <w:lvlJc w:val="left"/>
      <w:pPr>
        <w:ind w:left="3601" w:hanging="420"/>
      </w:pPr>
    </w:lvl>
    <w:lvl w:ilvl="8" w:tentative="0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C49EE"/>
    <w:rsid w:val="00B23929"/>
    <w:rsid w:val="01CB4D22"/>
    <w:rsid w:val="02D01988"/>
    <w:rsid w:val="03BC2B91"/>
    <w:rsid w:val="04DE4B12"/>
    <w:rsid w:val="04E34DC8"/>
    <w:rsid w:val="05780815"/>
    <w:rsid w:val="066602B0"/>
    <w:rsid w:val="0B4F0759"/>
    <w:rsid w:val="0BCD51F8"/>
    <w:rsid w:val="0E640E73"/>
    <w:rsid w:val="0E97168B"/>
    <w:rsid w:val="13F9184E"/>
    <w:rsid w:val="142C44D2"/>
    <w:rsid w:val="160D5DEB"/>
    <w:rsid w:val="18972E24"/>
    <w:rsid w:val="198A7F57"/>
    <w:rsid w:val="19CD3FD0"/>
    <w:rsid w:val="1B2E094C"/>
    <w:rsid w:val="1B5A6223"/>
    <w:rsid w:val="1E533EAD"/>
    <w:rsid w:val="21473D75"/>
    <w:rsid w:val="21A803FA"/>
    <w:rsid w:val="239A1EBE"/>
    <w:rsid w:val="25B179BF"/>
    <w:rsid w:val="25B74971"/>
    <w:rsid w:val="26667125"/>
    <w:rsid w:val="29617926"/>
    <w:rsid w:val="2B5C0BE8"/>
    <w:rsid w:val="2BEC1477"/>
    <w:rsid w:val="2C150B22"/>
    <w:rsid w:val="2C50584E"/>
    <w:rsid w:val="2C80321E"/>
    <w:rsid w:val="2D3B2FA2"/>
    <w:rsid w:val="30281523"/>
    <w:rsid w:val="33AA18C5"/>
    <w:rsid w:val="348B3080"/>
    <w:rsid w:val="35BF1F81"/>
    <w:rsid w:val="362B6FD0"/>
    <w:rsid w:val="36373C5F"/>
    <w:rsid w:val="367630D9"/>
    <w:rsid w:val="36AE35D2"/>
    <w:rsid w:val="38462D56"/>
    <w:rsid w:val="38762E80"/>
    <w:rsid w:val="39133BA7"/>
    <w:rsid w:val="39AE7F3A"/>
    <w:rsid w:val="3BD44332"/>
    <w:rsid w:val="3E53165B"/>
    <w:rsid w:val="3ED74F9B"/>
    <w:rsid w:val="3F9C6863"/>
    <w:rsid w:val="411A31F1"/>
    <w:rsid w:val="413A353A"/>
    <w:rsid w:val="417C2021"/>
    <w:rsid w:val="432A4F26"/>
    <w:rsid w:val="43ED1E24"/>
    <w:rsid w:val="44026277"/>
    <w:rsid w:val="449C0461"/>
    <w:rsid w:val="44B95A35"/>
    <w:rsid w:val="45515741"/>
    <w:rsid w:val="48195BEB"/>
    <w:rsid w:val="492D2BAA"/>
    <w:rsid w:val="4AF15204"/>
    <w:rsid w:val="4CAD2C16"/>
    <w:rsid w:val="4E5300A7"/>
    <w:rsid w:val="4F005079"/>
    <w:rsid w:val="4F81082D"/>
    <w:rsid w:val="4F8C2664"/>
    <w:rsid w:val="504B66F6"/>
    <w:rsid w:val="505E0AEC"/>
    <w:rsid w:val="517D5722"/>
    <w:rsid w:val="51852684"/>
    <w:rsid w:val="52264026"/>
    <w:rsid w:val="52D535AB"/>
    <w:rsid w:val="53653CE6"/>
    <w:rsid w:val="56230B49"/>
    <w:rsid w:val="57B305DF"/>
    <w:rsid w:val="59692302"/>
    <w:rsid w:val="5A5F540D"/>
    <w:rsid w:val="5A6A4BF7"/>
    <w:rsid w:val="5A896945"/>
    <w:rsid w:val="5AD31534"/>
    <w:rsid w:val="5C6C631E"/>
    <w:rsid w:val="60697C3E"/>
    <w:rsid w:val="614743B7"/>
    <w:rsid w:val="6200526F"/>
    <w:rsid w:val="64972AC5"/>
    <w:rsid w:val="665D27CA"/>
    <w:rsid w:val="670E0286"/>
    <w:rsid w:val="67DF78C7"/>
    <w:rsid w:val="6A552A1A"/>
    <w:rsid w:val="6C0E0771"/>
    <w:rsid w:val="6C5F0D02"/>
    <w:rsid w:val="6C6815CE"/>
    <w:rsid w:val="6F392DCD"/>
    <w:rsid w:val="6FA872BF"/>
    <w:rsid w:val="70985C36"/>
    <w:rsid w:val="71A269BD"/>
    <w:rsid w:val="71A44749"/>
    <w:rsid w:val="71C306DD"/>
    <w:rsid w:val="73A66CA6"/>
    <w:rsid w:val="74387A6F"/>
    <w:rsid w:val="753405C8"/>
    <w:rsid w:val="76276195"/>
    <w:rsid w:val="77042394"/>
    <w:rsid w:val="77106333"/>
    <w:rsid w:val="777A671F"/>
    <w:rsid w:val="77CF6BFC"/>
    <w:rsid w:val="792B3D86"/>
    <w:rsid w:val="7A117749"/>
    <w:rsid w:val="7B4502EF"/>
    <w:rsid w:val="7C4C1562"/>
    <w:rsid w:val="7CF70AD2"/>
    <w:rsid w:val="7D0C35F4"/>
    <w:rsid w:val="7D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520</Words>
  <Characters>2967</Characters>
  <Lines>24</Lines>
  <Paragraphs>6</Paragraphs>
  <TotalTime>2</TotalTime>
  <ScaleCrop>false</ScaleCrop>
  <LinksUpToDate>false</LinksUpToDate>
  <CharactersWithSpaces>3481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2023-09-21T08:04:00Z</dcterms:created>
  <dc:creator>zhoujy</dc:creator>
  <cp:lastModifiedBy>zhoujy</cp:lastModifiedBy>
  <dcterms:modified xsi:type="dcterms:W3CDTF">2025-05-30T05:04:48Z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195F7E2973FC4C798E398449E02F4798</vt:lpwstr>
  </property>
</Properties>
</file>