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eastAsia" w:ascii="Times" w:hAnsi="Times" w:cs="Times New Roman" w:eastAsiaTheme="minorEastAsia"/>
          <w:bCs/>
          <w:sz w:val="24"/>
          <w:szCs w:val="24"/>
          <w:lang w:eastAsia="zh-CN"/>
        </w:rPr>
      </w:pPr>
      <w:r>
        <w:rPr>
          <w:rFonts w:hint="eastAsia" w:ascii="Times" w:hAnsi="Times" w:cs="Times New Roman"/>
          <w:bCs/>
          <w:sz w:val="24"/>
          <w:szCs w:val="24"/>
        </w:rPr>
        <w:t>编号：202</w:t>
      </w:r>
      <w:r>
        <w:rPr>
          <w:rFonts w:ascii="Times" w:hAnsi="Times" w:cs="Times New Roman"/>
          <w:bCs/>
          <w:sz w:val="24"/>
          <w:szCs w:val="24"/>
        </w:rPr>
        <w:t>5-00</w:t>
      </w:r>
      <w:r>
        <w:rPr>
          <w:rFonts w:hint="eastAsia" w:ascii="Times" w:hAnsi="Times" w:cs="Times New Roman"/>
          <w:bCs/>
          <w:sz w:val="24"/>
          <w:szCs w:val="24"/>
          <w:lang w:val="en-US" w:eastAsia="zh-CN"/>
        </w:rPr>
        <w:t>8</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ascii="Times" w:hAnsi="Times" w:eastAsia="宋体" w:cs="宋体"/>
                <w:color w:val="000000"/>
                <w:kern w:val="0"/>
                <w:sz w:val="24"/>
                <w:szCs w:val="24"/>
              </w:rPr>
            </w:pPr>
            <w:r>
              <w:rPr>
                <w:rFonts w:hint="eastAsia" w:ascii="Times" w:hAnsi="Times" w:eastAsia="宋体" w:cs="宋体"/>
                <w:color w:val="000000"/>
                <w:kern w:val="0"/>
                <w:sz w:val="24"/>
                <w:szCs w:val="24"/>
              </w:rPr>
              <w:t>民生加银基金、大成基金、国海富兰克林基金、众安财险、华创证券、东方基金、长城证券、昆明经投集团、上海惠璞投资、钧山资管、天风资管、上海富犇投资</w:t>
            </w:r>
            <w:r>
              <w:rPr>
                <w:rFonts w:hint="eastAsia" w:ascii="Times" w:hAnsi="Times" w:eastAsia="宋体" w:cs="宋体"/>
                <w:color w:val="000000"/>
                <w:kern w:val="0"/>
                <w:sz w:val="24"/>
                <w:szCs w:val="24"/>
                <w:lang w:eastAsia="zh-CN"/>
              </w:rPr>
              <w:t>、兴全基金、东方财富证券、国信证券、国投证券资管</w:t>
            </w:r>
            <w:r>
              <w:rPr>
                <w:rFonts w:hint="eastAsia" w:ascii="Times" w:hAnsi="Times" w:eastAsia="宋体" w:cs="宋体"/>
                <w:color w:val="000000"/>
                <w:kern w:val="0"/>
                <w:sz w:val="24"/>
                <w:szCs w:val="24"/>
              </w:rPr>
              <w:t>共</w:t>
            </w:r>
            <w:r>
              <w:rPr>
                <w:rFonts w:hint="eastAsia" w:ascii="Times" w:hAnsi="Times" w:eastAsia="宋体" w:cs="宋体"/>
                <w:color w:val="000000"/>
                <w:kern w:val="0"/>
                <w:sz w:val="24"/>
                <w:szCs w:val="24"/>
                <w:lang w:val="en-US" w:eastAsia="zh-CN"/>
              </w:rPr>
              <w:t>17</w:t>
            </w:r>
            <w:r>
              <w:rPr>
                <w:rFonts w:hint="eastAsia" w:ascii="Times" w:hAnsi="Times" w:eastAsia="宋体" w:cs="宋体"/>
                <w:color w:val="000000"/>
                <w:kern w:val="0"/>
                <w:sz w:val="24"/>
                <w:szCs w:val="24"/>
              </w:rPr>
              <w:t>名机构投资者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月</w:t>
            </w:r>
            <w:r>
              <w:rPr>
                <w:rFonts w:hint="eastAsia" w:ascii="Times" w:hAnsi="Times" w:cs="Times New Roman"/>
                <w:bCs/>
                <w:iCs/>
                <w:color w:val="000000" w:themeColor="text1"/>
                <w:sz w:val="24"/>
                <w:szCs w:val="24"/>
                <w:lang w:val="en-US" w:eastAsia="zh-CN"/>
                <w14:textFill>
                  <w14:solidFill>
                    <w14:schemeClr w14:val="tx1"/>
                  </w14:solidFill>
                </w14:textFill>
              </w:rPr>
              <w:t>28</w:t>
            </w:r>
            <w:r>
              <w:rPr>
                <w:rFonts w:hint="eastAsia" w:ascii="Times" w:hAnsi="Times" w:cs="Times New Roman"/>
                <w:bCs/>
                <w:iCs/>
                <w:color w:val="000000" w:themeColor="text1"/>
                <w:sz w:val="24"/>
                <w:szCs w:val="24"/>
                <w14:textFill>
                  <w14:solidFill>
                    <w14:schemeClr w14:val="tx1"/>
                  </w14:solidFill>
                </w14:textFill>
              </w:rPr>
              <w:t>日</w:t>
            </w:r>
            <w:r>
              <w:rPr>
                <w:rFonts w:hint="eastAsia" w:ascii="Times" w:hAnsi="Times" w:cs="Times New Roman"/>
                <w:bCs/>
                <w:iCs/>
                <w:color w:val="000000" w:themeColor="text1"/>
                <w:sz w:val="24"/>
                <w:szCs w:val="24"/>
                <w:lang w:eastAsia="zh-CN"/>
                <w14:textFill>
                  <w14:solidFill>
                    <w14:schemeClr w14:val="tx1"/>
                  </w14:solidFill>
                </w14:textFill>
              </w:rPr>
              <w:t>、</w:t>
            </w: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月</w:t>
            </w:r>
            <w:r>
              <w:rPr>
                <w:rFonts w:hint="eastAsia" w:ascii="Times" w:hAnsi="Times" w:cs="Times New Roman"/>
                <w:bCs/>
                <w:iCs/>
                <w:color w:val="000000" w:themeColor="text1"/>
                <w:sz w:val="24"/>
                <w:szCs w:val="24"/>
                <w:lang w:val="en-US" w:eastAsia="zh-CN"/>
                <w14:textFill>
                  <w14:solidFill>
                    <w14:schemeClr w14:val="tx1"/>
                  </w14:solidFill>
                </w14:textFill>
              </w:rPr>
              <w:t>30日、2025年6月4日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14DF3F7D">
            <w:pPr>
              <w:spacing w:line="360" w:lineRule="auto"/>
              <w:rPr>
                <w:rFonts w:hint="default"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hint="eastAsia" w:ascii="Times" w:hAnsi="Times" w:cs="Times New Roman"/>
          <w:b/>
          <w:iCs/>
          <w:color w:val="000000" w:themeColor="text1"/>
          <w:sz w:val="24"/>
          <w:szCs w:val="24"/>
          <w:highlight w:val="none"/>
          <w14:textFill>
            <w14:solidFill>
              <w14:schemeClr w14:val="tx1"/>
            </w14:solidFill>
          </w14:textFill>
        </w:rPr>
      </w:pPr>
      <w:bookmarkStart w:id="3" w:name="_GoBack"/>
      <w:r>
        <w:rPr>
          <w:rFonts w:hint="eastAsia" w:ascii="Times" w:hAnsi="Times" w:cs="Times New Roman"/>
          <w:b/>
          <w:iCs/>
          <w:color w:val="000000" w:themeColor="text1"/>
          <w:sz w:val="24"/>
          <w:szCs w:val="24"/>
          <w:highlight w:val="none"/>
          <w14:textFill>
            <w14:solidFill>
              <w14:schemeClr w14:val="tx1"/>
            </w14:solidFill>
          </w14:textFill>
        </w:rPr>
        <w:t>一、介绍公司的基本情况和最新经营情况：</w:t>
      </w:r>
    </w:p>
    <w:bookmarkEnd w:id="3"/>
    <w:p w14:paraId="070F34E2">
      <w:pPr>
        <w:spacing w:before="156" w:beforeLines="50" w:after="156" w:afterLines="50" w:line="360" w:lineRule="auto"/>
        <w:ind w:firstLine="480" w:firstLineChars="200"/>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公司作为一家集成电路芯片设计企业，专注于物联网通信和连接SoC芯片，在电力线通信（PLC）、电力线+无线多模通信等拥有自主可控核心技术及系列芯片，并不断加大研发投入、坚持创新、拓展市场应用，为物联网（IoT）、智能家居、光伏新能源等各种数字化、智能化应用场景提供“最后一公里”通信、连接芯片及芯片级完整解决方案，以物联网、新能源、双碳经济、智能家居、数字化转型和智能化升级为市场驱动、以发展自主芯片技术和硬科技为宗旨，不断提升企业品牌和发展，成为该领域芯片领军企业。</w:t>
      </w:r>
    </w:p>
    <w:p w14:paraId="60675E31">
      <w:pPr>
        <w:spacing w:before="156" w:beforeLines="50" w:after="156" w:afterLines="50" w:line="360" w:lineRule="auto"/>
        <w:ind w:firstLine="480" w:firstLineChars="20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2024年，公司实现营业收入54,883.19万元，较上年同期减少5.24%，主要系国网招投标及供货节奏的影响所致。实现归属于母公司所有者的净利润8,433.67万元，同比减少21.10%；归属于母公司所有者的扣除非经常性损益的净利润7,550.20万元，同比减少18.63%；主要系计提可转债利息费用、政府补助减少、营业收入下降及减值损失增加所致。</w:t>
      </w:r>
    </w:p>
    <w:p w14:paraId="6FD09D85">
      <w:pPr>
        <w:spacing w:before="156" w:beforeLines="50" w:after="156" w:afterLines="50" w:line="360" w:lineRule="auto"/>
        <w:ind w:firstLine="480" w:firstLineChars="20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2025年1-3月，公司实现营业收入9,778.77万元，同比下降24.70%，主要系智能电网市场招投标及供货节奏的影响所致；实现归属于上市公司股东的净利润1,259.32万元，同比下降46.08%，主要系营业收入下降所致。截至2025年3月31日，公司在手订单19,274.13万元。</w:t>
      </w:r>
    </w:p>
    <w:p w14:paraId="57F323CD">
      <w:pPr>
        <w:spacing w:before="156" w:beforeLines="50" w:after="156" w:afterLines="50" w:line="360" w:lineRule="auto"/>
        <w:ind w:firstLine="482" w:firstLineChars="20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二、解答投资者提问，主要提问及解答如下：</w:t>
      </w:r>
    </w:p>
    <w:p w14:paraId="75405567">
      <w:pPr>
        <w:pStyle w:val="18"/>
        <w:numPr>
          <w:ilvl w:val="0"/>
          <w:numId w:val="1"/>
        </w:numPr>
        <w:spacing w:before="156" w:beforeLines="50" w:after="156" w:afterLines="50" w:line="360" w:lineRule="auto"/>
        <w:ind w:left="0" w:firstLine="482"/>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在智能家居领域，</w:t>
      </w:r>
      <w:r>
        <w:rPr>
          <w:rFonts w:hint="eastAsia" w:ascii="Times" w:hAnsi="Times" w:cs="Times New Roman"/>
          <w:b/>
          <w:iCs/>
          <w:color w:val="000000" w:themeColor="text1"/>
          <w:sz w:val="24"/>
          <w:szCs w:val="24"/>
          <w:highlight w:val="none"/>
          <w14:textFill>
            <w14:solidFill>
              <w14:schemeClr w14:val="tx1"/>
            </w14:solidFill>
          </w14:textFill>
        </w:rPr>
        <w:t>P</w:t>
      </w:r>
      <w:r>
        <w:rPr>
          <w:rFonts w:hint="eastAsia" w:ascii="Times" w:hAnsi="Times" w:cs="Times New Roman"/>
          <w:b/>
          <w:iCs/>
          <w:color w:val="000000" w:themeColor="text1"/>
          <w:sz w:val="24"/>
          <w:szCs w:val="24"/>
          <w:highlight w:val="none"/>
          <w:lang w:val="en-US" w:eastAsia="zh-CN"/>
          <w14:textFill>
            <w14:solidFill>
              <w14:schemeClr w14:val="tx1"/>
            </w14:solidFill>
          </w14:textFill>
        </w:rPr>
        <w:t>L</w:t>
      </w:r>
      <w:r>
        <w:rPr>
          <w:rFonts w:hint="eastAsia" w:ascii="Times" w:hAnsi="Times" w:cs="Times New Roman"/>
          <w:b/>
          <w:iCs/>
          <w:color w:val="000000" w:themeColor="text1"/>
          <w:sz w:val="24"/>
          <w:szCs w:val="24"/>
          <w:highlight w:val="none"/>
          <w14:textFill>
            <w14:solidFill>
              <w14:schemeClr w14:val="tx1"/>
            </w14:solidFill>
          </w14:textFill>
        </w:rPr>
        <w:t>C技术方案与蓝牙等无线方案相比，在市场上的定位和竞争力是怎样的？</w:t>
      </w:r>
    </w:p>
    <w:p w14:paraId="512BFA70">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答：PLC 技术作为完善智能家居、实现全屋智能的关键设备连接和通信技术，有力地推动了智能家居行业的快速发展。在千家万户的全屋智能场景中，“无死角”的网络覆盖、稳定可靠的设备连接和通信是智能家居的基础和核心。然而，由于墙壁、楼层的阻隔，以及许多家电设备位于角落、柜体、天花板等位置，目前主流的WiFi、蓝牙、ZigBee 等射频无线通讯技术受到穿透力和网络容量限制等问题的影响，难以实现全面的信号覆盖。</w:t>
      </w:r>
    </w:p>
    <w:p w14:paraId="0E14B3C0">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相比之下，PLC 电力线通信技术凭借其“无需额外布线、穿墙越壁、不受阻挡、网随电通”的独特优势，正逐渐成为全屋智能的主流通信和连接方式。由于其稳定性及类似有线连接的特点，相比无线方案更具优势。随着现代生活中人们对家庭生活舒适、安全、便捷和易用性的需求不断提高，家电及家居智能化已成为行业发展的必然趋势。公司拥有自主研发的 PLC 核心技术，将其融入智能家居领域，并在越来越多的应用场景中得到广泛应用。</w:t>
      </w:r>
    </w:p>
    <w:p w14:paraId="0998DAA0">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公司在物联网领域</w:t>
      </w:r>
      <w:r>
        <w:rPr>
          <w:rFonts w:hint="default" w:ascii="Times" w:hAnsi="Times" w:cs="Times New Roman"/>
          <w:b/>
          <w:iCs/>
          <w:color w:val="000000" w:themeColor="text1"/>
          <w:sz w:val="24"/>
          <w:szCs w:val="24"/>
          <w:highlight w:val="none"/>
          <w:lang w:val="en-US" w:eastAsia="zh-CN"/>
          <w14:textFill>
            <w14:solidFill>
              <w14:schemeClr w14:val="tx1"/>
            </w14:solidFill>
          </w14:textFill>
        </w:rPr>
        <w:t>推广</w:t>
      </w:r>
      <w:r>
        <w:rPr>
          <w:rFonts w:hint="eastAsia" w:ascii="Times" w:hAnsi="Times" w:cs="Times New Roman"/>
          <w:b/>
          <w:iCs/>
          <w:color w:val="000000" w:themeColor="text1"/>
          <w:sz w:val="24"/>
          <w:szCs w:val="24"/>
          <w:highlight w:val="none"/>
          <w:lang w:val="en-US" w:eastAsia="zh-CN"/>
          <w14:textFill>
            <w14:solidFill>
              <w14:schemeClr w14:val="tx1"/>
            </w14:solidFill>
          </w14:textFill>
        </w:rPr>
        <w:t>PLC</w:t>
      </w:r>
      <w:r>
        <w:rPr>
          <w:rFonts w:hint="default" w:ascii="Times" w:hAnsi="Times" w:cs="Times New Roman"/>
          <w:b/>
          <w:iCs/>
          <w:color w:val="000000" w:themeColor="text1"/>
          <w:sz w:val="24"/>
          <w:szCs w:val="24"/>
          <w:highlight w:val="none"/>
          <w:lang w:val="en-US" w:eastAsia="zh-CN"/>
          <w14:textFill>
            <w14:solidFill>
              <w14:schemeClr w14:val="tx1"/>
            </w14:solidFill>
          </w14:textFill>
        </w:rPr>
        <w:t>技术过程中</w:t>
      </w:r>
      <w:r>
        <w:rPr>
          <w:rFonts w:hint="eastAsia" w:ascii="Times" w:hAnsi="Times" w:cs="Times New Roman"/>
          <w:b/>
          <w:iCs/>
          <w:color w:val="000000" w:themeColor="text1"/>
          <w:sz w:val="24"/>
          <w:szCs w:val="24"/>
          <w:highlight w:val="none"/>
          <w:lang w:val="en-US" w:eastAsia="zh-CN"/>
          <w14:textFill>
            <w14:solidFill>
              <w14:schemeClr w14:val="tx1"/>
            </w14:solidFill>
          </w14:textFill>
        </w:rPr>
        <w:t>主要</w:t>
      </w:r>
      <w:r>
        <w:rPr>
          <w:rFonts w:hint="default" w:ascii="Times" w:hAnsi="Times" w:cs="Times New Roman"/>
          <w:b/>
          <w:iCs/>
          <w:color w:val="000000" w:themeColor="text1"/>
          <w:sz w:val="24"/>
          <w:szCs w:val="24"/>
          <w:highlight w:val="none"/>
          <w:lang w:val="en-US" w:eastAsia="zh-CN"/>
          <w14:textFill>
            <w14:solidFill>
              <w14:schemeClr w14:val="tx1"/>
            </w14:solidFill>
          </w14:textFill>
        </w:rPr>
        <w:t>遇到哪些挑战？</w:t>
      </w:r>
    </w:p>
    <w:p w14:paraId="19A473CC">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答：一方面，在技术推广的初期阶段，需要进行品牌建设和技术宣传，以提高市场对该技术的认知度和接受度。公司通过持续打造PLBUS PLC技术品牌，并在2023年打造基于PLC技术合作伙伴产品生态圈</w:t>
      </w:r>
      <w:r>
        <w:rPr>
          <w:rFonts w:hint="default" w:ascii="Times New Roman" w:hAnsi="Times New Roman" w:cs="Times New Roman"/>
          <w:iCs/>
          <w:color w:val="000000" w:themeColor="text1"/>
          <w:sz w:val="24"/>
          <w:szCs w:val="24"/>
          <w:highlight w:val="none"/>
          <w:lang w:val="en-US" w:eastAsia="zh-CN"/>
          <w14:textFill>
            <w14:solidFill>
              <w14:schemeClr w14:val="tx1"/>
            </w14:solidFill>
          </w14:textFill>
        </w:rPr>
        <w:t>——</w:t>
      </w:r>
      <w:r>
        <w:rPr>
          <w:rFonts w:hint="eastAsia" w:ascii="Times" w:hAnsi="Times" w:cs="Times New Roman"/>
          <w:iCs/>
          <w:color w:val="000000" w:themeColor="text1"/>
          <w:sz w:val="24"/>
          <w:szCs w:val="24"/>
          <w:highlight w:val="none"/>
          <w:lang w:val="en-US" w:eastAsia="zh-CN"/>
          <w14:textFill>
            <w14:solidFill>
              <w14:schemeClr w14:val="tx1"/>
            </w14:solidFill>
          </w14:textFill>
        </w:rPr>
        <w:t>PLCP，赢得了智能家居平台企业、网关方案商和众多智能设备厂家的认可，成功构建了一个涵盖多品牌多品类设备端、多家网关和多家平台的开放连接、开放接入的生态；另一方面，与WiFi、蓝牙等连接方式相比，目前PLC芯片的价格略高。然而，随着未来大规模生产的实现，PLC芯片产品价格有望进一步降低，这将有利于公司在市场竞争中取得更大的优势。</w:t>
      </w:r>
    </w:p>
    <w:p w14:paraId="6143989A">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公司在酒店市场的覆盖情况和推广目标如何？</w:t>
      </w:r>
    </w:p>
    <w:p w14:paraId="39C7B4E2">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全资子公司深圳市甲士智能科技有限公司布局智能酒店客控领域，目前已与行业内多家酒店集团建立了长期合作关系，成功落地数百家酒店项目，近万间客房，是首家完成大规模PLC酒店客控全国落地的公司；公司完成全国六大区域的渠道和服务能力建设，发展经销商达到130家，覆盖中国大陆、港澳台、新加坡、泰国等地。</w:t>
      </w:r>
    </w:p>
    <w:p w14:paraId="55512810">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公司将加速国内、国际市场和渠道布局，快速提升市场占有率，巩固公司在PLC（新一代技术）酒店客控产品的市场地位，推动智能酒店行业技术革新与服务升级。</w:t>
      </w:r>
    </w:p>
    <w:p w14:paraId="2FEC673A">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default" w:ascii="Times" w:hAnsi="Times" w:cs="Times New Roman"/>
          <w:b/>
          <w:iCs/>
          <w:color w:val="000000" w:themeColor="text1"/>
          <w:sz w:val="24"/>
          <w:szCs w:val="24"/>
          <w:highlight w:val="none"/>
          <w:lang w:val="en-US" w:eastAsia="zh-CN"/>
          <w14:textFill>
            <w14:solidFill>
              <w14:schemeClr w14:val="tx1"/>
            </w14:solidFill>
          </w14:textFill>
        </w:rPr>
        <w:t>公司</w:t>
      </w:r>
      <w:r>
        <w:rPr>
          <w:rFonts w:hint="eastAsia" w:ascii="Times" w:hAnsi="Times" w:cs="Times New Roman"/>
          <w:b/>
          <w:iCs/>
          <w:color w:val="000000" w:themeColor="text1"/>
          <w:sz w:val="24"/>
          <w:szCs w:val="24"/>
          <w:highlight w:val="none"/>
          <w:lang w:val="en-US" w:eastAsia="zh-CN"/>
          <w14:textFill>
            <w14:solidFill>
              <w14:schemeClr w14:val="tx1"/>
            </w14:solidFill>
          </w14:textFill>
        </w:rPr>
        <w:t>对</w:t>
      </w:r>
      <w:r>
        <w:rPr>
          <w:rFonts w:hint="default" w:ascii="Times" w:hAnsi="Times" w:cs="Times New Roman"/>
          <w:b/>
          <w:iCs/>
          <w:color w:val="000000" w:themeColor="text1"/>
          <w:sz w:val="24"/>
          <w:szCs w:val="24"/>
          <w:highlight w:val="none"/>
          <w:lang w:val="en-US" w:eastAsia="zh-CN"/>
          <w14:textFill>
            <w14:solidFill>
              <w14:schemeClr w14:val="tx1"/>
            </w14:solidFill>
          </w14:textFill>
        </w:rPr>
        <w:t>研发</w:t>
      </w:r>
      <w:r>
        <w:rPr>
          <w:rFonts w:hint="eastAsia" w:ascii="Times" w:hAnsi="Times" w:cs="Times New Roman"/>
          <w:b/>
          <w:iCs/>
          <w:color w:val="000000" w:themeColor="text1"/>
          <w:sz w:val="24"/>
          <w:szCs w:val="24"/>
          <w:highlight w:val="none"/>
          <w:lang w:val="en-US" w:eastAsia="zh-CN"/>
          <w14:textFill>
            <w14:solidFill>
              <w14:schemeClr w14:val="tx1"/>
            </w14:solidFill>
          </w14:textFill>
        </w:rPr>
        <w:t>人员的</w:t>
      </w:r>
      <w:r>
        <w:rPr>
          <w:rFonts w:hint="default" w:ascii="Times" w:hAnsi="Times" w:cs="Times New Roman"/>
          <w:b/>
          <w:iCs/>
          <w:color w:val="000000" w:themeColor="text1"/>
          <w:sz w:val="24"/>
          <w:szCs w:val="24"/>
          <w:highlight w:val="none"/>
          <w:lang w:val="en-US" w:eastAsia="zh-CN"/>
          <w14:textFill>
            <w14:solidFill>
              <w14:schemeClr w14:val="tx1"/>
            </w14:solidFill>
          </w14:textFill>
        </w:rPr>
        <w:t>激励机制如何？</w:t>
      </w:r>
    </w:p>
    <w:p w14:paraId="6A66C377">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为进一步完善公司法人治理结构，建立、健全公司长效激励约束机制，吸引和留住优秀人才，充分调动其积极性和创造性，有效提升核心团队凝聚力和企业核心竞争力，自上市以来，公司实施了两轮限制性股票激励计划（2021年限制性股票激励计划、2023年限制性股票激励计划），激励对象包括董事、高级管理人员、核心技术人员以及董事会认为需要激励的其他人员。</w:t>
      </w:r>
    </w:p>
    <w:p w14:paraId="48ECAA00">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后续公司有并购重组的计划吗？</w:t>
      </w:r>
    </w:p>
    <w:p w14:paraId="532DB8C3">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已发行的可转债项目之一“科技储备资金项目”，主要用于投向新产品预研研发及产业化、重点布局的中长期技术研发与升级拓展、产业并购及整合等。公司持续关注着与公司技术、产品、业务等协同性好的优质资源。</w:t>
      </w:r>
    </w:p>
    <w:p w14:paraId="0D06132F">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公司2024年报财务费用增加，这主要是什么原因？</w:t>
      </w:r>
    </w:p>
    <w:p w14:paraId="238EC4F7">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答：主要是公司发行可转债计提利息费用增加所致。</w:t>
      </w:r>
    </w:p>
    <w:p w14:paraId="4084BDE8">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在全屋智能场景，</w:t>
      </w:r>
      <w:r>
        <w:rPr>
          <w:rFonts w:hint="default" w:ascii="Times" w:hAnsi="Times" w:cs="Times New Roman"/>
          <w:b/>
          <w:iCs/>
          <w:color w:val="000000" w:themeColor="text1"/>
          <w:sz w:val="24"/>
          <w:szCs w:val="24"/>
          <w:highlight w:val="none"/>
          <w:lang w:val="en-US" w:eastAsia="zh-CN"/>
          <w14:textFill>
            <w14:solidFill>
              <w14:schemeClr w14:val="tx1"/>
            </w14:solidFill>
          </w14:textFill>
        </w:rPr>
        <w:t>不同</w:t>
      </w:r>
      <w:r>
        <w:rPr>
          <w:rFonts w:hint="eastAsia" w:ascii="Times" w:hAnsi="Times" w:cs="Times New Roman"/>
          <w:b/>
          <w:iCs/>
          <w:color w:val="000000" w:themeColor="text1"/>
          <w:sz w:val="24"/>
          <w:szCs w:val="24"/>
          <w:highlight w:val="none"/>
          <w:lang w:val="en-US" w:eastAsia="zh-CN"/>
          <w14:textFill>
            <w14:solidFill>
              <w14:schemeClr w14:val="tx1"/>
            </w14:solidFill>
          </w14:textFill>
        </w:rPr>
        <w:t>品牌的</w:t>
      </w:r>
      <w:r>
        <w:rPr>
          <w:rFonts w:hint="default" w:ascii="Times" w:hAnsi="Times" w:cs="Times New Roman"/>
          <w:b/>
          <w:iCs/>
          <w:color w:val="000000" w:themeColor="text1"/>
          <w:sz w:val="24"/>
          <w:szCs w:val="24"/>
          <w:highlight w:val="none"/>
          <w:lang w:val="en-US" w:eastAsia="zh-CN"/>
          <w14:textFill>
            <w14:solidFill>
              <w14:schemeClr w14:val="tx1"/>
            </w14:solidFill>
          </w14:textFill>
        </w:rPr>
        <w:t>智能设备</w:t>
      </w:r>
      <w:r>
        <w:rPr>
          <w:rFonts w:hint="eastAsia" w:ascii="Times" w:hAnsi="Times" w:cs="Times New Roman"/>
          <w:b/>
          <w:iCs/>
          <w:color w:val="000000" w:themeColor="text1"/>
          <w:sz w:val="24"/>
          <w:szCs w:val="24"/>
          <w:highlight w:val="none"/>
          <w:lang w:val="en-US" w:eastAsia="zh-CN"/>
          <w14:textFill>
            <w14:solidFill>
              <w14:schemeClr w14:val="tx1"/>
            </w14:solidFill>
          </w14:textFill>
        </w:rPr>
        <w:t>使用了公司的PLC产品，连接</w:t>
      </w:r>
      <w:r>
        <w:rPr>
          <w:rFonts w:hint="default" w:ascii="Times" w:hAnsi="Times" w:cs="Times New Roman"/>
          <w:b/>
          <w:iCs/>
          <w:color w:val="000000" w:themeColor="text1"/>
          <w:sz w:val="24"/>
          <w:szCs w:val="24"/>
          <w:highlight w:val="none"/>
          <w:lang w:val="en-US" w:eastAsia="zh-CN"/>
          <w14:textFill>
            <w14:solidFill>
              <w14:schemeClr w14:val="tx1"/>
            </w14:solidFill>
          </w14:textFill>
        </w:rPr>
        <w:t>是否存在兼容性问题？</w:t>
      </w:r>
    </w:p>
    <w:p w14:paraId="37BA3E34">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答：在“万物互联”时代浪潮下，物联网技术已深度融入智能家居、智能设备、智慧城市等多元场景。然而，不同品牌智能设备间的兼容性难题，成为制约全屋智能体验升级的关键瓶颈。</w:t>
      </w:r>
    </w:p>
    <w:p w14:paraId="1A4F0244">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公司凭借PLC技术构建的PLCP合作伙伴产品生态圈，正是为破解这一困局而生。基于家庭电力线，PLCP 生态以电力载波通信统一接口为核心，打造出覆盖全屋场景、兼容多品类多品牌的开放互联体系，从底层架构层面消除设备间不兼容、不互通的障碍。在数据传输层面，北向可灵活适配各类开放或私有 IoT 平台，实现数据的高效流转与智能协同。</w:t>
      </w: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126723"/>
    </w:sdtPr>
    <w:sdtContent>
      <w:p w14:paraId="7EC5795B">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78CD9F9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81"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B6565D"/>
    <w:rsid w:val="01C50D4B"/>
    <w:rsid w:val="02407B6D"/>
    <w:rsid w:val="04174F18"/>
    <w:rsid w:val="04AE24FB"/>
    <w:rsid w:val="04E43F88"/>
    <w:rsid w:val="04FA39B3"/>
    <w:rsid w:val="05AE13FE"/>
    <w:rsid w:val="063B0AB4"/>
    <w:rsid w:val="07356EC4"/>
    <w:rsid w:val="07445783"/>
    <w:rsid w:val="07566D67"/>
    <w:rsid w:val="07B611C8"/>
    <w:rsid w:val="0946022C"/>
    <w:rsid w:val="099946AC"/>
    <w:rsid w:val="09D80E6A"/>
    <w:rsid w:val="09ED4C49"/>
    <w:rsid w:val="0A0E503E"/>
    <w:rsid w:val="0A446D2E"/>
    <w:rsid w:val="0D67569D"/>
    <w:rsid w:val="0E4C1E3A"/>
    <w:rsid w:val="0F161477"/>
    <w:rsid w:val="107E7600"/>
    <w:rsid w:val="112A47B8"/>
    <w:rsid w:val="11AA7A82"/>
    <w:rsid w:val="12284BB9"/>
    <w:rsid w:val="129465AA"/>
    <w:rsid w:val="14D82694"/>
    <w:rsid w:val="15152076"/>
    <w:rsid w:val="16326631"/>
    <w:rsid w:val="169807C6"/>
    <w:rsid w:val="1873412F"/>
    <w:rsid w:val="19B05A2A"/>
    <w:rsid w:val="1B7A6892"/>
    <w:rsid w:val="1B984CCF"/>
    <w:rsid w:val="1B9A4525"/>
    <w:rsid w:val="1BAF7AFA"/>
    <w:rsid w:val="1C442E6B"/>
    <w:rsid w:val="1C903EE4"/>
    <w:rsid w:val="1CBC4100"/>
    <w:rsid w:val="1CCF2131"/>
    <w:rsid w:val="1EAD495C"/>
    <w:rsid w:val="1F6C2DE2"/>
    <w:rsid w:val="21563371"/>
    <w:rsid w:val="225856AC"/>
    <w:rsid w:val="24676706"/>
    <w:rsid w:val="24F063DB"/>
    <w:rsid w:val="25422B96"/>
    <w:rsid w:val="26E57CBC"/>
    <w:rsid w:val="29093990"/>
    <w:rsid w:val="29323AD2"/>
    <w:rsid w:val="2B716900"/>
    <w:rsid w:val="2BB414D2"/>
    <w:rsid w:val="2E5442C8"/>
    <w:rsid w:val="2E825B1B"/>
    <w:rsid w:val="2FDE2B35"/>
    <w:rsid w:val="30C90297"/>
    <w:rsid w:val="31352C2E"/>
    <w:rsid w:val="32242D99"/>
    <w:rsid w:val="323B0398"/>
    <w:rsid w:val="328E4D91"/>
    <w:rsid w:val="32A14DE2"/>
    <w:rsid w:val="331F3040"/>
    <w:rsid w:val="34AE7463"/>
    <w:rsid w:val="37860D10"/>
    <w:rsid w:val="37EB016A"/>
    <w:rsid w:val="39516B4D"/>
    <w:rsid w:val="3B3F2637"/>
    <w:rsid w:val="3BB83974"/>
    <w:rsid w:val="3C8E24F7"/>
    <w:rsid w:val="3C8E78AC"/>
    <w:rsid w:val="3D136553"/>
    <w:rsid w:val="3E037AB9"/>
    <w:rsid w:val="3F9657D4"/>
    <w:rsid w:val="40730835"/>
    <w:rsid w:val="4133652F"/>
    <w:rsid w:val="418D0BA7"/>
    <w:rsid w:val="42DC5C62"/>
    <w:rsid w:val="43362479"/>
    <w:rsid w:val="43805485"/>
    <w:rsid w:val="43B60E25"/>
    <w:rsid w:val="460306FF"/>
    <w:rsid w:val="46445A73"/>
    <w:rsid w:val="467F0394"/>
    <w:rsid w:val="48724382"/>
    <w:rsid w:val="48CC544E"/>
    <w:rsid w:val="49331971"/>
    <w:rsid w:val="496B47FF"/>
    <w:rsid w:val="4C9362E3"/>
    <w:rsid w:val="4CF7225E"/>
    <w:rsid w:val="4DCE7D56"/>
    <w:rsid w:val="4E1D1E4D"/>
    <w:rsid w:val="4F174AC6"/>
    <w:rsid w:val="50696F54"/>
    <w:rsid w:val="524F3C2C"/>
    <w:rsid w:val="526F66CB"/>
    <w:rsid w:val="52CD2FCE"/>
    <w:rsid w:val="53414851"/>
    <w:rsid w:val="53C13D3D"/>
    <w:rsid w:val="56397EB4"/>
    <w:rsid w:val="57DE433B"/>
    <w:rsid w:val="589A78F2"/>
    <w:rsid w:val="591202DA"/>
    <w:rsid w:val="59CE54CA"/>
    <w:rsid w:val="5A424B99"/>
    <w:rsid w:val="5ABC6E48"/>
    <w:rsid w:val="5B037DC6"/>
    <w:rsid w:val="5B292CE8"/>
    <w:rsid w:val="5BBD138A"/>
    <w:rsid w:val="5D2E63E3"/>
    <w:rsid w:val="5E4F23A8"/>
    <w:rsid w:val="5EE00BB3"/>
    <w:rsid w:val="6002139A"/>
    <w:rsid w:val="61DA7FEB"/>
    <w:rsid w:val="622F71DA"/>
    <w:rsid w:val="625B36D1"/>
    <w:rsid w:val="647F503A"/>
    <w:rsid w:val="648972BF"/>
    <w:rsid w:val="67116659"/>
    <w:rsid w:val="685428D3"/>
    <w:rsid w:val="688F2C21"/>
    <w:rsid w:val="6A77122D"/>
    <w:rsid w:val="6AC217F3"/>
    <w:rsid w:val="6B843BFD"/>
    <w:rsid w:val="6B8C2174"/>
    <w:rsid w:val="6BAA75E1"/>
    <w:rsid w:val="6CEE17E4"/>
    <w:rsid w:val="6D6217FE"/>
    <w:rsid w:val="6DAA2B61"/>
    <w:rsid w:val="6DDC3DAD"/>
    <w:rsid w:val="6F482129"/>
    <w:rsid w:val="6F512010"/>
    <w:rsid w:val="6F5631CE"/>
    <w:rsid w:val="6F6C6382"/>
    <w:rsid w:val="720E58D5"/>
    <w:rsid w:val="72E72B55"/>
    <w:rsid w:val="733F4DEF"/>
    <w:rsid w:val="735F6ABA"/>
    <w:rsid w:val="738D418A"/>
    <w:rsid w:val="755A04FD"/>
    <w:rsid w:val="7588738E"/>
    <w:rsid w:val="76FE6D4E"/>
    <w:rsid w:val="7730628B"/>
    <w:rsid w:val="7737109F"/>
    <w:rsid w:val="788F63CF"/>
    <w:rsid w:val="7A0E492A"/>
    <w:rsid w:val="7A8B03B8"/>
    <w:rsid w:val="7A9279F6"/>
    <w:rsid w:val="7AF058BA"/>
    <w:rsid w:val="7BE8167A"/>
    <w:rsid w:val="7C9C7C4B"/>
    <w:rsid w:val="7CA279A2"/>
    <w:rsid w:val="7CF42077"/>
    <w:rsid w:val="7D087F20"/>
    <w:rsid w:val="7D9832A7"/>
    <w:rsid w:val="7E35770B"/>
    <w:rsid w:val="7F7B0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D1DE-E210-4449-B416-76548C3976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2343</Words>
  <Characters>2526</Characters>
  <Lines>13</Lines>
  <Paragraphs>3</Paragraphs>
  <TotalTime>2</TotalTime>
  <ScaleCrop>false</ScaleCrop>
  <LinksUpToDate>false</LinksUpToDate>
  <CharactersWithSpaces>2659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2025-06-04T08:46:53Z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