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hint="eastAsia"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hint="eastAsia"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lang w:val="en-US" w:eastAsia="zh-CN"/>
        </w:rPr>
        <w:t>5</w:t>
      </w:r>
      <w:r>
        <w:rPr>
          <w:rFonts w:hint="eastAsia" w:ascii="宋体" w:hAnsi="宋体"/>
          <w:b/>
          <w:iCs/>
          <w:sz w:val="24"/>
          <w:szCs w:val="24"/>
        </w:rPr>
        <w:t>年</w:t>
      </w:r>
      <w:r>
        <w:rPr>
          <w:rFonts w:hint="eastAsia" w:ascii="宋体" w:hAnsi="宋体"/>
          <w:b/>
          <w:iCs/>
          <w:sz w:val="24"/>
          <w:szCs w:val="24"/>
          <w:lang w:val="en-US" w:eastAsia="zh-CN"/>
        </w:rPr>
        <w:t>6</w:t>
      </w:r>
      <w:r>
        <w:rPr>
          <w:rFonts w:hint="eastAsia" w:ascii="宋体" w:hAnsi="宋体"/>
          <w:b/>
          <w:iCs/>
          <w:sz w:val="24"/>
          <w:szCs w:val="24"/>
        </w:rPr>
        <w:t>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203"/>
      </w:tblGrid>
      <w:tr w14:paraId="2F9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99D38DD">
            <w:pPr>
              <w:spacing w:line="360" w:lineRule="auto"/>
              <w:jc w:val="center"/>
              <w:rPr>
                <w:rFonts w:hint="eastAsia" w:ascii="宋体" w:hAnsi="宋体"/>
                <w:b/>
                <w:bCs/>
                <w:iCs/>
                <w:sz w:val="24"/>
                <w:szCs w:val="24"/>
              </w:rPr>
            </w:pPr>
            <w:r>
              <w:rPr>
                <w:rFonts w:hint="eastAsia" w:ascii="宋体" w:hAnsi="宋体"/>
                <w:b/>
                <w:bCs/>
                <w:iCs/>
                <w:sz w:val="24"/>
                <w:szCs w:val="24"/>
              </w:rPr>
              <w:t>投资者关系活动类别</w:t>
            </w:r>
          </w:p>
        </w:tc>
        <w:tc>
          <w:tcPr>
            <w:tcW w:w="6203" w:type="dxa"/>
            <w:vAlign w:val="center"/>
          </w:tcPr>
          <w:p w14:paraId="4936C92A">
            <w:pPr>
              <w:spacing w:line="360" w:lineRule="auto"/>
              <w:rPr>
                <w:rFonts w:hint="eastAsia" w:ascii="宋体" w:hAnsi="宋体"/>
                <w:bCs/>
                <w:iCs/>
                <w:sz w:val="24"/>
                <w:szCs w:val="24"/>
              </w:rPr>
            </w:pPr>
            <w:r>
              <w:rPr>
                <w:rFonts w:hint="eastAsia" w:ascii="宋体" w:hAnsi="宋体"/>
                <w:bCs/>
                <w:iCs/>
                <w:sz w:val="24"/>
                <w:szCs w:val="24"/>
              </w:rPr>
              <w:sym w:font="Wingdings 2" w:char="0052"/>
            </w:r>
            <w:r>
              <w:rPr>
                <w:rFonts w:hint="eastAsia" w:ascii="宋体" w:hAnsi="宋体"/>
                <w:sz w:val="24"/>
                <w:szCs w:val="24"/>
              </w:rPr>
              <w:t xml:space="preserve">特定对象调研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A3"/>
            </w:r>
            <w:r>
              <w:rPr>
                <w:rFonts w:hint="eastAsia" w:ascii="宋体" w:hAnsi="宋体"/>
                <w:sz w:val="24"/>
                <w:szCs w:val="24"/>
              </w:rPr>
              <w:t>业绩说明会</w:t>
            </w:r>
          </w:p>
          <w:p w14:paraId="7EBD013F">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51719483">
            <w:pPr>
              <w:tabs>
                <w:tab w:val="left" w:pos="3045"/>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参与单位名称</w:t>
            </w:r>
          </w:p>
        </w:tc>
        <w:tc>
          <w:tcPr>
            <w:tcW w:w="6203" w:type="dxa"/>
          </w:tcPr>
          <w:p w14:paraId="7CE61A69">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东方证券</w:t>
            </w:r>
            <w:r>
              <w:rPr>
                <w:rFonts w:hint="default" w:ascii="宋体" w:hAnsi="宋体" w:eastAsia="宋体" w:cs="宋体"/>
                <w:sz w:val="24"/>
                <w:szCs w:val="24"/>
                <w:lang w:val="en-US" w:eastAsia="zh-CN"/>
              </w:rPr>
              <w:t>、</w:t>
            </w:r>
            <w:r>
              <w:rPr>
                <w:rFonts w:hint="eastAsia" w:ascii="宋体" w:hAnsi="宋体" w:cs="宋体"/>
                <w:sz w:val="24"/>
                <w:szCs w:val="24"/>
                <w:lang w:val="en-US" w:eastAsia="zh-CN"/>
              </w:rPr>
              <w:t>平安养老</w:t>
            </w:r>
            <w:r>
              <w:rPr>
                <w:rFonts w:hint="default" w:ascii="宋体" w:hAnsi="宋体" w:eastAsia="宋体" w:cs="宋体"/>
                <w:sz w:val="24"/>
                <w:szCs w:val="24"/>
                <w:lang w:val="en-US" w:eastAsia="zh-CN"/>
              </w:rPr>
              <w:t>、</w:t>
            </w:r>
            <w:r>
              <w:rPr>
                <w:rFonts w:hint="eastAsia" w:ascii="宋体" w:hAnsi="宋体" w:cs="宋体"/>
                <w:sz w:val="24"/>
                <w:szCs w:val="24"/>
                <w:lang w:val="en-US" w:eastAsia="zh-CN"/>
              </w:rPr>
              <w:t>申万菱信</w:t>
            </w:r>
            <w:r>
              <w:rPr>
                <w:rFonts w:hint="default" w:ascii="宋体" w:hAnsi="宋体" w:eastAsia="宋体" w:cs="宋体"/>
                <w:sz w:val="24"/>
                <w:szCs w:val="24"/>
                <w:lang w:val="en-US" w:eastAsia="zh-CN"/>
              </w:rPr>
              <w:t>、华安基金、浦银安盛</w:t>
            </w:r>
            <w:r>
              <w:rPr>
                <w:rFonts w:hint="eastAsia" w:ascii="宋体" w:hAnsi="宋体" w:cs="宋体"/>
                <w:sz w:val="24"/>
                <w:szCs w:val="24"/>
                <w:lang w:val="en-US" w:eastAsia="zh-CN"/>
              </w:rPr>
              <w:t>、</w:t>
            </w:r>
            <w:r>
              <w:rPr>
                <w:rFonts w:hint="default" w:ascii="宋体" w:hAnsi="宋体" w:eastAsia="宋体" w:cs="宋体"/>
                <w:sz w:val="24"/>
                <w:szCs w:val="24"/>
                <w:lang w:val="en-US" w:eastAsia="zh-CN"/>
              </w:rPr>
              <w:t>万家基金、太保资管、东方资管、安信基金、东吴基金</w:t>
            </w:r>
            <w:r>
              <w:rPr>
                <w:rFonts w:hint="eastAsia" w:ascii="宋体" w:hAnsi="宋体" w:cs="宋体"/>
                <w:sz w:val="24"/>
                <w:szCs w:val="24"/>
                <w:lang w:val="en-US" w:eastAsia="zh-CN"/>
              </w:rPr>
              <w:t>、兴业证券、华泰自营、浙商资管、兴业基金、财通资管、鹏扬基金、太平资管、上银基金、华泰保兴、信泰人寿、国盛证券、建信养老、方正证券、光大证券、国泰</w:t>
            </w:r>
            <w:bookmarkStart w:id="0" w:name="_GoBack"/>
            <w:bookmarkEnd w:id="0"/>
            <w:r>
              <w:rPr>
                <w:rFonts w:hint="eastAsia" w:ascii="宋体" w:hAnsi="宋体" w:cs="宋体"/>
                <w:sz w:val="24"/>
                <w:szCs w:val="24"/>
                <w:lang w:val="en-US" w:eastAsia="zh-CN"/>
              </w:rPr>
              <w:t>海通证券、淳厚基金</w:t>
            </w:r>
          </w:p>
        </w:tc>
      </w:tr>
      <w:tr w14:paraId="63BC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A8094E6">
            <w:pPr>
              <w:spacing w:line="360" w:lineRule="auto"/>
              <w:jc w:val="center"/>
              <w:rPr>
                <w:rFonts w:hint="eastAsia" w:ascii="宋体" w:hAnsi="宋体"/>
                <w:b/>
                <w:bCs/>
                <w:iCs/>
                <w:sz w:val="24"/>
                <w:szCs w:val="24"/>
              </w:rPr>
            </w:pPr>
            <w:r>
              <w:rPr>
                <w:rFonts w:hint="eastAsia" w:ascii="宋体" w:hAnsi="宋体"/>
                <w:b/>
                <w:bCs/>
                <w:iCs/>
                <w:sz w:val="24"/>
                <w:szCs w:val="24"/>
              </w:rPr>
              <w:t>时间</w:t>
            </w:r>
          </w:p>
        </w:tc>
        <w:tc>
          <w:tcPr>
            <w:tcW w:w="6203" w:type="dxa"/>
          </w:tcPr>
          <w:p w14:paraId="326BC5A2">
            <w:pPr>
              <w:spacing w:line="360" w:lineRule="auto"/>
              <w:rPr>
                <w:rFonts w:hint="default" w:ascii="宋体" w:hAnsi="宋体" w:eastAsia="宋体"/>
                <w:bCs/>
                <w:iCs/>
                <w:sz w:val="24"/>
                <w:szCs w:val="24"/>
                <w:lang w:val="en-US" w:eastAsia="zh-CN"/>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5</w:t>
            </w:r>
            <w:r>
              <w:rPr>
                <w:rFonts w:hint="eastAsia" w:ascii="宋体" w:hAnsi="宋体"/>
                <w:bCs/>
                <w:iCs/>
                <w:sz w:val="24"/>
                <w:szCs w:val="24"/>
              </w:rPr>
              <w:t>年</w:t>
            </w:r>
            <w:r>
              <w:rPr>
                <w:rFonts w:hint="eastAsia" w:ascii="宋体" w:hAnsi="宋体"/>
                <w:bCs/>
                <w:iCs/>
                <w:sz w:val="24"/>
                <w:szCs w:val="24"/>
                <w:lang w:val="en-US" w:eastAsia="zh-CN"/>
              </w:rPr>
              <w:t>6</w:t>
            </w:r>
            <w:r>
              <w:rPr>
                <w:rFonts w:hint="eastAsia" w:ascii="宋体" w:hAnsi="宋体"/>
                <w:bCs/>
                <w:iCs/>
                <w:sz w:val="24"/>
                <w:szCs w:val="24"/>
              </w:rPr>
              <w:t>月</w:t>
            </w:r>
            <w:r>
              <w:rPr>
                <w:rFonts w:hint="eastAsia" w:ascii="宋体" w:hAnsi="宋体"/>
                <w:bCs/>
                <w:iCs/>
                <w:sz w:val="24"/>
                <w:szCs w:val="24"/>
                <w:lang w:val="en-US" w:eastAsia="zh-CN"/>
              </w:rPr>
              <w:t>3</w:t>
            </w:r>
            <w:r>
              <w:rPr>
                <w:rFonts w:hint="eastAsia" w:ascii="宋体" w:hAnsi="宋体"/>
                <w:bCs/>
                <w:iCs/>
                <w:sz w:val="24"/>
                <w:szCs w:val="24"/>
              </w:rPr>
              <w:t>日</w:t>
            </w:r>
            <w:r>
              <w:rPr>
                <w:rFonts w:hint="eastAsia" w:ascii="宋体" w:hAnsi="宋体"/>
                <w:bCs/>
                <w:iCs/>
                <w:sz w:val="24"/>
                <w:szCs w:val="24"/>
                <w:lang w:val="en-US" w:eastAsia="zh-CN"/>
              </w:rPr>
              <w:t>-6月4日</w:t>
            </w:r>
          </w:p>
        </w:tc>
      </w:tr>
      <w:tr w14:paraId="2448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FEB7A8D">
            <w:pPr>
              <w:spacing w:line="360" w:lineRule="auto"/>
              <w:jc w:val="center"/>
              <w:rPr>
                <w:rFonts w:hint="eastAsia" w:ascii="宋体" w:hAnsi="宋体"/>
                <w:b/>
                <w:bCs/>
                <w:iCs/>
                <w:sz w:val="24"/>
                <w:szCs w:val="24"/>
              </w:rPr>
            </w:pPr>
            <w:r>
              <w:rPr>
                <w:rFonts w:hint="eastAsia" w:ascii="宋体" w:hAnsi="宋体"/>
                <w:b/>
                <w:bCs/>
                <w:iCs/>
                <w:sz w:val="24"/>
                <w:szCs w:val="24"/>
              </w:rPr>
              <w:t>参会方式</w:t>
            </w:r>
          </w:p>
        </w:tc>
        <w:tc>
          <w:tcPr>
            <w:tcW w:w="6203" w:type="dxa"/>
          </w:tcPr>
          <w:p w14:paraId="4C5F5090">
            <w:pPr>
              <w:spacing w:line="360" w:lineRule="auto"/>
              <w:rPr>
                <w:rFonts w:hint="eastAsia" w:ascii="宋体" w:hAnsi="宋体"/>
                <w:bCs/>
                <w:iCs/>
                <w:sz w:val="24"/>
                <w:szCs w:val="24"/>
              </w:rPr>
            </w:pPr>
            <w:r>
              <w:rPr>
                <w:rFonts w:hint="eastAsia" w:ascii="宋体" w:hAnsi="宋体"/>
                <w:bCs/>
                <w:iCs/>
                <w:sz w:val="24"/>
                <w:szCs w:val="24"/>
              </w:rPr>
              <w:t>线</w:t>
            </w:r>
            <w:r>
              <w:rPr>
                <w:rFonts w:hint="eastAsia" w:ascii="宋体" w:hAnsi="宋体"/>
                <w:bCs/>
                <w:iCs/>
                <w:sz w:val="24"/>
                <w:szCs w:val="24"/>
                <w:lang w:val="en-US" w:eastAsia="zh-CN"/>
              </w:rPr>
              <w:t>下</w:t>
            </w:r>
            <w:r>
              <w:rPr>
                <w:rFonts w:hint="eastAsia" w:ascii="宋体" w:hAnsi="宋体"/>
                <w:bCs/>
                <w:iCs/>
                <w:sz w:val="24"/>
                <w:szCs w:val="24"/>
              </w:rPr>
              <w:t>会议</w:t>
            </w:r>
          </w:p>
        </w:tc>
      </w:tr>
      <w:tr w14:paraId="220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5249036">
            <w:pPr>
              <w:spacing w:line="360" w:lineRule="auto"/>
              <w:jc w:val="center"/>
              <w:rPr>
                <w:rFonts w:hint="eastAsia" w:ascii="宋体" w:hAnsi="宋体"/>
                <w:b/>
                <w:bCs/>
                <w:iCs/>
                <w:sz w:val="24"/>
                <w:szCs w:val="24"/>
              </w:rPr>
            </w:pPr>
            <w:r>
              <w:rPr>
                <w:rFonts w:hint="eastAsia" w:ascii="宋体" w:hAnsi="宋体"/>
                <w:b/>
                <w:bCs/>
                <w:iCs/>
                <w:sz w:val="24"/>
                <w:szCs w:val="24"/>
              </w:rPr>
              <w:t>上市公司接待人员姓名</w:t>
            </w:r>
          </w:p>
        </w:tc>
        <w:tc>
          <w:tcPr>
            <w:tcW w:w="6203" w:type="dxa"/>
            <w:vAlign w:val="center"/>
          </w:tcPr>
          <w:p w14:paraId="6DD0BB0A">
            <w:pPr>
              <w:spacing w:line="360" w:lineRule="auto"/>
              <w:rPr>
                <w:rFonts w:hint="default" w:ascii="宋体" w:hAnsi="宋体"/>
                <w:bCs/>
                <w:iCs/>
                <w:sz w:val="24"/>
                <w:szCs w:val="24"/>
                <w:lang w:val="en-US" w:eastAsia="zh-CN"/>
              </w:rPr>
            </w:pPr>
            <w:r>
              <w:rPr>
                <w:rFonts w:hint="eastAsia" w:ascii="宋体" w:hAnsi="宋体"/>
                <w:bCs/>
                <w:iCs/>
                <w:sz w:val="24"/>
                <w:szCs w:val="24"/>
                <w:lang w:val="en-US" w:eastAsia="zh-CN"/>
              </w:rPr>
              <w:t>董事会秘书 魏丽萍女士</w:t>
            </w:r>
          </w:p>
          <w:p w14:paraId="5422822E">
            <w:pPr>
              <w:spacing w:line="360" w:lineRule="auto"/>
              <w:rPr>
                <w:rFonts w:hint="default" w:ascii="宋体" w:hAnsi="宋体"/>
                <w:bCs/>
                <w:iCs/>
                <w:sz w:val="24"/>
                <w:szCs w:val="24"/>
                <w:lang w:val="en-US"/>
              </w:rPr>
            </w:pPr>
            <w:r>
              <w:rPr>
                <w:rFonts w:hint="eastAsia" w:ascii="宋体" w:hAnsi="宋体"/>
                <w:bCs/>
                <w:iCs/>
                <w:sz w:val="24"/>
                <w:szCs w:val="24"/>
                <w:lang w:val="en-US" w:eastAsia="zh-CN"/>
              </w:rPr>
              <w:t>投资者关系总监 郭心驰女士</w:t>
            </w:r>
          </w:p>
        </w:tc>
      </w:tr>
      <w:tr w14:paraId="276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394FAC4">
            <w:pPr>
              <w:spacing w:line="360" w:lineRule="auto"/>
              <w:jc w:val="center"/>
              <w:rPr>
                <w:rFonts w:hint="eastAsia" w:ascii="宋体" w:hAnsi="宋体"/>
                <w:b/>
                <w:bCs/>
                <w:iCs/>
                <w:sz w:val="24"/>
                <w:szCs w:val="24"/>
              </w:rPr>
            </w:pPr>
            <w:r>
              <w:rPr>
                <w:rFonts w:hint="eastAsia" w:ascii="宋体" w:hAnsi="宋体"/>
                <w:b/>
                <w:bCs/>
                <w:iCs/>
                <w:sz w:val="24"/>
                <w:szCs w:val="24"/>
              </w:rPr>
              <w:t>投资者关系活动主要内容介绍</w:t>
            </w:r>
          </w:p>
        </w:tc>
        <w:tc>
          <w:tcPr>
            <w:tcW w:w="6203" w:type="dxa"/>
          </w:tcPr>
          <w:p w14:paraId="1DF44911">
            <w:pPr>
              <w:numPr>
                <w:ilvl w:val="255"/>
                <w:numId w:val="0"/>
              </w:numPr>
              <w:spacing w:before="156" w:beforeLines="50" w:line="360" w:lineRule="auto"/>
              <w:ind w:firstLine="480" w:firstLineChars="200"/>
              <w:rPr>
                <w:sz w:val="24"/>
              </w:rPr>
            </w:pPr>
            <w:r>
              <w:rPr>
                <w:rFonts w:hint="eastAsia"/>
                <w:sz w:val="24"/>
              </w:rPr>
              <w:t>一、公司介绍环节</w:t>
            </w:r>
          </w:p>
          <w:p w14:paraId="7B9DA2E2">
            <w:pPr>
              <w:numPr>
                <w:ilvl w:val="255"/>
                <w:numId w:val="0"/>
              </w:numPr>
              <w:spacing w:before="156" w:beforeLines="50" w:line="360" w:lineRule="auto"/>
              <w:ind w:firstLine="480" w:firstLineChars="200"/>
              <w:rPr>
                <w:rFonts w:hint="eastAsia"/>
                <w:kern w:val="0"/>
                <w:sz w:val="24"/>
                <w:lang w:val="en-US" w:eastAsia="zh-CN"/>
              </w:rPr>
            </w:pPr>
            <w:r>
              <w:rPr>
                <w:rFonts w:hint="eastAsia"/>
                <w:sz w:val="24"/>
              </w:rPr>
              <w:t>公司是一家专业的药物临床前及临床综合研发服务 CRO，为国内医药企业和科研机构提供全方位的一站式药物研发服务，致力于协助国内医药制造企业加速实现进口替代和自主创新。服务内容主要包括药物发现、药理药效、药学研究、临床研究和生物分析。</w:t>
            </w:r>
            <w:r>
              <w:rPr>
                <w:rFonts w:hint="eastAsia" w:ascii="Times New Roman" w:hAnsi="Times New Roman" w:eastAsia="宋体" w:cs="Times New Roman"/>
                <w:sz w:val="24"/>
                <w:szCs w:val="24"/>
              </w:rPr>
              <w:t>作为一家专注于药物创新研发的综合性企业，阳光诺和通过“研发服务+管线培育+新质产业链”三位一体战略，在自研创新、技术升级及全球化布局上实现多重突破，展现出从CRO“委托方”向创新驱动型“合作方”转型的强劲势能。</w:t>
            </w:r>
          </w:p>
          <w:p w14:paraId="3C74F722">
            <w:pPr>
              <w:numPr>
                <w:ilvl w:val="255"/>
                <w:numId w:val="0"/>
              </w:numPr>
              <w:spacing w:before="156" w:beforeLines="50" w:line="360" w:lineRule="auto"/>
              <w:ind w:firstLine="480" w:firstLineChars="200"/>
              <w:rPr>
                <w:rFonts w:hint="default"/>
                <w:sz w:val="24"/>
                <w:lang w:val="en-US" w:eastAsia="zh-CN"/>
              </w:rPr>
            </w:pPr>
            <w:r>
              <w:rPr>
                <w:rFonts w:hint="default"/>
                <w:sz w:val="24"/>
                <w:lang w:val="en-US" w:eastAsia="zh-CN"/>
              </w:rPr>
              <w:t>研发创新方面，公司不断加大研发投入，</w:t>
            </w:r>
            <w:r>
              <w:rPr>
                <w:rFonts w:hint="eastAsia" w:ascii="Times New Roman" w:hAnsi="Times New Roman" w:eastAsia="宋体" w:cs="Times New Roman"/>
                <w:sz w:val="24"/>
                <w:szCs w:val="24"/>
              </w:rPr>
              <w:t>截止2024年底公司</w:t>
            </w:r>
            <w:r>
              <w:rPr>
                <w:rFonts w:hint="default"/>
                <w:sz w:val="24"/>
                <w:lang w:val="en-US" w:eastAsia="zh-CN"/>
              </w:rPr>
              <w:t>研发项目累计已超430项，其中新立项自研项目达89余项。在创新药研发方面在研产品主要应用在镇痛、肾病与透析、肿瘤辅助、心脑血管、抗菌用药等适应症领域，并有多个创新药在研项目在国内无相同产品上市，竞争格局良好，极具市场价值。后续随着这些药品上市，将为公司拓展更多临床应用场景提供可能性。例如在多肽领域</w:t>
            </w:r>
            <w:r>
              <w:rPr>
                <w:rFonts w:hint="eastAsia"/>
                <w:sz w:val="24"/>
                <w:lang w:val="en-US" w:eastAsia="zh-CN"/>
              </w:rPr>
              <w:t>，</w:t>
            </w:r>
            <w:r>
              <w:rPr>
                <w:rFonts w:hint="default"/>
                <w:sz w:val="24"/>
                <w:lang w:val="en-US" w:eastAsia="zh-CN"/>
              </w:rPr>
              <w:t>公司目前已有3个适应症管线进入临床</w:t>
            </w:r>
            <w:r>
              <w:rPr>
                <w:rFonts w:hint="eastAsia"/>
                <w:sz w:val="24"/>
                <w:lang w:val="en-US" w:eastAsia="zh-CN"/>
              </w:rPr>
              <w:t>，</w:t>
            </w:r>
            <w:r>
              <w:rPr>
                <w:rFonts w:hint="default"/>
                <w:sz w:val="24"/>
                <w:lang w:val="en-US" w:eastAsia="zh-CN"/>
              </w:rPr>
              <w:t>其中STC007注射液目前具有手术</w:t>
            </w:r>
            <w:r>
              <w:rPr>
                <w:rFonts w:hint="eastAsia"/>
                <w:sz w:val="24"/>
                <w:lang w:val="en-US" w:eastAsia="zh-CN"/>
              </w:rPr>
              <w:t>后</w:t>
            </w:r>
            <w:r>
              <w:rPr>
                <w:rFonts w:hint="default"/>
                <w:sz w:val="24"/>
                <w:lang w:val="en-US" w:eastAsia="zh-CN"/>
              </w:rPr>
              <w:t>镇痛和尿毒症瘙痒两个适应症</w:t>
            </w:r>
            <w:r>
              <w:rPr>
                <w:rFonts w:hint="eastAsia"/>
                <w:sz w:val="24"/>
                <w:lang w:val="en-US" w:eastAsia="zh-CN"/>
              </w:rPr>
              <w:t>，手术后镇痛适应症已经完成二期临床试验，近期公司披露了STC007注射液治疗腹部手术后的中、重度疼痛的二期临床试验数据，根据数据结果，该临床试验达成预期目标。STC007注射液治疗</w:t>
            </w:r>
            <w:r>
              <w:rPr>
                <w:rFonts w:hint="default"/>
                <w:sz w:val="24"/>
                <w:lang w:val="en-US" w:eastAsia="zh-CN"/>
              </w:rPr>
              <w:t>尿毒症瘙痒</w:t>
            </w:r>
            <w:r>
              <w:rPr>
                <w:rFonts w:hint="eastAsia"/>
                <w:sz w:val="24"/>
                <w:lang w:val="en-US" w:eastAsia="zh-CN"/>
              </w:rPr>
              <w:t>适应症也</w:t>
            </w:r>
            <w:r>
              <w:rPr>
                <w:rFonts w:hint="default"/>
                <w:sz w:val="24"/>
                <w:lang w:val="en-US" w:eastAsia="zh-CN"/>
              </w:rPr>
              <w:t>已进入二期临床试验阶段，</w:t>
            </w:r>
            <w:r>
              <w:rPr>
                <w:rFonts w:hint="eastAsia"/>
                <w:sz w:val="24"/>
                <w:lang w:val="en-US" w:eastAsia="zh-CN"/>
              </w:rPr>
              <w:t>同时</w:t>
            </w:r>
            <w:r>
              <w:rPr>
                <w:rFonts w:hint="default"/>
                <w:sz w:val="24"/>
                <w:lang w:val="en-US" w:eastAsia="zh-CN"/>
              </w:rPr>
              <w:t>STC008注射液已进入一期临床试验阶段，其主要适应症为治疗晚期实体瘤相关的肿瘤恶液质，其他管线在临床前研究不同阶段，进展顺利。</w:t>
            </w:r>
          </w:p>
          <w:p w14:paraId="5242BECC">
            <w:pPr>
              <w:numPr>
                <w:ilvl w:val="255"/>
                <w:numId w:val="0"/>
              </w:numPr>
              <w:spacing w:before="156" w:beforeLines="50" w:line="360" w:lineRule="auto"/>
              <w:ind w:firstLine="482" w:firstLineChars="200"/>
              <w:rPr>
                <w:rFonts w:hint="eastAsia" w:ascii="宋体" w:hAnsi="宋体"/>
                <w:b/>
                <w:iCs/>
                <w:sz w:val="24"/>
                <w:szCs w:val="24"/>
              </w:rPr>
            </w:pPr>
            <w:r>
              <w:rPr>
                <w:rFonts w:hint="eastAsia" w:ascii="宋体" w:hAnsi="宋体"/>
                <w:b/>
                <w:iCs/>
                <w:sz w:val="24"/>
                <w:szCs w:val="24"/>
              </w:rPr>
              <w:t>二、问答环节</w:t>
            </w:r>
          </w:p>
          <w:p w14:paraId="26B8C90D">
            <w:pPr>
              <w:numPr>
                <w:ilvl w:val="0"/>
                <w:numId w:val="1"/>
              </w:numPr>
              <w:spacing w:before="156" w:beforeLines="50" w:line="360" w:lineRule="auto"/>
              <w:ind w:left="425" w:leftChars="0" w:firstLine="1" w:firstLineChars="0"/>
              <w:rPr>
                <w:rFonts w:hint="eastAsia"/>
                <w:b/>
                <w:iCs/>
                <w:sz w:val="24"/>
                <w:szCs w:val="24"/>
                <w:lang w:val="en-US" w:eastAsia="zh-CN"/>
              </w:rPr>
            </w:pPr>
            <w:r>
              <w:rPr>
                <w:rFonts w:hint="eastAsia"/>
                <w:b/>
                <w:iCs/>
                <w:sz w:val="24"/>
                <w:szCs w:val="24"/>
                <w:lang w:val="en-US" w:eastAsia="zh-CN"/>
              </w:rPr>
              <w:t xml:space="preserve">阳光诺和为何选择收购朗研生命？此次重组对公司产业链布局有何影响？ </w:t>
            </w:r>
          </w:p>
          <w:p w14:paraId="59E8B0D8">
            <w:pPr>
              <w:numPr>
                <w:ilvl w:val="255"/>
                <w:numId w:val="0"/>
              </w:numPr>
              <w:spacing w:before="156" w:beforeLines="50" w:line="360" w:lineRule="auto"/>
              <w:ind w:firstLine="480" w:firstLineChars="200"/>
              <w:rPr>
                <w:rFonts w:hint="eastAsia"/>
                <w:sz w:val="24"/>
                <w:lang w:val="en-US" w:eastAsia="zh-CN"/>
              </w:rPr>
            </w:pPr>
            <w:r>
              <w:rPr>
                <w:rFonts w:hint="eastAsia"/>
                <w:sz w:val="24"/>
                <w:lang w:val="en-US" w:eastAsia="zh-CN"/>
              </w:rPr>
              <w:t>第一，有助于上市公司补齐生产短板，完成医药产业链布局。朗研生命旗下永安制药（特色原料药）和百奥药业（制剂生产）可承接公司自研管线从研发到生产的转化，提升产品研发、生产的效率，缩短药品上市周期。具体而言，研发与生产环节无缝对接可降低沟通成本，同时避免委托生产中的质量控制风险。朗研生命的并入将加强公司“研发服务+管线培育+新质产业链”三位一体的创新研发综合体建设，助力加速阳光诺和向创新药领域转型和创新产品生产落地。</w:t>
            </w:r>
          </w:p>
          <w:p w14:paraId="5CC9A466">
            <w:pPr>
              <w:numPr>
                <w:ilvl w:val="255"/>
                <w:numId w:val="0"/>
              </w:numPr>
              <w:spacing w:before="156" w:beforeLines="50" w:line="360" w:lineRule="auto"/>
              <w:ind w:firstLine="480" w:firstLineChars="200"/>
              <w:rPr>
                <w:rFonts w:hint="default"/>
                <w:sz w:val="24"/>
                <w:lang w:val="en-US" w:eastAsia="zh-CN"/>
              </w:rPr>
            </w:pPr>
            <w:r>
              <w:rPr>
                <w:rFonts w:hint="eastAsia"/>
                <w:sz w:val="24"/>
                <w:lang w:val="en-US" w:eastAsia="zh-CN"/>
              </w:rPr>
              <w:t>第二，增强公司盈利能力，抗风险能力提升。朗研生命自身具备原料药、制剂销售收入和利润，若合并后则可增厚上市公司利润，在多变的外部环境下，更好地抵御行业风险。此外，朗研生命的加入还将为上市公司创新药品的研发提供充裕的资金支持和现金流，从而推动上市公司更好地持续发展。</w:t>
            </w:r>
          </w:p>
          <w:p w14:paraId="1579521E">
            <w:pPr>
              <w:numPr>
                <w:ilvl w:val="0"/>
                <w:numId w:val="1"/>
              </w:numPr>
              <w:spacing w:before="156" w:beforeLines="50" w:line="360" w:lineRule="auto"/>
              <w:ind w:left="425" w:leftChars="0" w:firstLine="1" w:firstLineChars="0"/>
              <w:rPr>
                <w:rFonts w:hint="eastAsia"/>
                <w:b/>
                <w:iCs/>
                <w:sz w:val="24"/>
                <w:szCs w:val="24"/>
              </w:rPr>
            </w:pPr>
            <w:r>
              <w:rPr>
                <w:rFonts w:hint="eastAsia"/>
                <w:b/>
                <w:iCs/>
                <w:sz w:val="24"/>
                <w:szCs w:val="24"/>
                <w:lang w:val="en-US" w:eastAsia="zh-CN"/>
              </w:rPr>
              <w:t>公司自主研发的STC007注射液最新研发进展如何？</w:t>
            </w:r>
          </w:p>
          <w:p w14:paraId="643AED48">
            <w:pPr>
              <w:keepNext w:val="0"/>
              <w:keepLines w:val="0"/>
              <w:pageBreakBefore w:val="0"/>
              <w:widowControl w:val="0"/>
              <w:numPr>
                <w:ilvl w:val="255"/>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ascii="宋体" w:hAnsi="宋体" w:eastAsia="宋体"/>
                <w:b w:val="0"/>
                <w:bCs/>
                <w:iCs/>
                <w:sz w:val="24"/>
                <w:szCs w:val="24"/>
                <w:lang w:val="en-US" w:eastAsia="zh-CN"/>
              </w:rPr>
            </w:pPr>
            <w:r>
              <w:rPr>
                <w:rFonts w:hint="eastAsia" w:ascii="宋体" w:hAnsi="宋体"/>
                <w:b w:val="0"/>
                <w:bCs/>
                <w:iCs/>
                <w:sz w:val="24"/>
                <w:szCs w:val="24"/>
                <w:lang w:val="en-US" w:eastAsia="zh-CN"/>
              </w:rPr>
              <w:t>STC007是子公司诺和晟泰自主研发的化学1类新药，属于强效 KOR 激动剂，与KOR 受体结合后，能有效阻断和抑制痛感信号的传递，从而产生镇痛的作用，拟用于腹部手术后的中、重度疼痛治疗。STC007注射液目前具有手术后镇痛和尿毒症瘙痒两个适应症，手术后镇痛适应症已经完成二期临床试验，近期公司披露了STC007注射液治疗腹部手术后的中、重度疼痛的二期临床试验数据，STC007注射液治疗尿毒症瘙痒适应症也已进入二期临床试验阶段。根据“评估 STC007 注射液治疗腹部手术后疼痛的有效性、安全性和药代动力学特征的随机、双盲、安慰剂/阳性对照II期临床研究”结果，1）临床试验有效性试验表明：与安慰剂组相比，STC007注射液能够有效改善腹部术后疼痛中度至重度受试者的术后 0-24 小时的静息和运动状态下的疼痛评分（最小二乘均值差值分别为 5.16、5.64、6.25），与盐酸曲马多注射液组相比，STC007 注射液能够有效改善腹部术后疼痛中度至重度受试者的术后 0-24 小时运动状态下的疼痛评分（SPID0-24h 最小二乘均值差值分别为 6.52、1.25、 3.29）。与盐酸曲马多组注射液组和安慰剂组相比，STC007 注射液挽救治疗药 物累积使用量更低，首次接受挽救治疗时间更晚；2）临床试验安全性试验表明：STC007注射液总体的安全性和耐受性良好，未发现新的安全性信号、未发生严重不良事件。呕吐和恶心是研究期间最常见的不良反应，STC007各剂量组发生率（低剂量组分别为10.0%和7.5%，高剂量组分别为10.3%和5.1%，均低于盐酸曲马多注射液50mg组20.5%和25.6%）和安慰剂组（15.0%和 12.5%），在同靶点药物中也处于较低水平。整体而言，本项II期临床试验结果表明，与安慰剂组相比，STC007注射液能够有效改善腹部术后疼痛中度至重度受试者的术后 0-24 小时的静息和运动状态下的疼痛评分，减少挽救治疗药物使用量，镇痛效果与阳性对照药盐酸曲马多注射液相当。STC007 注射液总体的安全性和耐受性良好，未发现新的安全性信号、未发生严重不良事件，总的不良事件发生率和严重程度低于阳性对照药和安慰剂，常见的恶心、呕吐等不良事件发生率在相同作用机制的药物中处于较低水平。</w:t>
            </w:r>
          </w:p>
          <w:p w14:paraId="13EF8075">
            <w:pPr>
              <w:numPr>
                <w:ilvl w:val="0"/>
                <w:numId w:val="2"/>
              </w:numPr>
              <w:spacing w:before="156" w:beforeLines="50" w:line="360" w:lineRule="auto"/>
              <w:ind w:firstLine="482" w:firstLineChars="200"/>
              <w:rPr>
                <w:rFonts w:hint="eastAsia"/>
                <w:b/>
                <w:sz w:val="24"/>
              </w:rPr>
            </w:pPr>
            <w:r>
              <w:rPr>
                <w:rFonts w:hint="eastAsia"/>
                <w:b/>
                <w:sz w:val="24"/>
                <w:lang w:val="en-US" w:eastAsia="zh-CN"/>
              </w:rPr>
              <w:t>去年公司权益分成品种已经开始贡献收入和利润，</w:t>
            </w:r>
            <w:r>
              <w:rPr>
                <w:rFonts w:hint="eastAsia"/>
                <w:b/>
                <w:sz w:val="24"/>
              </w:rPr>
              <w:t xml:space="preserve">后续如何展望？ </w:t>
            </w:r>
          </w:p>
          <w:p w14:paraId="2F3F193A">
            <w:pPr>
              <w:numPr>
                <w:ilvl w:val="-1"/>
                <w:numId w:val="0"/>
              </w:numPr>
              <w:spacing w:before="156" w:beforeLines="50" w:line="360" w:lineRule="auto"/>
              <w:ind w:firstLine="480" w:firstLineChars="200"/>
              <w:rPr>
                <w:rFonts w:hint="eastAsia"/>
                <w:bCs/>
                <w:iCs/>
                <w:sz w:val="24"/>
                <w:szCs w:val="24"/>
                <w:lang w:val="en-US" w:eastAsia="zh-CN"/>
              </w:rPr>
            </w:pPr>
            <w:r>
              <w:rPr>
                <w:rFonts w:hint="eastAsia"/>
                <w:bCs/>
                <w:iCs/>
                <w:sz w:val="24"/>
                <w:szCs w:val="24"/>
                <w:lang w:val="en-US" w:eastAsia="zh-CN"/>
              </w:rPr>
              <w:t>权益分成作为公司重要的盈利模式之一，是指公司在与部分客户签订的合同中约定，保留药品上市后的销售权益分成，从而在药品的有效生命周期内持续稳定地获取收益。公司通过实施多元化的权益分配机制，不仅保障了收益的持续稳定增长，促进了企业市场价值的稳步提升，还实现了与客户的深度合作与共同发展。</w:t>
            </w:r>
          </w:p>
          <w:p w14:paraId="109B778C">
            <w:pPr>
              <w:numPr>
                <w:ilvl w:val="-1"/>
                <w:numId w:val="0"/>
              </w:numPr>
              <w:spacing w:before="156" w:beforeLines="50" w:line="360" w:lineRule="auto"/>
              <w:ind w:firstLine="480" w:firstLineChars="200"/>
              <w:rPr>
                <w:rFonts w:hint="eastAsia"/>
                <w:bCs/>
                <w:iCs/>
                <w:sz w:val="24"/>
                <w:szCs w:val="24"/>
                <w:lang w:val="en-US" w:eastAsia="zh-CN"/>
              </w:rPr>
            </w:pPr>
            <w:r>
              <w:rPr>
                <w:rFonts w:hint="eastAsia"/>
                <w:bCs/>
                <w:iCs/>
                <w:sz w:val="24"/>
                <w:szCs w:val="24"/>
                <w:lang w:val="en-US" w:eastAsia="zh-CN"/>
              </w:rPr>
              <w:t>该合作模式主要通过两种方式形成：一方面，公司积极推进自主立项项目，当项目进展到关键阶段时，适时向客户进行推介，并接受客户委托继续提供专业的研发服务。在此过程中，公司与客户通过合同明确约定药品上市后的销售权益分配，为公司未来收益奠定了稳定的增长基础。另一方面，公司密切关注市场动态，积极搜寻具有重大潜力的研发药物。通过对其临床后期开发或商业化活动进行资助，以换取未来的药品特许权，或直接从药物原始创新者手中购买现成的特许权。这一策略不仅丰富了公司的研发管线，也为公司的长期可持续利润提供了有力保障。</w:t>
            </w:r>
          </w:p>
          <w:p w14:paraId="404DB656">
            <w:pPr>
              <w:numPr>
                <w:ilvl w:val="-1"/>
                <w:numId w:val="0"/>
              </w:numPr>
              <w:spacing w:before="156" w:beforeLines="50" w:line="360" w:lineRule="auto"/>
              <w:ind w:firstLine="480" w:firstLineChars="200"/>
              <w:rPr>
                <w:rFonts w:hint="eastAsia"/>
                <w:b/>
                <w:sz w:val="24"/>
              </w:rPr>
            </w:pPr>
            <w:r>
              <w:rPr>
                <w:rFonts w:hint="eastAsia"/>
                <w:bCs/>
                <w:iCs/>
                <w:sz w:val="24"/>
                <w:szCs w:val="24"/>
                <w:lang w:val="en-US" w:eastAsia="zh-CN"/>
              </w:rPr>
              <w:t>在过去的长期积累中，公司发展了一批具有销售分配权益的品种，随着这些品种逐个获批销售，2024年公司首次实现权益分成收入，共计653.36万元。截至2024年度报告披露前，公司取得生产批件的权益分成项目共6项，未来预计将获得更丰厚的权益分成收益。</w:t>
            </w:r>
          </w:p>
          <w:p w14:paraId="1630CA43">
            <w:pPr>
              <w:numPr>
                <w:ilvl w:val="0"/>
                <w:numId w:val="3"/>
              </w:numPr>
              <w:spacing w:before="156" w:beforeLines="50" w:line="360" w:lineRule="auto"/>
              <w:ind w:firstLine="482" w:firstLineChars="200"/>
              <w:rPr>
                <w:rFonts w:hint="eastAsia"/>
                <w:b/>
                <w:sz w:val="24"/>
                <w:highlight w:val="none"/>
              </w:rPr>
            </w:pPr>
            <w:r>
              <w:rPr>
                <w:rFonts w:hint="default"/>
                <w:b/>
                <w:sz w:val="24"/>
                <w:highlight w:val="none"/>
                <w:lang w:val="en-US" w:eastAsia="zh-CN"/>
              </w:rPr>
              <w:t>公司在多肽药物领域的技术优势体现在哪些方面？未来有何布局</w:t>
            </w:r>
            <w:r>
              <w:rPr>
                <w:rFonts w:hint="eastAsia"/>
                <w:b/>
                <w:sz w:val="24"/>
                <w:highlight w:val="none"/>
                <w:lang w:val="en-US" w:eastAsia="zh-CN"/>
              </w:rPr>
              <w:t>？</w:t>
            </w:r>
          </w:p>
          <w:p w14:paraId="46384AA3">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sz w:val="24"/>
                <w:lang w:val="en-US" w:eastAsia="zh-CN"/>
              </w:rPr>
            </w:pPr>
            <w:r>
              <w:rPr>
                <w:rFonts w:hint="eastAsia"/>
                <w:b w:val="0"/>
                <w:bCs/>
                <w:sz w:val="24"/>
                <w:highlight w:val="none"/>
                <w:lang w:val="en-US" w:eastAsia="zh-CN"/>
              </w:rPr>
              <w:t>公司建立了iCVETide®多肽新药发现技术平台，专注深入挖掘类肽创新药，掌握多肽偶联PDC药物的靶向多肽序列、连接子类别以及连接位点等关键技术，实现较高难度的多肽类分子与靶蛋白模拟对接的计算机辅助药物分子设计CADD与大规模化合物库的计算机虚拟筛选，并开展多肽分子与靶蛋白的精确动力学模拟和分子对接实验。在过去多年的研发过程中，已经形成了一系列呈梯队的管线布局，目前已经有2个品种3个适应症到了临床开发阶段，即</w:t>
            </w:r>
            <w:r>
              <w:rPr>
                <w:rFonts w:hint="default"/>
                <w:sz w:val="24"/>
                <w:lang w:val="en-US" w:eastAsia="zh-CN"/>
              </w:rPr>
              <w:t>STC007注射液</w:t>
            </w:r>
            <w:r>
              <w:rPr>
                <w:rFonts w:hint="eastAsia"/>
                <w:sz w:val="24"/>
                <w:lang w:val="en-US" w:eastAsia="zh-CN"/>
              </w:rPr>
              <w:t>的手术后镇痛适应症已经完成二期临床试验，近期公司披露了STC007注射液治疗腹部手术后的中、重度疼痛的二期临床试验数据，根据数据结果，该临床试验达成预期目标。STC007注射液治疗</w:t>
            </w:r>
            <w:r>
              <w:rPr>
                <w:rFonts w:hint="default"/>
                <w:sz w:val="24"/>
                <w:lang w:val="en-US" w:eastAsia="zh-CN"/>
              </w:rPr>
              <w:t>尿毒症瘙痒</w:t>
            </w:r>
            <w:r>
              <w:rPr>
                <w:rFonts w:hint="eastAsia"/>
                <w:sz w:val="24"/>
                <w:lang w:val="en-US" w:eastAsia="zh-CN"/>
              </w:rPr>
              <w:t>的适应症也</w:t>
            </w:r>
            <w:r>
              <w:rPr>
                <w:rFonts w:hint="default"/>
                <w:sz w:val="24"/>
                <w:lang w:val="en-US" w:eastAsia="zh-CN"/>
              </w:rPr>
              <w:t>已进入二期临床试验阶段，</w:t>
            </w:r>
            <w:r>
              <w:rPr>
                <w:rFonts w:hint="eastAsia"/>
                <w:sz w:val="24"/>
                <w:lang w:val="en-US" w:eastAsia="zh-CN"/>
              </w:rPr>
              <w:t>同时</w:t>
            </w:r>
            <w:r>
              <w:rPr>
                <w:rFonts w:hint="default"/>
                <w:sz w:val="24"/>
                <w:lang w:val="en-US" w:eastAsia="zh-CN"/>
              </w:rPr>
              <w:t>STC008注射液已进入一期临床试验阶段，其主要适应症为治疗晚期实体瘤相关的肿瘤恶液质，其他管线在临床前研究不同阶段，进展顺利</w:t>
            </w:r>
            <w:r>
              <w:rPr>
                <w:rFonts w:hint="eastAsia"/>
                <w:sz w:val="24"/>
                <w:lang w:val="en-US" w:eastAsia="zh-CN"/>
              </w:rPr>
              <w:t>。</w:t>
            </w:r>
          </w:p>
          <w:p w14:paraId="37707B2E">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eastAsia="宋体"/>
                <w:bCs/>
                <w:sz w:val="24"/>
                <w:lang w:val="en-US" w:eastAsia="zh-CN"/>
              </w:rPr>
            </w:pPr>
            <w:r>
              <w:rPr>
                <w:rFonts w:hint="eastAsia"/>
                <w:b w:val="0"/>
                <w:bCs/>
                <w:sz w:val="24"/>
                <w:highlight w:val="none"/>
                <w:lang w:val="en-US" w:eastAsia="zh-CN"/>
              </w:rPr>
              <w:t>在此基础上，公司与华为云携手合作，开发基于盘古大模型的AI多肽分子发现平台。借助人工智能辅助药物发现（AIDD）技术，进一步整合iCVETideTM在分子发现与优化方面的能力，建立基于庞大多肽类肽数据库的亲和力模型、条件生成模型、力场模型等，药物发现技术平台将大幅提升分子发现与优化能力，为多肽药物设计提供更精准的理论支持。人工智能的赋能将加速公司多肽和多肽偶联创新药物的研发进度，提升研发效率、节约开发成本，更进一步地促进公司在多肽领域开发出具有全球领先意义的创新药物分子。</w:t>
            </w:r>
          </w:p>
        </w:tc>
      </w:tr>
      <w:tr w14:paraId="4A6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93" w:type="dxa"/>
            <w:vAlign w:val="center"/>
          </w:tcPr>
          <w:p w14:paraId="49E359F1">
            <w:pPr>
              <w:spacing w:line="360" w:lineRule="auto"/>
              <w:jc w:val="left"/>
              <w:rPr>
                <w:rFonts w:hint="eastAsia" w:ascii="宋体" w:hAnsi="宋体"/>
                <w:b/>
                <w:bCs/>
                <w:iCs/>
                <w:sz w:val="24"/>
                <w:szCs w:val="24"/>
              </w:rPr>
            </w:pPr>
            <w:r>
              <w:rPr>
                <w:rFonts w:hint="eastAsia" w:ascii="宋体" w:hAnsi="宋体"/>
                <w:b/>
                <w:bCs/>
                <w:iCs/>
                <w:sz w:val="24"/>
                <w:szCs w:val="24"/>
              </w:rPr>
              <w:t>附件清单（如有）</w:t>
            </w:r>
          </w:p>
        </w:tc>
        <w:tc>
          <w:tcPr>
            <w:tcW w:w="6203" w:type="dxa"/>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17A6FD2">
            <w:pPr>
              <w:spacing w:line="360" w:lineRule="auto"/>
              <w:jc w:val="left"/>
              <w:rPr>
                <w:rFonts w:hint="eastAsia" w:ascii="宋体" w:hAnsi="宋体"/>
                <w:b/>
                <w:bCs/>
                <w:iCs/>
                <w:sz w:val="24"/>
                <w:szCs w:val="24"/>
              </w:rPr>
            </w:pPr>
            <w:r>
              <w:rPr>
                <w:rFonts w:hint="eastAsia" w:ascii="宋体" w:hAnsi="宋体"/>
                <w:b/>
                <w:bCs/>
                <w:iCs/>
                <w:sz w:val="24"/>
                <w:szCs w:val="24"/>
              </w:rPr>
              <w:t>日期</w:t>
            </w:r>
          </w:p>
        </w:tc>
        <w:tc>
          <w:tcPr>
            <w:tcW w:w="6203" w:type="dxa"/>
          </w:tcPr>
          <w:p w14:paraId="1087953D">
            <w:pPr>
              <w:spacing w:line="360" w:lineRule="auto"/>
              <w:rPr>
                <w:rFonts w:hint="eastAsia" w:ascii="宋体" w:hAnsi="宋体"/>
                <w:bCs/>
                <w:iCs/>
                <w:sz w:val="24"/>
                <w:szCs w:val="24"/>
              </w:rPr>
            </w:pPr>
            <w:r>
              <w:rPr>
                <w:rFonts w:hint="default" w:ascii="Times New Roman" w:hAnsi="Times New Roman"/>
                <w:bCs/>
                <w:iCs/>
                <w:sz w:val="24"/>
                <w:szCs w:val="24"/>
              </w:rPr>
              <w:t>20</w:t>
            </w:r>
            <w:r>
              <w:rPr>
                <w:rFonts w:ascii="Times New Roman" w:hAnsi="Times New Roman"/>
                <w:bCs/>
                <w:iCs/>
                <w:sz w:val="24"/>
                <w:szCs w:val="24"/>
              </w:rPr>
              <w:t>2</w:t>
            </w:r>
            <w:r>
              <w:rPr>
                <w:rFonts w:hint="eastAsia"/>
                <w:bCs/>
                <w:iCs/>
                <w:sz w:val="24"/>
                <w:szCs w:val="24"/>
                <w:lang w:val="en-US" w:eastAsia="zh-CN"/>
              </w:rPr>
              <w:t>5</w:t>
            </w:r>
            <w:r>
              <w:rPr>
                <w:rFonts w:hint="default" w:ascii="Times New Roman" w:hAnsi="Times New Roman"/>
                <w:bCs/>
                <w:iCs/>
                <w:sz w:val="24"/>
                <w:szCs w:val="24"/>
              </w:rPr>
              <w:t>年</w:t>
            </w:r>
            <w:r>
              <w:rPr>
                <w:rFonts w:hint="eastAsia"/>
                <w:bCs/>
                <w:iCs/>
                <w:sz w:val="24"/>
                <w:szCs w:val="24"/>
                <w:lang w:val="en-US" w:eastAsia="zh-CN"/>
              </w:rPr>
              <w:t>6</w:t>
            </w:r>
            <w:r>
              <w:rPr>
                <w:rFonts w:hint="default" w:ascii="Times New Roman" w:hAnsi="Times New Roman"/>
                <w:bCs/>
                <w:iCs/>
                <w:sz w:val="24"/>
                <w:szCs w:val="24"/>
              </w:rPr>
              <w:t>月</w:t>
            </w:r>
            <w:r>
              <w:rPr>
                <w:rFonts w:hint="eastAsia"/>
                <w:bCs/>
                <w:iCs/>
                <w:sz w:val="24"/>
                <w:szCs w:val="24"/>
                <w:lang w:val="en-US" w:eastAsia="zh-CN"/>
              </w:rPr>
              <w:t>4</w:t>
            </w:r>
            <w:r>
              <w:rPr>
                <w:rFonts w:hint="default" w:ascii="Times New Roman" w:hAnsi="Times New Roman"/>
                <w:bCs/>
                <w:iCs/>
                <w:sz w:val="24"/>
                <w:szCs w:val="24"/>
              </w:rPr>
              <w:t>日</w:t>
            </w:r>
          </w:p>
        </w:tc>
      </w:tr>
    </w:tbl>
    <w:p w14:paraId="3B62B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6A866"/>
    <w:multiLevelType w:val="singleLevel"/>
    <w:tmpl w:val="B956A866"/>
    <w:lvl w:ilvl="0" w:tentative="0">
      <w:start w:val="4"/>
      <w:numFmt w:val="decimal"/>
      <w:lvlText w:val="%1."/>
      <w:lvlJc w:val="left"/>
      <w:pPr>
        <w:tabs>
          <w:tab w:val="left" w:pos="312"/>
        </w:tabs>
      </w:pPr>
      <w:rPr>
        <w:rFonts w:hint="default"/>
        <w:b/>
        <w:bCs/>
      </w:rPr>
    </w:lvl>
  </w:abstractNum>
  <w:abstractNum w:abstractNumId="1">
    <w:nsid w:val="DC9D47E6"/>
    <w:multiLevelType w:val="singleLevel"/>
    <w:tmpl w:val="DC9D47E6"/>
    <w:lvl w:ilvl="0" w:tentative="0">
      <w:start w:val="3"/>
      <w:numFmt w:val="decimal"/>
      <w:lvlText w:val="%1."/>
      <w:lvlJc w:val="left"/>
      <w:pPr>
        <w:tabs>
          <w:tab w:val="left" w:pos="312"/>
        </w:tabs>
      </w:pPr>
    </w:lvl>
  </w:abstractNum>
  <w:abstractNum w:abstractNumId="2">
    <w:nsid w:val="FFFD3353"/>
    <w:multiLevelType w:val="singleLevel"/>
    <w:tmpl w:val="FFFD3353"/>
    <w:lvl w:ilvl="0" w:tentative="0">
      <w:start w:val="1"/>
      <w:numFmt w:val="decimal"/>
      <w:lvlText w:val="%1."/>
      <w:lvlJc w:val="left"/>
      <w:pPr>
        <w:tabs>
          <w:tab w:val="left" w:pos="425"/>
        </w:tabs>
        <w:ind w:left="425" w:leftChars="0" w:firstLine="1"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4C54A6F"/>
    <w:rsid w:val="5ADF7FF3"/>
    <w:rsid w:val="5C2F0412"/>
    <w:rsid w:val="7BF5B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21"/>
      <w:szCs w:val="21"/>
    </w:rPr>
  </w:style>
  <w:style w:type="paragraph" w:customStyle="1" w:styleId="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9">
    <w:name w:val="批注文字 字符"/>
    <w:basedOn w:val="6"/>
    <w:link w:val="2"/>
    <w:qFormat/>
    <w:uiPriority w:val="0"/>
    <w:rPr>
      <w:kern w:val="2"/>
      <w:sz w:val="21"/>
    </w:rPr>
  </w:style>
  <w:style w:type="character" w:customStyle="1" w:styleId="10">
    <w:name w:val="批注主题 字符"/>
    <w:basedOn w:val="9"/>
    <w:link w:val="4"/>
    <w:qFormat/>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3263</Words>
  <Characters>3504</Characters>
  <Lines>18</Lines>
  <Paragraphs>5</Paragraphs>
  <TotalTime>3</TotalTime>
  <ScaleCrop>false</ScaleCrop>
  <LinksUpToDate>false</LinksUpToDate>
  <CharactersWithSpaces>3592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2024-09-27T14:32:00Z</dcterms:created>
  <dc:creator>杨贵娇</dc:creator>
  <cp:lastModifiedBy>杨贵娇</cp:lastModifiedBy>
  <dcterms:modified xsi:type="dcterms:W3CDTF">2025-06-04T06:08:16Z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91E8D9D75BAA4780A5A1AB5DB0587785_13</vt:lpwstr>
  </property>
  <property fmtid="{D5CDD505-2E9C-101B-9397-08002B2CF9AE}" pid="4" name="KSOTemplateDocerSaveRecord">
    <vt:lpwstr>eyJoZGlkIjoiZTM2MTRlOTE5NzU3Y2FhZmJjMTA4ODAwNjMyZWVhZDciLCJ1c2VySWQiOiIzOTQyNDEyNzQifQ==</vt:lpwstr>
  </property>
</Properties>
</file>