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证券简称：炬芯科技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炬芯科技股份有限公司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954"/>
      </w:tblGrid>
      <w:tr w:rsidR="001603E5" w:rsidRPr="00355B69" w14:paraId="50EF5C9E" w14:textId="77777777" w:rsidTr="00564C8B">
        <w:trPr>
          <w:trHeight w:val="1975"/>
          <w:jc w:val="center"/>
        </w:trPr>
        <w:tc>
          <w:tcPr>
            <w:tcW w:w="1413"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954" w:type="dxa"/>
            <w:shd w:val="clear" w:color="auto" w:fill="auto"/>
          </w:tcPr>
          <w:p w14:paraId="7D4BD14E" w14:textId="0F89796C" w:rsidR="00FE7F1E" w:rsidRPr="006664FF" w:rsidRDefault="00F80B51">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0EFAF229" w14:textId="4A34031D" w:rsidR="00FE7F1E" w:rsidRPr="006664FF" w:rsidRDefault="005E6B13">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4667EA">
              <w:rPr>
                <w:rFonts w:ascii="宋体" w:eastAsia="宋体" w:hAnsi="宋体" w:cs="Times New Roman" w:hint="eastAsia"/>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p w14:paraId="4C28B688" w14:textId="75405655" w:rsidR="00FE7F1E" w:rsidRPr="003451C4" w:rsidRDefault="00CE1991" w:rsidP="00CE1991">
            <w:pPr>
              <w:tabs>
                <w:tab w:val="center" w:pos="3199"/>
              </w:tabs>
              <w:spacing w:line="360" w:lineRule="auto"/>
              <w:rPr>
                <w:rFonts w:ascii="宋体" w:eastAsia="宋体" w:hAnsi="宋体" w:cs="Times New Roman"/>
                <w:bCs/>
                <w:iCs/>
                <w:color w:val="000000" w:themeColor="text1"/>
                <w:sz w:val="24"/>
                <w:szCs w:val="24"/>
                <w:u w:val="single"/>
              </w:rPr>
            </w:pPr>
            <w:r w:rsidRPr="006664FF">
              <w:rPr>
                <w:rFonts w:ascii="宋体" w:eastAsia="宋体" w:hAnsi="宋体" w:cs="Times New Roman" w:hint="eastAsia"/>
                <w:bCs/>
                <w:iCs/>
                <w:color w:val="000000" w:themeColor="text1"/>
                <w:sz w:val="24"/>
                <w:szCs w:val="24"/>
              </w:rPr>
              <w:t>□</w:t>
            </w:r>
            <w:r w:rsidR="00355B69">
              <w:rPr>
                <w:rFonts w:ascii="宋体" w:eastAsia="宋体" w:hAnsi="宋体" w:cs="Times New Roman" w:hint="eastAsia"/>
                <w:bCs/>
                <w:iCs/>
                <w:color w:val="000000" w:themeColor="text1"/>
                <w:sz w:val="24"/>
                <w:szCs w:val="24"/>
              </w:rPr>
              <w:t>其他</w:t>
            </w:r>
          </w:p>
        </w:tc>
      </w:tr>
      <w:tr w:rsidR="00C8376D" w:rsidRPr="00C8376D" w14:paraId="250DE984" w14:textId="77777777" w:rsidTr="00564C8B">
        <w:trPr>
          <w:trHeight w:val="118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9C0F1BE" w14:textId="448D2692" w:rsidR="00C8376D" w:rsidRPr="00C8376D" w:rsidRDefault="00C8376D" w:rsidP="00DF7BA3">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6954" w:type="dxa"/>
            <w:tcBorders>
              <w:top w:val="single" w:sz="4" w:space="0" w:color="auto"/>
              <w:left w:val="single" w:sz="4" w:space="0" w:color="auto"/>
              <w:bottom w:val="single" w:sz="4" w:space="0" w:color="auto"/>
              <w:right w:val="single" w:sz="4" w:space="0" w:color="auto"/>
            </w:tcBorders>
            <w:vAlign w:val="center"/>
            <w:hideMark/>
          </w:tcPr>
          <w:tbl>
            <w:tblPr>
              <w:tblW w:w="6123" w:type="dxa"/>
              <w:jc w:val="center"/>
              <w:tblLook w:val="04A0" w:firstRow="1" w:lastRow="0" w:firstColumn="1" w:lastColumn="0" w:noHBand="0" w:noVBand="1"/>
            </w:tblPr>
            <w:tblGrid>
              <w:gridCol w:w="1571"/>
              <w:gridCol w:w="1571"/>
              <w:gridCol w:w="1571"/>
              <w:gridCol w:w="1410"/>
            </w:tblGrid>
            <w:tr w:rsidR="005C3F15" w:rsidRPr="005C3F15" w14:paraId="38A7D8E1" w14:textId="77777777" w:rsidTr="005C3F15">
              <w:trPr>
                <w:trHeight w:val="278"/>
                <w:jc w:val="center"/>
              </w:trPr>
              <w:tc>
                <w:tcPr>
                  <w:tcW w:w="1571" w:type="dxa"/>
                  <w:shd w:val="clear" w:color="auto" w:fill="auto"/>
                  <w:noWrap/>
                  <w:vAlign w:val="center"/>
                  <w:hideMark/>
                </w:tcPr>
                <w:p w14:paraId="62806919"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百嘉基金</w:t>
                  </w:r>
                </w:p>
              </w:tc>
              <w:tc>
                <w:tcPr>
                  <w:tcW w:w="1571" w:type="dxa"/>
                  <w:shd w:val="clear" w:color="auto" w:fill="auto"/>
                  <w:noWrap/>
                  <w:vAlign w:val="center"/>
                  <w:hideMark/>
                </w:tcPr>
                <w:p w14:paraId="734CDE5D"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国君资管</w:t>
                  </w:r>
                </w:p>
              </w:tc>
              <w:tc>
                <w:tcPr>
                  <w:tcW w:w="1571" w:type="dxa"/>
                  <w:shd w:val="clear" w:color="auto" w:fill="auto"/>
                  <w:noWrap/>
                  <w:vAlign w:val="center"/>
                  <w:hideMark/>
                </w:tcPr>
                <w:p w14:paraId="66FB8068"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麦高证券</w:t>
                  </w:r>
                </w:p>
              </w:tc>
              <w:tc>
                <w:tcPr>
                  <w:tcW w:w="1410" w:type="dxa"/>
                  <w:shd w:val="clear" w:color="auto" w:fill="auto"/>
                  <w:noWrap/>
                  <w:vAlign w:val="center"/>
                  <w:hideMark/>
                </w:tcPr>
                <w:p w14:paraId="597A01E7"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深圳明诚</w:t>
                  </w:r>
                </w:p>
              </w:tc>
            </w:tr>
            <w:tr w:rsidR="005C3F15" w:rsidRPr="005C3F15" w14:paraId="7CD1A454" w14:textId="77777777" w:rsidTr="005C3F15">
              <w:trPr>
                <w:trHeight w:val="278"/>
                <w:jc w:val="center"/>
              </w:trPr>
              <w:tc>
                <w:tcPr>
                  <w:tcW w:w="1571" w:type="dxa"/>
                  <w:shd w:val="clear" w:color="auto" w:fill="auto"/>
                  <w:noWrap/>
                  <w:vAlign w:val="center"/>
                  <w:hideMark/>
                </w:tcPr>
                <w:p w14:paraId="1A38010A"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百年保险</w:t>
                  </w:r>
                </w:p>
              </w:tc>
              <w:tc>
                <w:tcPr>
                  <w:tcW w:w="1571" w:type="dxa"/>
                  <w:shd w:val="clear" w:color="auto" w:fill="auto"/>
                  <w:noWrap/>
                  <w:vAlign w:val="center"/>
                  <w:hideMark/>
                </w:tcPr>
                <w:p w14:paraId="718C932E"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国联安基金</w:t>
                  </w:r>
                </w:p>
              </w:tc>
              <w:tc>
                <w:tcPr>
                  <w:tcW w:w="1571" w:type="dxa"/>
                  <w:shd w:val="clear" w:color="auto" w:fill="auto"/>
                  <w:noWrap/>
                  <w:vAlign w:val="center"/>
                  <w:hideMark/>
                </w:tcPr>
                <w:p w14:paraId="38F72E8B"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民生加银</w:t>
                  </w:r>
                </w:p>
              </w:tc>
              <w:tc>
                <w:tcPr>
                  <w:tcW w:w="1410" w:type="dxa"/>
                  <w:shd w:val="clear" w:color="auto" w:fill="auto"/>
                  <w:noWrap/>
                  <w:vAlign w:val="center"/>
                  <w:hideMark/>
                </w:tcPr>
                <w:p w14:paraId="7DC15472"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深圳清水源</w:t>
                  </w:r>
                </w:p>
              </w:tc>
            </w:tr>
            <w:tr w:rsidR="005C3F15" w:rsidRPr="005C3F15" w14:paraId="614892D7" w14:textId="77777777" w:rsidTr="005C3F15">
              <w:trPr>
                <w:trHeight w:val="278"/>
                <w:jc w:val="center"/>
              </w:trPr>
              <w:tc>
                <w:tcPr>
                  <w:tcW w:w="1571" w:type="dxa"/>
                  <w:shd w:val="clear" w:color="auto" w:fill="auto"/>
                  <w:noWrap/>
                  <w:vAlign w:val="center"/>
                  <w:hideMark/>
                </w:tcPr>
                <w:p w14:paraId="119A21BB"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宝盈基金</w:t>
                  </w:r>
                </w:p>
              </w:tc>
              <w:tc>
                <w:tcPr>
                  <w:tcW w:w="1571" w:type="dxa"/>
                  <w:shd w:val="clear" w:color="auto" w:fill="auto"/>
                  <w:noWrap/>
                  <w:vAlign w:val="center"/>
                  <w:hideMark/>
                </w:tcPr>
                <w:p w14:paraId="610CB61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国联民生</w:t>
                  </w:r>
                </w:p>
              </w:tc>
              <w:tc>
                <w:tcPr>
                  <w:tcW w:w="1571" w:type="dxa"/>
                  <w:shd w:val="clear" w:color="auto" w:fill="auto"/>
                  <w:noWrap/>
                  <w:vAlign w:val="center"/>
                  <w:hideMark/>
                </w:tcPr>
                <w:p w14:paraId="3FB32C56"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民生通惠</w:t>
                  </w:r>
                </w:p>
              </w:tc>
              <w:tc>
                <w:tcPr>
                  <w:tcW w:w="1410" w:type="dxa"/>
                  <w:shd w:val="clear" w:color="auto" w:fill="auto"/>
                  <w:noWrap/>
                  <w:vAlign w:val="center"/>
                  <w:hideMark/>
                </w:tcPr>
                <w:p w14:paraId="57B8A2C0"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太平基金</w:t>
                  </w:r>
                </w:p>
              </w:tc>
            </w:tr>
            <w:tr w:rsidR="005C3F15" w:rsidRPr="005C3F15" w14:paraId="70FF7D44" w14:textId="77777777" w:rsidTr="005C3F15">
              <w:trPr>
                <w:trHeight w:val="278"/>
                <w:jc w:val="center"/>
              </w:trPr>
              <w:tc>
                <w:tcPr>
                  <w:tcW w:w="1571" w:type="dxa"/>
                  <w:shd w:val="clear" w:color="auto" w:fill="auto"/>
                  <w:noWrap/>
                  <w:vAlign w:val="center"/>
                  <w:hideMark/>
                </w:tcPr>
                <w:p w14:paraId="38361BF2"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贝莱德</w:t>
                  </w:r>
                </w:p>
              </w:tc>
              <w:tc>
                <w:tcPr>
                  <w:tcW w:w="1571" w:type="dxa"/>
                  <w:shd w:val="clear" w:color="auto" w:fill="auto"/>
                  <w:noWrap/>
                  <w:vAlign w:val="center"/>
                  <w:hideMark/>
                </w:tcPr>
                <w:p w14:paraId="0EDAE497"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国盛证券</w:t>
                  </w:r>
                </w:p>
              </w:tc>
              <w:tc>
                <w:tcPr>
                  <w:tcW w:w="1571" w:type="dxa"/>
                  <w:shd w:val="clear" w:color="auto" w:fill="auto"/>
                  <w:noWrap/>
                  <w:vAlign w:val="center"/>
                  <w:hideMark/>
                </w:tcPr>
                <w:p w14:paraId="7E8027E1"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南土资产</w:t>
                  </w:r>
                </w:p>
              </w:tc>
              <w:tc>
                <w:tcPr>
                  <w:tcW w:w="1410" w:type="dxa"/>
                  <w:shd w:val="clear" w:color="auto" w:fill="auto"/>
                  <w:noWrap/>
                  <w:vAlign w:val="center"/>
                  <w:hideMark/>
                </w:tcPr>
                <w:p w14:paraId="1586D754"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太平资产</w:t>
                  </w:r>
                </w:p>
              </w:tc>
            </w:tr>
            <w:tr w:rsidR="005C3F15" w:rsidRPr="005C3F15" w14:paraId="52A609FC" w14:textId="77777777" w:rsidTr="005C3F15">
              <w:trPr>
                <w:trHeight w:val="278"/>
                <w:jc w:val="center"/>
              </w:trPr>
              <w:tc>
                <w:tcPr>
                  <w:tcW w:w="1571" w:type="dxa"/>
                  <w:shd w:val="clear" w:color="auto" w:fill="auto"/>
                  <w:noWrap/>
                  <w:vAlign w:val="center"/>
                  <w:hideMark/>
                </w:tcPr>
                <w:p w14:paraId="14758C0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博道基金</w:t>
                  </w:r>
                </w:p>
              </w:tc>
              <w:tc>
                <w:tcPr>
                  <w:tcW w:w="1571" w:type="dxa"/>
                  <w:shd w:val="clear" w:color="auto" w:fill="auto"/>
                  <w:noWrap/>
                  <w:vAlign w:val="center"/>
                  <w:hideMark/>
                </w:tcPr>
                <w:p w14:paraId="7C8A6306"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国寿安保</w:t>
                  </w:r>
                </w:p>
              </w:tc>
              <w:tc>
                <w:tcPr>
                  <w:tcW w:w="1571" w:type="dxa"/>
                  <w:shd w:val="clear" w:color="auto" w:fill="auto"/>
                  <w:noWrap/>
                  <w:vAlign w:val="center"/>
                  <w:hideMark/>
                </w:tcPr>
                <w:p w14:paraId="6405E5FF"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诺安基金</w:t>
                  </w:r>
                </w:p>
              </w:tc>
              <w:tc>
                <w:tcPr>
                  <w:tcW w:w="1410" w:type="dxa"/>
                  <w:shd w:val="clear" w:color="auto" w:fill="auto"/>
                  <w:noWrap/>
                  <w:vAlign w:val="center"/>
                  <w:hideMark/>
                </w:tcPr>
                <w:p w14:paraId="51555B8D"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泰信基金</w:t>
                  </w:r>
                </w:p>
              </w:tc>
            </w:tr>
            <w:tr w:rsidR="005C3F15" w:rsidRPr="005C3F15" w14:paraId="6EF0C2E8" w14:textId="77777777" w:rsidTr="005C3F15">
              <w:trPr>
                <w:trHeight w:val="278"/>
                <w:jc w:val="center"/>
              </w:trPr>
              <w:tc>
                <w:tcPr>
                  <w:tcW w:w="1571" w:type="dxa"/>
                  <w:shd w:val="clear" w:color="auto" w:fill="auto"/>
                  <w:noWrap/>
                  <w:vAlign w:val="center"/>
                  <w:hideMark/>
                </w:tcPr>
                <w:p w14:paraId="46D9F99D"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博时基金</w:t>
                  </w:r>
                </w:p>
              </w:tc>
              <w:tc>
                <w:tcPr>
                  <w:tcW w:w="1571" w:type="dxa"/>
                  <w:shd w:val="clear" w:color="auto" w:fill="auto"/>
                  <w:noWrap/>
                  <w:vAlign w:val="center"/>
                  <w:hideMark/>
                </w:tcPr>
                <w:p w14:paraId="3349D98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国寿养老</w:t>
                  </w:r>
                </w:p>
              </w:tc>
              <w:tc>
                <w:tcPr>
                  <w:tcW w:w="1571" w:type="dxa"/>
                  <w:shd w:val="clear" w:color="auto" w:fill="auto"/>
                  <w:noWrap/>
                  <w:vAlign w:val="center"/>
                  <w:hideMark/>
                </w:tcPr>
                <w:p w14:paraId="332B9DB6"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盘京投资</w:t>
                  </w:r>
                </w:p>
              </w:tc>
              <w:tc>
                <w:tcPr>
                  <w:tcW w:w="1410" w:type="dxa"/>
                  <w:shd w:val="clear" w:color="auto" w:fill="auto"/>
                  <w:noWrap/>
                  <w:vAlign w:val="center"/>
                  <w:hideMark/>
                </w:tcPr>
                <w:p w14:paraId="2B4E1E65"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天弘基金</w:t>
                  </w:r>
                </w:p>
              </w:tc>
            </w:tr>
            <w:tr w:rsidR="005C3F15" w:rsidRPr="005C3F15" w14:paraId="20974265" w14:textId="77777777" w:rsidTr="005C3F15">
              <w:trPr>
                <w:trHeight w:val="278"/>
                <w:jc w:val="center"/>
              </w:trPr>
              <w:tc>
                <w:tcPr>
                  <w:tcW w:w="1571" w:type="dxa"/>
                  <w:shd w:val="clear" w:color="auto" w:fill="auto"/>
                  <w:noWrap/>
                  <w:vAlign w:val="center"/>
                  <w:hideMark/>
                </w:tcPr>
                <w:p w14:paraId="257243A8"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财通证券</w:t>
                  </w:r>
                </w:p>
              </w:tc>
              <w:tc>
                <w:tcPr>
                  <w:tcW w:w="1571" w:type="dxa"/>
                  <w:shd w:val="clear" w:color="auto" w:fill="auto"/>
                  <w:noWrap/>
                  <w:vAlign w:val="center"/>
                  <w:hideMark/>
                </w:tcPr>
                <w:p w14:paraId="2B9A43C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国泰基金</w:t>
                  </w:r>
                </w:p>
              </w:tc>
              <w:tc>
                <w:tcPr>
                  <w:tcW w:w="1571" w:type="dxa"/>
                  <w:shd w:val="clear" w:color="auto" w:fill="auto"/>
                  <w:noWrap/>
                  <w:vAlign w:val="center"/>
                  <w:hideMark/>
                </w:tcPr>
                <w:p w14:paraId="5827B2B0"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鹏万投资</w:t>
                  </w:r>
                </w:p>
              </w:tc>
              <w:tc>
                <w:tcPr>
                  <w:tcW w:w="1410" w:type="dxa"/>
                  <w:shd w:val="clear" w:color="auto" w:fill="auto"/>
                  <w:noWrap/>
                  <w:vAlign w:val="center"/>
                  <w:hideMark/>
                </w:tcPr>
                <w:p w14:paraId="05FEF204"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溪牛资产</w:t>
                  </w:r>
                </w:p>
              </w:tc>
            </w:tr>
            <w:tr w:rsidR="005C3F15" w:rsidRPr="005C3F15" w14:paraId="1E929408" w14:textId="77777777" w:rsidTr="005C3F15">
              <w:trPr>
                <w:trHeight w:val="278"/>
                <w:jc w:val="center"/>
              </w:trPr>
              <w:tc>
                <w:tcPr>
                  <w:tcW w:w="1571" w:type="dxa"/>
                  <w:shd w:val="clear" w:color="auto" w:fill="auto"/>
                  <w:noWrap/>
                  <w:vAlign w:val="center"/>
                  <w:hideMark/>
                </w:tcPr>
                <w:p w14:paraId="65DAE658"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财通资管</w:t>
                  </w:r>
                </w:p>
              </w:tc>
              <w:tc>
                <w:tcPr>
                  <w:tcW w:w="1571" w:type="dxa"/>
                  <w:shd w:val="clear" w:color="auto" w:fill="auto"/>
                  <w:noWrap/>
                  <w:vAlign w:val="center"/>
                  <w:hideMark/>
                </w:tcPr>
                <w:p w14:paraId="19C3AD04"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国信证券</w:t>
                  </w:r>
                </w:p>
              </w:tc>
              <w:tc>
                <w:tcPr>
                  <w:tcW w:w="1571" w:type="dxa"/>
                  <w:shd w:val="clear" w:color="auto" w:fill="auto"/>
                  <w:noWrap/>
                  <w:vAlign w:val="center"/>
                  <w:hideMark/>
                </w:tcPr>
                <w:p w14:paraId="02D12D47"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鹏扬基金</w:t>
                  </w:r>
                </w:p>
              </w:tc>
              <w:tc>
                <w:tcPr>
                  <w:tcW w:w="1410" w:type="dxa"/>
                  <w:shd w:val="clear" w:color="auto" w:fill="auto"/>
                  <w:noWrap/>
                  <w:vAlign w:val="center"/>
                  <w:hideMark/>
                </w:tcPr>
                <w:p w14:paraId="2DC2A076"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新华资产</w:t>
                  </w:r>
                </w:p>
              </w:tc>
            </w:tr>
            <w:tr w:rsidR="005C3F15" w:rsidRPr="005C3F15" w14:paraId="63AF34AC" w14:textId="77777777" w:rsidTr="005C3F15">
              <w:trPr>
                <w:trHeight w:val="278"/>
                <w:jc w:val="center"/>
              </w:trPr>
              <w:tc>
                <w:tcPr>
                  <w:tcW w:w="1571" w:type="dxa"/>
                  <w:shd w:val="clear" w:color="auto" w:fill="auto"/>
                  <w:noWrap/>
                  <w:vAlign w:val="center"/>
                  <w:hideMark/>
                </w:tcPr>
                <w:p w14:paraId="7845B41F"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长安基金</w:t>
                  </w:r>
                </w:p>
              </w:tc>
              <w:tc>
                <w:tcPr>
                  <w:tcW w:w="1571" w:type="dxa"/>
                  <w:shd w:val="clear" w:color="auto" w:fill="auto"/>
                  <w:noWrap/>
                  <w:vAlign w:val="center"/>
                  <w:hideMark/>
                </w:tcPr>
                <w:p w14:paraId="251BF277"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海南鸿盛</w:t>
                  </w:r>
                </w:p>
              </w:tc>
              <w:tc>
                <w:tcPr>
                  <w:tcW w:w="1571" w:type="dxa"/>
                  <w:shd w:val="clear" w:color="auto" w:fill="auto"/>
                  <w:noWrap/>
                  <w:vAlign w:val="center"/>
                  <w:hideMark/>
                </w:tcPr>
                <w:p w14:paraId="3C31739B"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平安基金</w:t>
                  </w:r>
                </w:p>
              </w:tc>
              <w:tc>
                <w:tcPr>
                  <w:tcW w:w="1410" w:type="dxa"/>
                  <w:shd w:val="clear" w:color="auto" w:fill="auto"/>
                  <w:noWrap/>
                  <w:vAlign w:val="center"/>
                  <w:hideMark/>
                </w:tcPr>
                <w:p w14:paraId="502CD9E0"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兴业基金</w:t>
                  </w:r>
                </w:p>
              </w:tc>
            </w:tr>
            <w:tr w:rsidR="005C3F15" w:rsidRPr="005C3F15" w14:paraId="68A08C54" w14:textId="77777777" w:rsidTr="005C3F15">
              <w:trPr>
                <w:trHeight w:val="278"/>
                <w:jc w:val="center"/>
              </w:trPr>
              <w:tc>
                <w:tcPr>
                  <w:tcW w:w="1571" w:type="dxa"/>
                  <w:shd w:val="clear" w:color="auto" w:fill="auto"/>
                  <w:noWrap/>
                  <w:vAlign w:val="center"/>
                  <w:hideMark/>
                </w:tcPr>
                <w:p w14:paraId="5384A391"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长城基金</w:t>
                  </w:r>
                </w:p>
              </w:tc>
              <w:tc>
                <w:tcPr>
                  <w:tcW w:w="1571" w:type="dxa"/>
                  <w:shd w:val="clear" w:color="auto" w:fill="auto"/>
                  <w:noWrap/>
                  <w:vAlign w:val="center"/>
                  <w:hideMark/>
                </w:tcPr>
                <w:p w14:paraId="2283DFE6"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宏利基金</w:t>
                  </w:r>
                </w:p>
              </w:tc>
              <w:tc>
                <w:tcPr>
                  <w:tcW w:w="1571" w:type="dxa"/>
                  <w:shd w:val="clear" w:color="auto" w:fill="auto"/>
                  <w:noWrap/>
                  <w:vAlign w:val="center"/>
                  <w:hideMark/>
                </w:tcPr>
                <w:p w14:paraId="38313573"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平安证券</w:t>
                  </w:r>
                </w:p>
              </w:tc>
              <w:tc>
                <w:tcPr>
                  <w:tcW w:w="1410" w:type="dxa"/>
                  <w:shd w:val="clear" w:color="auto" w:fill="auto"/>
                  <w:noWrap/>
                  <w:vAlign w:val="center"/>
                  <w:hideMark/>
                </w:tcPr>
                <w:p w14:paraId="52DC4DC6"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兴业证券</w:t>
                  </w:r>
                </w:p>
              </w:tc>
            </w:tr>
            <w:tr w:rsidR="005C3F15" w:rsidRPr="005C3F15" w14:paraId="52CA1F3B" w14:textId="77777777" w:rsidTr="005C3F15">
              <w:trPr>
                <w:trHeight w:val="278"/>
                <w:jc w:val="center"/>
              </w:trPr>
              <w:tc>
                <w:tcPr>
                  <w:tcW w:w="1571" w:type="dxa"/>
                  <w:shd w:val="clear" w:color="auto" w:fill="auto"/>
                  <w:noWrap/>
                  <w:vAlign w:val="center"/>
                  <w:hideMark/>
                </w:tcPr>
                <w:p w14:paraId="723465D4"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长城证券</w:t>
                  </w:r>
                </w:p>
              </w:tc>
              <w:tc>
                <w:tcPr>
                  <w:tcW w:w="1571" w:type="dxa"/>
                  <w:shd w:val="clear" w:color="auto" w:fill="auto"/>
                  <w:noWrap/>
                  <w:vAlign w:val="center"/>
                  <w:hideMark/>
                </w:tcPr>
                <w:p w14:paraId="5F3364C2"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华宝基金</w:t>
                  </w:r>
                </w:p>
              </w:tc>
              <w:tc>
                <w:tcPr>
                  <w:tcW w:w="1571" w:type="dxa"/>
                  <w:shd w:val="clear" w:color="auto" w:fill="auto"/>
                  <w:noWrap/>
                  <w:vAlign w:val="center"/>
                  <w:hideMark/>
                </w:tcPr>
                <w:p w14:paraId="51AD524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前海百创</w:t>
                  </w:r>
                </w:p>
              </w:tc>
              <w:tc>
                <w:tcPr>
                  <w:tcW w:w="1410" w:type="dxa"/>
                  <w:shd w:val="clear" w:color="auto" w:fill="auto"/>
                  <w:noWrap/>
                  <w:vAlign w:val="center"/>
                  <w:hideMark/>
                </w:tcPr>
                <w:p w14:paraId="013B1610"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易方达</w:t>
                  </w:r>
                </w:p>
              </w:tc>
            </w:tr>
            <w:tr w:rsidR="005C3F15" w:rsidRPr="005C3F15" w14:paraId="7CCD7F9D" w14:textId="77777777" w:rsidTr="005C3F15">
              <w:trPr>
                <w:trHeight w:val="278"/>
                <w:jc w:val="center"/>
              </w:trPr>
              <w:tc>
                <w:tcPr>
                  <w:tcW w:w="1571" w:type="dxa"/>
                  <w:shd w:val="clear" w:color="auto" w:fill="auto"/>
                  <w:noWrap/>
                  <w:vAlign w:val="center"/>
                  <w:hideMark/>
                </w:tcPr>
                <w:p w14:paraId="2F1CF5D9"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长江证券</w:t>
                  </w:r>
                </w:p>
              </w:tc>
              <w:tc>
                <w:tcPr>
                  <w:tcW w:w="1571" w:type="dxa"/>
                  <w:shd w:val="clear" w:color="auto" w:fill="auto"/>
                  <w:noWrap/>
                  <w:vAlign w:val="center"/>
                  <w:hideMark/>
                </w:tcPr>
                <w:p w14:paraId="05105BDB"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华创证券</w:t>
                  </w:r>
                </w:p>
              </w:tc>
              <w:tc>
                <w:tcPr>
                  <w:tcW w:w="1571" w:type="dxa"/>
                  <w:shd w:val="clear" w:color="auto" w:fill="auto"/>
                  <w:noWrap/>
                  <w:vAlign w:val="center"/>
                  <w:hideMark/>
                </w:tcPr>
                <w:p w14:paraId="5FA081C0"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前海方位</w:t>
                  </w:r>
                </w:p>
              </w:tc>
              <w:tc>
                <w:tcPr>
                  <w:tcW w:w="1410" w:type="dxa"/>
                  <w:shd w:val="clear" w:color="auto" w:fill="auto"/>
                  <w:noWrap/>
                  <w:vAlign w:val="center"/>
                  <w:hideMark/>
                </w:tcPr>
                <w:p w14:paraId="2B9E8E80"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易米基金</w:t>
                  </w:r>
                </w:p>
              </w:tc>
            </w:tr>
            <w:tr w:rsidR="005C3F15" w:rsidRPr="005C3F15" w14:paraId="18A0B1CD" w14:textId="77777777" w:rsidTr="005C3F15">
              <w:trPr>
                <w:trHeight w:val="278"/>
                <w:jc w:val="center"/>
              </w:trPr>
              <w:tc>
                <w:tcPr>
                  <w:tcW w:w="1571" w:type="dxa"/>
                  <w:shd w:val="clear" w:color="auto" w:fill="auto"/>
                  <w:noWrap/>
                  <w:vAlign w:val="center"/>
                  <w:hideMark/>
                </w:tcPr>
                <w:p w14:paraId="72A5B64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大家资产</w:t>
                  </w:r>
                </w:p>
              </w:tc>
              <w:tc>
                <w:tcPr>
                  <w:tcW w:w="1571" w:type="dxa"/>
                  <w:shd w:val="clear" w:color="auto" w:fill="auto"/>
                  <w:noWrap/>
                  <w:vAlign w:val="center"/>
                  <w:hideMark/>
                </w:tcPr>
                <w:p w14:paraId="5A4F8302"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华福证券</w:t>
                  </w:r>
                </w:p>
              </w:tc>
              <w:tc>
                <w:tcPr>
                  <w:tcW w:w="1571" w:type="dxa"/>
                  <w:shd w:val="clear" w:color="auto" w:fill="auto"/>
                  <w:noWrap/>
                  <w:vAlign w:val="center"/>
                  <w:hideMark/>
                </w:tcPr>
                <w:p w14:paraId="3761D83E"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前海开源</w:t>
                  </w:r>
                </w:p>
              </w:tc>
              <w:tc>
                <w:tcPr>
                  <w:tcW w:w="1410" w:type="dxa"/>
                  <w:shd w:val="clear" w:color="auto" w:fill="auto"/>
                  <w:noWrap/>
                  <w:vAlign w:val="center"/>
                  <w:hideMark/>
                </w:tcPr>
                <w:p w14:paraId="3FB1874F"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银河基金</w:t>
                  </w:r>
                </w:p>
              </w:tc>
            </w:tr>
            <w:tr w:rsidR="005C3F15" w:rsidRPr="005C3F15" w14:paraId="71C6B1AA" w14:textId="77777777" w:rsidTr="005C3F15">
              <w:trPr>
                <w:trHeight w:val="278"/>
                <w:jc w:val="center"/>
              </w:trPr>
              <w:tc>
                <w:tcPr>
                  <w:tcW w:w="1571" w:type="dxa"/>
                  <w:shd w:val="clear" w:color="auto" w:fill="auto"/>
                  <w:noWrap/>
                  <w:vAlign w:val="center"/>
                  <w:hideMark/>
                </w:tcPr>
                <w:p w14:paraId="67D1BF9D"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德邦基金</w:t>
                  </w:r>
                </w:p>
              </w:tc>
              <w:tc>
                <w:tcPr>
                  <w:tcW w:w="1571" w:type="dxa"/>
                  <w:shd w:val="clear" w:color="auto" w:fill="auto"/>
                  <w:noWrap/>
                  <w:vAlign w:val="center"/>
                  <w:hideMark/>
                </w:tcPr>
                <w:p w14:paraId="74B0E870"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华富基金</w:t>
                  </w:r>
                </w:p>
              </w:tc>
              <w:tc>
                <w:tcPr>
                  <w:tcW w:w="1571" w:type="dxa"/>
                  <w:shd w:val="clear" w:color="auto" w:fill="auto"/>
                  <w:noWrap/>
                  <w:vAlign w:val="center"/>
                  <w:hideMark/>
                </w:tcPr>
                <w:p w14:paraId="41D1FAF0"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全天候</w:t>
                  </w:r>
                </w:p>
              </w:tc>
              <w:tc>
                <w:tcPr>
                  <w:tcW w:w="1410" w:type="dxa"/>
                  <w:shd w:val="clear" w:color="auto" w:fill="auto"/>
                  <w:noWrap/>
                  <w:vAlign w:val="center"/>
                  <w:hideMark/>
                </w:tcPr>
                <w:p w14:paraId="2F94928B"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永赢基金</w:t>
                  </w:r>
                </w:p>
              </w:tc>
            </w:tr>
            <w:tr w:rsidR="005C3F15" w:rsidRPr="005C3F15" w14:paraId="082D3C0C" w14:textId="77777777" w:rsidTr="005C3F15">
              <w:trPr>
                <w:trHeight w:val="278"/>
                <w:jc w:val="center"/>
              </w:trPr>
              <w:tc>
                <w:tcPr>
                  <w:tcW w:w="1571" w:type="dxa"/>
                  <w:shd w:val="clear" w:color="auto" w:fill="auto"/>
                  <w:noWrap/>
                  <w:vAlign w:val="center"/>
                  <w:hideMark/>
                </w:tcPr>
                <w:p w14:paraId="6E9AB86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东北证券</w:t>
                  </w:r>
                </w:p>
              </w:tc>
              <w:tc>
                <w:tcPr>
                  <w:tcW w:w="1571" w:type="dxa"/>
                  <w:shd w:val="clear" w:color="auto" w:fill="auto"/>
                  <w:noWrap/>
                  <w:vAlign w:val="center"/>
                  <w:hideMark/>
                </w:tcPr>
                <w:p w14:paraId="40A1F634"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华金证券</w:t>
                  </w:r>
                </w:p>
              </w:tc>
              <w:tc>
                <w:tcPr>
                  <w:tcW w:w="1571" w:type="dxa"/>
                  <w:shd w:val="clear" w:color="auto" w:fill="auto"/>
                  <w:noWrap/>
                  <w:vAlign w:val="center"/>
                  <w:hideMark/>
                </w:tcPr>
                <w:p w14:paraId="206F032E"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泉果基金</w:t>
                  </w:r>
                </w:p>
              </w:tc>
              <w:tc>
                <w:tcPr>
                  <w:tcW w:w="1410" w:type="dxa"/>
                  <w:shd w:val="clear" w:color="auto" w:fill="auto"/>
                  <w:noWrap/>
                  <w:vAlign w:val="center"/>
                  <w:hideMark/>
                </w:tcPr>
                <w:p w14:paraId="5DD9D0D4"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圆石投资</w:t>
                  </w:r>
                </w:p>
              </w:tc>
            </w:tr>
            <w:tr w:rsidR="005C3F15" w:rsidRPr="005C3F15" w14:paraId="57C1295C" w14:textId="77777777" w:rsidTr="005C3F15">
              <w:trPr>
                <w:trHeight w:val="278"/>
                <w:jc w:val="center"/>
              </w:trPr>
              <w:tc>
                <w:tcPr>
                  <w:tcW w:w="1571" w:type="dxa"/>
                  <w:shd w:val="clear" w:color="auto" w:fill="auto"/>
                  <w:noWrap/>
                  <w:vAlign w:val="center"/>
                  <w:hideMark/>
                </w:tcPr>
                <w:p w14:paraId="4A654278"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东方基金</w:t>
                  </w:r>
                </w:p>
              </w:tc>
              <w:tc>
                <w:tcPr>
                  <w:tcW w:w="1571" w:type="dxa"/>
                  <w:shd w:val="clear" w:color="auto" w:fill="auto"/>
                  <w:noWrap/>
                  <w:vAlign w:val="center"/>
                  <w:hideMark/>
                </w:tcPr>
                <w:p w14:paraId="29B3D295"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华美国际</w:t>
                  </w:r>
                </w:p>
              </w:tc>
              <w:tc>
                <w:tcPr>
                  <w:tcW w:w="1571" w:type="dxa"/>
                  <w:shd w:val="clear" w:color="auto" w:fill="auto"/>
                  <w:noWrap/>
                  <w:vAlign w:val="center"/>
                  <w:hideMark/>
                </w:tcPr>
                <w:p w14:paraId="72A26190"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人保香港</w:t>
                  </w:r>
                </w:p>
              </w:tc>
              <w:tc>
                <w:tcPr>
                  <w:tcW w:w="1410" w:type="dxa"/>
                  <w:shd w:val="clear" w:color="auto" w:fill="auto"/>
                  <w:noWrap/>
                  <w:vAlign w:val="center"/>
                  <w:hideMark/>
                </w:tcPr>
                <w:p w14:paraId="5A85BD6F"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浙商资管</w:t>
                  </w:r>
                </w:p>
              </w:tc>
            </w:tr>
            <w:tr w:rsidR="005C3F15" w:rsidRPr="005C3F15" w14:paraId="3560E31D" w14:textId="77777777" w:rsidTr="005C3F15">
              <w:trPr>
                <w:trHeight w:val="278"/>
                <w:jc w:val="center"/>
              </w:trPr>
              <w:tc>
                <w:tcPr>
                  <w:tcW w:w="1571" w:type="dxa"/>
                  <w:shd w:val="clear" w:color="auto" w:fill="auto"/>
                  <w:noWrap/>
                  <w:vAlign w:val="center"/>
                  <w:hideMark/>
                </w:tcPr>
                <w:p w14:paraId="285C86B0"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东吴基金</w:t>
                  </w:r>
                </w:p>
              </w:tc>
              <w:tc>
                <w:tcPr>
                  <w:tcW w:w="1571" w:type="dxa"/>
                  <w:shd w:val="clear" w:color="auto" w:fill="auto"/>
                  <w:noWrap/>
                  <w:vAlign w:val="center"/>
                  <w:hideMark/>
                </w:tcPr>
                <w:p w14:paraId="00A7E6BB"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华泰证券</w:t>
                  </w:r>
                </w:p>
              </w:tc>
              <w:tc>
                <w:tcPr>
                  <w:tcW w:w="1571" w:type="dxa"/>
                  <w:shd w:val="clear" w:color="auto" w:fill="auto"/>
                  <w:noWrap/>
                  <w:vAlign w:val="center"/>
                  <w:hideMark/>
                </w:tcPr>
                <w:p w14:paraId="444B50C7"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人保养老</w:t>
                  </w:r>
                </w:p>
              </w:tc>
              <w:tc>
                <w:tcPr>
                  <w:tcW w:w="1410" w:type="dxa"/>
                  <w:shd w:val="clear" w:color="auto" w:fill="auto"/>
                  <w:noWrap/>
                  <w:vAlign w:val="center"/>
                  <w:hideMark/>
                </w:tcPr>
                <w:p w14:paraId="1866A8A8"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中庚基金</w:t>
                  </w:r>
                </w:p>
              </w:tc>
            </w:tr>
            <w:tr w:rsidR="005C3F15" w:rsidRPr="005C3F15" w14:paraId="206BDC18" w14:textId="77777777" w:rsidTr="005C3F15">
              <w:trPr>
                <w:trHeight w:val="278"/>
                <w:jc w:val="center"/>
              </w:trPr>
              <w:tc>
                <w:tcPr>
                  <w:tcW w:w="1571" w:type="dxa"/>
                  <w:shd w:val="clear" w:color="auto" w:fill="auto"/>
                  <w:noWrap/>
                  <w:vAlign w:val="center"/>
                  <w:hideMark/>
                </w:tcPr>
                <w:p w14:paraId="60F59E35"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东吴证券</w:t>
                  </w:r>
                </w:p>
              </w:tc>
              <w:tc>
                <w:tcPr>
                  <w:tcW w:w="1571" w:type="dxa"/>
                  <w:shd w:val="clear" w:color="auto" w:fill="auto"/>
                  <w:noWrap/>
                  <w:vAlign w:val="center"/>
                  <w:hideMark/>
                </w:tcPr>
                <w:p w14:paraId="49C34CD1"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华泰资产</w:t>
                  </w:r>
                </w:p>
              </w:tc>
              <w:tc>
                <w:tcPr>
                  <w:tcW w:w="1571" w:type="dxa"/>
                  <w:shd w:val="clear" w:color="auto" w:fill="auto"/>
                  <w:noWrap/>
                  <w:vAlign w:val="center"/>
                  <w:hideMark/>
                </w:tcPr>
                <w:p w14:paraId="6466C78A"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融通基金</w:t>
                  </w:r>
                </w:p>
              </w:tc>
              <w:tc>
                <w:tcPr>
                  <w:tcW w:w="1410" w:type="dxa"/>
                  <w:shd w:val="clear" w:color="auto" w:fill="auto"/>
                  <w:noWrap/>
                  <w:vAlign w:val="center"/>
                  <w:hideMark/>
                </w:tcPr>
                <w:p w14:paraId="5601DC43"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中国人寿</w:t>
                  </w:r>
                </w:p>
              </w:tc>
            </w:tr>
            <w:tr w:rsidR="005C3F15" w:rsidRPr="005C3F15" w14:paraId="32D505DE" w14:textId="77777777" w:rsidTr="005C3F15">
              <w:trPr>
                <w:trHeight w:val="278"/>
                <w:jc w:val="center"/>
              </w:trPr>
              <w:tc>
                <w:tcPr>
                  <w:tcW w:w="1571" w:type="dxa"/>
                  <w:shd w:val="clear" w:color="auto" w:fill="auto"/>
                  <w:noWrap/>
                  <w:vAlign w:val="center"/>
                  <w:hideMark/>
                </w:tcPr>
                <w:p w14:paraId="64E751D1"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东兴基金</w:t>
                  </w:r>
                </w:p>
              </w:tc>
              <w:tc>
                <w:tcPr>
                  <w:tcW w:w="1571" w:type="dxa"/>
                  <w:shd w:val="clear" w:color="auto" w:fill="auto"/>
                  <w:noWrap/>
                  <w:vAlign w:val="center"/>
                  <w:hideMark/>
                </w:tcPr>
                <w:p w14:paraId="193ABB9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汇安基金</w:t>
                  </w:r>
                </w:p>
              </w:tc>
              <w:tc>
                <w:tcPr>
                  <w:tcW w:w="1571" w:type="dxa"/>
                  <w:shd w:val="clear" w:color="auto" w:fill="auto"/>
                  <w:noWrap/>
                  <w:vAlign w:val="center"/>
                  <w:hideMark/>
                </w:tcPr>
                <w:p w14:paraId="7D3C0CB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善思投资</w:t>
                  </w:r>
                </w:p>
              </w:tc>
              <w:tc>
                <w:tcPr>
                  <w:tcW w:w="1410" w:type="dxa"/>
                  <w:shd w:val="clear" w:color="auto" w:fill="auto"/>
                  <w:noWrap/>
                  <w:vAlign w:val="center"/>
                  <w:hideMark/>
                </w:tcPr>
                <w:p w14:paraId="03C189ED"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中金资管</w:t>
                  </w:r>
                </w:p>
              </w:tc>
            </w:tr>
            <w:tr w:rsidR="005C3F15" w:rsidRPr="005C3F15" w14:paraId="6678257E" w14:textId="77777777" w:rsidTr="005C3F15">
              <w:trPr>
                <w:trHeight w:val="278"/>
                <w:jc w:val="center"/>
              </w:trPr>
              <w:tc>
                <w:tcPr>
                  <w:tcW w:w="1571" w:type="dxa"/>
                  <w:shd w:val="clear" w:color="auto" w:fill="auto"/>
                  <w:noWrap/>
                  <w:vAlign w:val="center"/>
                  <w:hideMark/>
                </w:tcPr>
                <w:p w14:paraId="314ED50A"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工银理财</w:t>
                  </w:r>
                </w:p>
              </w:tc>
              <w:tc>
                <w:tcPr>
                  <w:tcW w:w="1571" w:type="dxa"/>
                  <w:shd w:val="clear" w:color="auto" w:fill="auto"/>
                  <w:noWrap/>
                  <w:vAlign w:val="center"/>
                  <w:hideMark/>
                </w:tcPr>
                <w:p w14:paraId="384FADB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汇丰晋信</w:t>
                  </w:r>
                </w:p>
              </w:tc>
              <w:tc>
                <w:tcPr>
                  <w:tcW w:w="1571" w:type="dxa"/>
                  <w:shd w:val="clear" w:color="auto" w:fill="auto"/>
                  <w:noWrap/>
                  <w:vAlign w:val="center"/>
                  <w:hideMark/>
                </w:tcPr>
                <w:p w14:paraId="63C8DB9D"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上海常春藤</w:t>
                  </w:r>
                </w:p>
              </w:tc>
              <w:tc>
                <w:tcPr>
                  <w:tcW w:w="1410" w:type="dxa"/>
                  <w:shd w:val="clear" w:color="auto" w:fill="auto"/>
                  <w:noWrap/>
                  <w:vAlign w:val="center"/>
                  <w:hideMark/>
                </w:tcPr>
                <w:p w14:paraId="2B9DF977"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中欧瑞博</w:t>
                  </w:r>
                </w:p>
              </w:tc>
            </w:tr>
            <w:tr w:rsidR="005C3F15" w:rsidRPr="005C3F15" w14:paraId="6AE868C2" w14:textId="77777777" w:rsidTr="005C3F15">
              <w:trPr>
                <w:trHeight w:val="278"/>
                <w:jc w:val="center"/>
              </w:trPr>
              <w:tc>
                <w:tcPr>
                  <w:tcW w:w="1571" w:type="dxa"/>
                  <w:shd w:val="clear" w:color="auto" w:fill="auto"/>
                  <w:noWrap/>
                  <w:vAlign w:val="center"/>
                  <w:hideMark/>
                </w:tcPr>
                <w:p w14:paraId="2A4335C1"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光大保德信</w:t>
                  </w:r>
                </w:p>
              </w:tc>
              <w:tc>
                <w:tcPr>
                  <w:tcW w:w="1571" w:type="dxa"/>
                  <w:shd w:val="clear" w:color="auto" w:fill="auto"/>
                  <w:noWrap/>
                  <w:vAlign w:val="center"/>
                  <w:hideMark/>
                </w:tcPr>
                <w:p w14:paraId="6F7204ED"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汇丰前海</w:t>
                  </w:r>
                </w:p>
              </w:tc>
              <w:tc>
                <w:tcPr>
                  <w:tcW w:w="1571" w:type="dxa"/>
                  <w:shd w:val="clear" w:color="auto" w:fill="auto"/>
                  <w:noWrap/>
                  <w:vAlign w:val="center"/>
                  <w:hideMark/>
                </w:tcPr>
                <w:p w14:paraId="0433F3CF"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上海晨燕</w:t>
                  </w:r>
                </w:p>
              </w:tc>
              <w:tc>
                <w:tcPr>
                  <w:tcW w:w="1410" w:type="dxa"/>
                  <w:shd w:val="clear" w:color="auto" w:fill="auto"/>
                  <w:noWrap/>
                  <w:vAlign w:val="center"/>
                  <w:hideMark/>
                </w:tcPr>
                <w:p w14:paraId="581CFB7A"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中泰证券</w:t>
                  </w:r>
                </w:p>
              </w:tc>
            </w:tr>
            <w:tr w:rsidR="005C3F15" w:rsidRPr="005C3F15" w14:paraId="0C4E4196" w14:textId="77777777" w:rsidTr="005C3F15">
              <w:trPr>
                <w:trHeight w:val="278"/>
                <w:jc w:val="center"/>
              </w:trPr>
              <w:tc>
                <w:tcPr>
                  <w:tcW w:w="1571" w:type="dxa"/>
                  <w:shd w:val="clear" w:color="auto" w:fill="auto"/>
                  <w:noWrap/>
                  <w:vAlign w:val="center"/>
                  <w:hideMark/>
                </w:tcPr>
                <w:p w14:paraId="7107DAD3"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广东钜洲</w:t>
                  </w:r>
                </w:p>
              </w:tc>
              <w:tc>
                <w:tcPr>
                  <w:tcW w:w="1571" w:type="dxa"/>
                  <w:shd w:val="clear" w:color="auto" w:fill="auto"/>
                  <w:noWrap/>
                  <w:vAlign w:val="center"/>
                  <w:hideMark/>
                </w:tcPr>
                <w:p w14:paraId="5562D6B3"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汇添富</w:t>
                  </w:r>
                </w:p>
              </w:tc>
              <w:tc>
                <w:tcPr>
                  <w:tcW w:w="1571" w:type="dxa"/>
                  <w:shd w:val="clear" w:color="auto" w:fill="auto"/>
                  <w:noWrap/>
                  <w:vAlign w:val="center"/>
                  <w:hideMark/>
                </w:tcPr>
                <w:p w14:paraId="4BD36938"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上海利幄</w:t>
                  </w:r>
                </w:p>
              </w:tc>
              <w:tc>
                <w:tcPr>
                  <w:tcW w:w="1410" w:type="dxa"/>
                  <w:shd w:val="clear" w:color="auto" w:fill="auto"/>
                  <w:noWrap/>
                  <w:vAlign w:val="center"/>
                  <w:hideMark/>
                </w:tcPr>
                <w:p w14:paraId="08785B2B"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中信保城</w:t>
                  </w:r>
                </w:p>
              </w:tc>
            </w:tr>
            <w:tr w:rsidR="005C3F15" w:rsidRPr="005C3F15" w14:paraId="59E9974F" w14:textId="77777777" w:rsidTr="005C3F15">
              <w:trPr>
                <w:trHeight w:val="278"/>
                <w:jc w:val="center"/>
              </w:trPr>
              <w:tc>
                <w:tcPr>
                  <w:tcW w:w="1571" w:type="dxa"/>
                  <w:shd w:val="clear" w:color="auto" w:fill="auto"/>
                  <w:noWrap/>
                  <w:vAlign w:val="center"/>
                  <w:hideMark/>
                </w:tcPr>
                <w:p w14:paraId="3136DD7A"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广东正圆</w:t>
                  </w:r>
                </w:p>
              </w:tc>
              <w:tc>
                <w:tcPr>
                  <w:tcW w:w="1571" w:type="dxa"/>
                  <w:shd w:val="clear" w:color="auto" w:fill="auto"/>
                  <w:noWrap/>
                  <w:vAlign w:val="center"/>
                  <w:hideMark/>
                </w:tcPr>
                <w:p w14:paraId="20DB5DD3"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惠升基金</w:t>
                  </w:r>
                </w:p>
              </w:tc>
              <w:tc>
                <w:tcPr>
                  <w:tcW w:w="1571" w:type="dxa"/>
                  <w:shd w:val="clear" w:color="auto" w:fill="auto"/>
                  <w:noWrap/>
                  <w:vAlign w:val="center"/>
                  <w:hideMark/>
                </w:tcPr>
                <w:p w14:paraId="1AAB2C97"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上海盘京</w:t>
                  </w:r>
                </w:p>
              </w:tc>
              <w:tc>
                <w:tcPr>
                  <w:tcW w:w="1410" w:type="dxa"/>
                  <w:shd w:val="clear" w:color="auto" w:fill="auto"/>
                  <w:noWrap/>
                  <w:vAlign w:val="center"/>
                  <w:hideMark/>
                </w:tcPr>
                <w:p w14:paraId="33DA5487"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中银基金</w:t>
                  </w:r>
                </w:p>
              </w:tc>
            </w:tr>
            <w:tr w:rsidR="005C3F15" w:rsidRPr="005C3F15" w14:paraId="021CF95A" w14:textId="77777777" w:rsidTr="005C3F15">
              <w:trPr>
                <w:trHeight w:val="278"/>
                <w:jc w:val="center"/>
              </w:trPr>
              <w:tc>
                <w:tcPr>
                  <w:tcW w:w="1571" w:type="dxa"/>
                  <w:shd w:val="clear" w:color="auto" w:fill="auto"/>
                  <w:noWrap/>
                  <w:vAlign w:val="center"/>
                  <w:hideMark/>
                </w:tcPr>
                <w:p w14:paraId="715E8A7D"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广发证券</w:t>
                  </w:r>
                </w:p>
              </w:tc>
              <w:tc>
                <w:tcPr>
                  <w:tcW w:w="1571" w:type="dxa"/>
                  <w:shd w:val="clear" w:color="auto" w:fill="auto"/>
                  <w:noWrap/>
                  <w:vAlign w:val="center"/>
                  <w:hideMark/>
                </w:tcPr>
                <w:p w14:paraId="52F3C09D"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嘉实基金</w:t>
                  </w:r>
                </w:p>
              </w:tc>
              <w:tc>
                <w:tcPr>
                  <w:tcW w:w="1571" w:type="dxa"/>
                  <w:shd w:val="clear" w:color="auto" w:fill="auto"/>
                  <w:noWrap/>
                  <w:vAlign w:val="center"/>
                  <w:hideMark/>
                </w:tcPr>
                <w:p w14:paraId="6C3133C1"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上海朴信</w:t>
                  </w:r>
                </w:p>
              </w:tc>
              <w:tc>
                <w:tcPr>
                  <w:tcW w:w="1410" w:type="dxa"/>
                  <w:shd w:val="clear" w:color="auto" w:fill="auto"/>
                  <w:noWrap/>
                  <w:vAlign w:val="center"/>
                  <w:hideMark/>
                </w:tcPr>
                <w:p w14:paraId="369B6275"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中邮基金</w:t>
                  </w:r>
                </w:p>
              </w:tc>
            </w:tr>
            <w:tr w:rsidR="005C3F15" w:rsidRPr="005C3F15" w14:paraId="65C8BAA6" w14:textId="77777777" w:rsidTr="005C3F15">
              <w:trPr>
                <w:trHeight w:val="278"/>
                <w:jc w:val="center"/>
              </w:trPr>
              <w:tc>
                <w:tcPr>
                  <w:tcW w:w="1571" w:type="dxa"/>
                  <w:shd w:val="clear" w:color="auto" w:fill="auto"/>
                  <w:noWrap/>
                  <w:vAlign w:val="center"/>
                  <w:hideMark/>
                </w:tcPr>
                <w:p w14:paraId="2C9692D1"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国海证券</w:t>
                  </w:r>
                </w:p>
              </w:tc>
              <w:tc>
                <w:tcPr>
                  <w:tcW w:w="1571" w:type="dxa"/>
                  <w:shd w:val="clear" w:color="auto" w:fill="auto"/>
                  <w:noWrap/>
                  <w:vAlign w:val="center"/>
                  <w:hideMark/>
                </w:tcPr>
                <w:p w14:paraId="278B1A58"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建信基金</w:t>
                  </w:r>
                </w:p>
              </w:tc>
              <w:tc>
                <w:tcPr>
                  <w:tcW w:w="1571" w:type="dxa"/>
                  <w:shd w:val="clear" w:color="auto" w:fill="auto"/>
                  <w:noWrap/>
                  <w:vAlign w:val="center"/>
                  <w:hideMark/>
                </w:tcPr>
                <w:p w14:paraId="1E7E7837"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上海尚雅</w:t>
                  </w:r>
                </w:p>
              </w:tc>
              <w:tc>
                <w:tcPr>
                  <w:tcW w:w="1410" w:type="dxa"/>
                  <w:shd w:val="clear" w:color="auto" w:fill="auto"/>
                  <w:noWrap/>
                  <w:vAlign w:val="center"/>
                  <w:hideMark/>
                </w:tcPr>
                <w:p w14:paraId="74D68C13"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中邮证券</w:t>
                  </w:r>
                </w:p>
              </w:tc>
            </w:tr>
            <w:tr w:rsidR="005C3F15" w:rsidRPr="005C3F15" w14:paraId="64B88151" w14:textId="77777777" w:rsidTr="005C3F15">
              <w:trPr>
                <w:trHeight w:val="278"/>
                <w:jc w:val="center"/>
              </w:trPr>
              <w:tc>
                <w:tcPr>
                  <w:tcW w:w="1571" w:type="dxa"/>
                  <w:shd w:val="clear" w:color="auto" w:fill="auto"/>
                  <w:noWrap/>
                  <w:vAlign w:val="center"/>
                  <w:hideMark/>
                </w:tcPr>
                <w:p w14:paraId="60AD54F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国华兴益</w:t>
                  </w:r>
                </w:p>
              </w:tc>
              <w:tc>
                <w:tcPr>
                  <w:tcW w:w="1571" w:type="dxa"/>
                  <w:shd w:val="clear" w:color="auto" w:fill="auto"/>
                  <w:noWrap/>
                  <w:vAlign w:val="center"/>
                  <w:hideMark/>
                </w:tcPr>
                <w:p w14:paraId="74A229DA"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金信基金</w:t>
                  </w:r>
                </w:p>
              </w:tc>
              <w:tc>
                <w:tcPr>
                  <w:tcW w:w="1571" w:type="dxa"/>
                  <w:shd w:val="clear" w:color="auto" w:fill="auto"/>
                  <w:noWrap/>
                  <w:vAlign w:val="center"/>
                  <w:hideMark/>
                </w:tcPr>
                <w:p w14:paraId="0C2C7607"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上海潼骁</w:t>
                  </w:r>
                </w:p>
              </w:tc>
              <w:tc>
                <w:tcPr>
                  <w:tcW w:w="1410" w:type="dxa"/>
                  <w:shd w:val="clear" w:color="auto" w:fill="auto"/>
                  <w:noWrap/>
                  <w:vAlign w:val="center"/>
                  <w:hideMark/>
                </w:tcPr>
                <w:p w14:paraId="20B89854"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朱雀基金</w:t>
                  </w:r>
                </w:p>
              </w:tc>
            </w:tr>
            <w:tr w:rsidR="005C3F15" w:rsidRPr="005C3F15" w14:paraId="68AE7AFE" w14:textId="77777777" w:rsidTr="005C3F15">
              <w:trPr>
                <w:trHeight w:val="278"/>
                <w:jc w:val="center"/>
              </w:trPr>
              <w:tc>
                <w:tcPr>
                  <w:tcW w:w="1571" w:type="dxa"/>
                  <w:shd w:val="clear" w:color="auto" w:fill="auto"/>
                  <w:noWrap/>
                  <w:vAlign w:val="center"/>
                  <w:hideMark/>
                </w:tcPr>
                <w:p w14:paraId="1545E01D"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国金基金</w:t>
                  </w:r>
                </w:p>
              </w:tc>
              <w:tc>
                <w:tcPr>
                  <w:tcW w:w="1571" w:type="dxa"/>
                  <w:shd w:val="clear" w:color="auto" w:fill="auto"/>
                  <w:noWrap/>
                  <w:vAlign w:val="center"/>
                  <w:hideMark/>
                </w:tcPr>
                <w:p w14:paraId="34B36A4A"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金鹰基金</w:t>
                  </w:r>
                </w:p>
              </w:tc>
              <w:tc>
                <w:tcPr>
                  <w:tcW w:w="1571" w:type="dxa"/>
                  <w:shd w:val="clear" w:color="auto" w:fill="auto"/>
                  <w:noWrap/>
                  <w:vAlign w:val="center"/>
                  <w:hideMark/>
                </w:tcPr>
                <w:p w14:paraId="620163BC"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上海循理</w:t>
                  </w:r>
                </w:p>
              </w:tc>
              <w:tc>
                <w:tcPr>
                  <w:tcW w:w="1410" w:type="dxa"/>
                  <w:shd w:val="clear" w:color="auto" w:fill="auto"/>
                  <w:noWrap/>
                  <w:vAlign w:val="center"/>
                  <w:hideMark/>
                </w:tcPr>
                <w:p w14:paraId="6A5C0EBE" w14:textId="77777777" w:rsidR="005C3F15" w:rsidRPr="005C3F15" w:rsidRDefault="005C3F15" w:rsidP="005C3F15">
                  <w:pPr>
                    <w:widowControl/>
                    <w:jc w:val="left"/>
                    <w:rPr>
                      <w:rFonts w:ascii="等线" w:eastAsia="等线" w:hAnsi="等线" w:cs="宋体"/>
                      <w:color w:val="000000"/>
                      <w:kern w:val="0"/>
                    </w:rPr>
                  </w:pPr>
                  <w:r w:rsidRPr="005C3F15">
                    <w:rPr>
                      <w:rFonts w:ascii="等线" w:eastAsia="等线" w:hAnsi="等线" w:cs="宋体" w:hint="eastAsia"/>
                      <w:color w:val="000000"/>
                      <w:kern w:val="0"/>
                    </w:rPr>
                    <w:t xml:space="preserve">　</w:t>
                  </w:r>
                </w:p>
              </w:tc>
            </w:tr>
            <w:tr w:rsidR="005C3F15" w:rsidRPr="005C3F15" w14:paraId="2FB694F6" w14:textId="77777777" w:rsidTr="005C3F15">
              <w:trPr>
                <w:trHeight w:val="278"/>
                <w:jc w:val="center"/>
              </w:trPr>
              <w:tc>
                <w:tcPr>
                  <w:tcW w:w="1571" w:type="dxa"/>
                  <w:shd w:val="clear" w:color="auto" w:fill="auto"/>
                  <w:noWrap/>
                  <w:vAlign w:val="center"/>
                  <w:hideMark/>
                </w:tcPr>
                <w:p w14:paraId="08B158AA"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国金证券</w:t>
                  </w:r>
                </w:p>
              </w:tc>
              <w:tc>
                <w:tcPr>
                  <w:tcW w:w="1571" w:type="dxa"/>
                  <w:shd w:val="clear" w:color="auto" w:fill="auto"/>
                  <w:noWrap/>
                  <w:vAlign w:val="center"/>
                  <w:hideMark/>
                </w:tcPr>
                <w:p w14:paraId="16A324F0"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君弘投资</w:t>
                  </w:r>
                </w:p>
              </w:tc>
              <w:tc>
                <w:tcPr>
                  <w:tcW w:w="1571" w:type="dxa"/>
                  <w:shd w:val="clear" w:color="auto" w:fill="auto"/>
                  <w:noWrap/>
                  <w:vAlign w:val="center"/>
                  <w:hideMark/>
                </w:tcPr>
                <w:p w14:paraId="0BCCC0FD" w14:textId="77777777" w:rsidR="005C3F15" w:rsidRPr="005C3F15" w:rsidRDefault="005C3F15" w:rsidP="005C3F15">
                  <w:pPr>
                    <w:widowControl/>
                    <w:jc w:val="center"/>
                    <w:rPr>
                      <w:rFonts w:ascii="宋体" w:eastAsia="宋体" w:hAnsi="宋体" w:cs="宋体"/>
                      <w:color w:val="000000"/>
                      <w:kern w:val="0"/>
                    </w:rPr>
                  </w:pPr>
                  <w:r w:rsidRPr="005C3F15">
                    <w:rPr>
                      <w:rFonts w:ascii="宋体" w:eastAsia="宋体" w:hAnsi="宋体" w:cs="宋体" w:hint="eastAsia"/>
                      <w:color w:val="000000"/>
                      <w:kern w:val="0"/>
                    </w:rPr>
                    <w:t>上银基金</w:t>
                  </w:r>
                </w:p>
              </w:tc>
              <w:tc>
                <w:tcPr>
                  <w:tcW w:w="1410" w:type="dxa"/>
                  <w:shd w:val="clear" w:color="auto" w:fill="auto"/>
                  <w:noWrap/>
                  <w:vAlign w:val="center"/>
                  <w:hideMark/>
                </w:tcPr>
                <w:p w14:paraId="49146D6C" w14:textId="77777777" w:rsidR="005C3F15" w:rsidRPr="005C3F15" w:rsidRDefault="005C3F15" w:rsidP="005C3F15">
                  <w:pPr>
                    <w:widowControl/>
                    <w:jc w:val="left"/>
                    <w:rPr>
                      <w:rFonts w:ascii="等线" w:eastAsia="等线" w:hAnsi="等线" w:cs="宋体"/>
                      <w:color w:val="000000"/>
                      <w:kern w:val="0"/>
                    </w:rPr>
                  </w:pPr>
                  <w:r w:rsidRPr="005C3F15">
                    <w:rPr>
                      <w:rFonts w:ascii="等线" w:eastAsia="等线" w:hAnsi="等线" w:cs="宋体" w:hint="eastAsia"/>
                      <w:color w:val="000000"/>
                      <w:kern w:val="0"/>
                    </w:rPr>
                    <w:t xml:space="preserve">　</w:t>
                  </w:r>
                </w:p>
              </w:tc>
            </w:tr>
          </w:tbl>
          <w:p w14:paraId="6FAB98B2" w14:textId="77777777" w:rsidR="00C8376D" w:rsidRPr="00660EC9" w:rsidRDefault="00C8376D" w:rsidP="00DE3705">
            <w:pPr>
              <w:spacing w:line="276" w:lineRule="auto"/>
              <w:jc w:val="center"/>
              <w:rPr>
                <w:rFonts w:asciiTheme="minorEastAsia" w:hAnsiTheme="minorEastAsia"/>
              </w:rPr>
            </w:pPr>
          </w:p>
        </w:tc>
      </w:tr>
      <w:tr w:rsidR="001603E5" w:rsidRPr="006664FF" w14:paraId="2FFBFA66" w14:textId="77777777" w:rsidTr="00564C8B">
        <w:trPr>
          <w:trHeight w:val="606"/>
          <w:jc w:val="center"/>
        </w:trPr>
        <w:tc>
          <w:tcPr>
            <w:tcW w:w="1413" w:type="dxa"/>
            <w:shd w:val="clear" w:color="auto" w:fill="auto"/>
          </w:tcPr>
          <w:p w14:paraId="21C4226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lastRenderedPageBreak/>
              <w:t>会议时间</w:t>
            </w:r>
          </w:p>
        </w:tc>
        <w:tc>
          <w:tcPr>
            <w:tcW w:w="6954" w:type="dxa"/>
            <w:shd w:val="clear" w:color="auto" w:fill="auto"/>
            <w:vAlign w:val="center"/>
          </w:tcPr>
          <w:p w14:paraId="7C67AA44" w14:textId="0DB72534" w:rsidR="00FE7F1E" w:rsidRPr="006664FF" w:rsidRDefault="00BF5D45" w:rsidP="005C3F15">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sidR="00867D31">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867D31">
              <w:rPr>
                <w:rFonts w:ascii="宋体" w:eastAsia="宋体" w:hAnsi="宋体" w:cs="Times New Roman" w:hint="eastAsia"/>
                <w:bCs/>
                <w:iCs/>
                <w:color w:val="000000" w:themeColor="text1"/>
                <w:sz w:val="24"/>
                <w:szCs w:val="24"/>
              </w:rPr>
              <w:t>0</w:t>
            </w:r>
            <w:r w:rsidR="005C3F15">
              <w:rPr>
                <w:rFonts w:ascii="宋体" w:eastAsia="宋体" w:hAnsi="宋体" w:cs="Times New Roman"/>
                <w:iCs/>
                <w:color w:val="000000" w:themeColor="text1"/>
                <w:sz w:val="24"/>
                <w:szCs w:val="24"/>
              </w:rPr>
              <w:t>4</w:t>
            </w:r>
            <w:r w:rsidR="00235A8C">
              <w:rPr>
                <w:rFonts w:ascii="宋体" w:eastAsia="宋体" w:hAnsi="宋体" w:cs="Times New Roman" w:hint="eastAsia"/>
                <w:iCs/>
                <w:color w:val="000000" w:themeColor="text1"/>
                <w:sz w:val="24"/>
                <w:szCs w:val="24"/>
              </w:rPr>
              <w:t>月</w:t>
            </w:r>
            <w:r w:rsidR="005C3F15">
              <w:rPr>
                <w:rFonts w:ascii="宋体" w:eastAsia="宋体" w:hAnsi="宋体" w:cs="Times New Roman"/>
                <w:iCs/>
                <w:color w:val="000000" w:themeColor="text1"/>
                <w:sz w:val="24"/>
                <w:szCs w:val="24"/>
              </w:rPr>
              <w:t>28</w:t>
            </w:r>
            <w:r w:rsidR="00235A8C">
              <w:rPr>
                <w:rFonts w:ascii="宋体" w:eastAsia="宋体" w:hAnsi="宋体" w:cs="Times New Roman" w:hint="eastAsia"/>
                <w:iCs/>
                <w:color w:val="000000" w:themeColor="text1"/>
                <w:sz w:val="24"/>
                <w:szCs w:val="24"/>
              </w:rPr>
              <w:t>日</w:t>
            </w:r>
            <w:r w:rsidR="00F80B51">
              <w:rPr>
                <w:rFonts w:ascii="宋体" w:eastAsia="宋体" w:hAnsi="宋体" w:cs="Times New Roman"/>
                <w:iCs/>
                <w:color w:val="000000" w:themeColor="text1"/>
                <w:sz w:val="24"/>
                <w:szCs w:val="24"/>
              </w:rPr>
              <w:t>—0</w:t>
            </w:r>
            <w:r w:rsidR="005C3F15">
              <w:rPr>
                <w:rFonts w:ascii="宋体" w:eastAsia="宋体" w:hAnsi="宋体" w:cs="Times New Roman"/>
                <w:iCs/>
                <w:color w:val="000000" w:themeColor="text1"/>
                <w:sz w:val="24"/>
                <w:szCs w:val="24"/>
              </w:rPr>
              <w:t>6</w:t>
            </w:r>
            <w:r w:rsidR="00F80B51">
              <w:rPr>
                <w:rFonts w:ascii="宋体" w:eastAsia="宋体" w:hAnsi="宋体" w:cs="Times New Roman" w:hint="eastAsia"/>
                <w:iCs/>
                <w:color w:val="000000" w:themeColor="text1"/>
                <w:sz w:val="24"/>
                <w:szCs w:val="24"/>
              </w:rPr>
              <w:t>月</w:t>
            </w:r>
            <w:r w:rsidR="005C3F15">
              <w:rPr>
                <w:rFonts w:ascii="宋体" w:eastAsia="宋体" w:hAnsi="宋体" w:cs="Times New Roman"/>
                <w:iCs/>
                <w:color w:val="000000" w:themeColor="text1"/>
                <w:sz w:val="24"/>
                <w:szCs w:val="24"/>
              </w:rPr>
              <w:t>05</w:t>
            </w:r>
            <w:r w:rsidR="00F80B51">
              <w:rPr>
                <w:rFonts w:ascii="宋体" w:eastAsia="宋体" w:hAnsi="宋体" w:cs="Times New Roman" w:hint="eastAsia"/>
                <w:iCs/>
                <w:color w:val="000000" w:themeColor="text1"/>
                <w:sz w:val="24"/>
                <w:szCs w:val="24"/>
              </w:rPr>
              <w:t>日</w:t>
            </w:r>
          </w:p>
        </w:tc>
      </w:tr>
      <w:tr w:rsidR="001603E5" w:rsidRPr="006664FF" w14:paraId="692BF872" w14:textId="77777777" w:rsidTr="00564C8B">
        <w:trPr>
          <w:trHeight w:val="271"/>
          <w:jc w:val="center"/>
        </w:trPr>
        <w:tc>
          <w:tcPr>
            <w:tcW w:w="1413" w:type="dxa"/>
            <w:shd w:val="clear" w:color="auto" w:fill="auto"/>
          </w:tcPr>
          <w:p w14:paraId="70C1F318"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954" w:type="dxa"/>
            <w:shd w:val="clear" w:color="auto" w:fill="auto"/>
            <w:vAlign w:val="center"/>
          </w:tcPr>
          <w:p w14:paraId="5B97C9F7" w14:textId="7A544BE2" w:rsidR="00FE7F1E" w:rsidRPr="006664FF" w:rsidRDefault="004667EA" w:rsidP="0062155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线上会议</w:t>
            </w:r>
            <w:r w:rsidR="00F80B51">
              <w:rPr>
                <w:rFonts w:ascii="宋体" w:eastAsia="宋体" w:hAnsi="宋体" w:cs="Times New Roman" w:hint="eastAsia"/>
                <w:bCs/>
                <w:iCs/>
                <w:color w:val="000000" w:themeColor="text1"/>
                <w:sz w:val="24"/>
                <w:szCs w:val="24"/>
              </w:rPr>
              <w:t>；公司会议室</w:t>
            </w:r>
          </w:p>
        </w:tc>
      </w:tr>
      <w:tr w:rsidR="001603E5" w:rsidRPr="00D65F66" w14:paraId="1B403EDA" w14:textId="77777777" w:rsidTr="00564C8B">
        <w:trPr>
          <w:trHeight w:val="505"/>
          <w:jc w:val="center"/>
        </w:trPr>
        <w:tc>
          <w:tcPr>
            <w:tcW w:w="1413" w:type="dxa"/>
            <w:shd w:val="clear" w:color="auto" w:fill="auto"/>
          </w:tcPr>
          <w:p w14:paraId="56E726F2"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6954" w:type="dxa"/>
            <w:shd w:val="clear" w:color="auto" w:fill="auto"/>
            <w:vAlign w:val="center"/>
          </w:tcPr>
          <w:p w14:paraId="2A14885E" w14:textId="4C9458D0" w:rsidR="00F80B51" w:rsidRDefault="00F80B51" w:rsidP="0062155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董事长、总经理：周正宇</w:t>
            </w:r>
          </w:p>
          <w:p w14:paraId="1A61A019" w14:textId="01EEC6DE" w:rsidR="00F80B51" w:rsidRDefault="00F80B51" w:rsidP="0062155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董事会秘书：XIE</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MEI</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QIN</w:t>
            </w:r>
          </w:p>
          <w:p w14:paraId="0006ADA5" w14:textId="70C03FEF" w:rsidR="00CC5086" w:rsidRPr="006664FF" w:rsidRDefault="00CC5086" w:rsidP="0062155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w:t>
            </w:r>
            <w:r w:rsidR="0062155C">
              <w:rPr>
                <w:rFonts w:ascii="宋体" w:eastAsia="宋体" w:hAnsi="宋体" w:cs="Times New Roman" w:hint="eastAsia"/>
                <w:bCs/>
                <w:iCs/>
                <w:color w:val="000000" w:themeColor="text1"/>
                <w:sz w:val="24"/>
                <w:szCs w:val="24"/>
              </w:rPr>
              <w:t>事务代表</w:t>
            </w:r>
            <w:r>
              <w:rPr>
                <w:rFonts w:ascii="宋体" w:eastAsia="宋体" w:hAnsi="宋体" w:cs="Times New Roman" w:hint="eastAsia"/>
                <w:bCs/>
                <w:iCs/>
                <w:color w:val="000000" w:themeColor="text1"/>
                <w:sz w:val="24"/>
                <w:szCs w:val="24"/>
              </w:rPr>
              <w:t>：程奔驰</w:t>
            </w:r>
          </w:p>
        </w:tc>
      </w:tr>
      <w:tr w:rsidR="001603E5" w:rsidRPr="008E49B3" w14:paraId="3346D861" w14:textId="77777777" w:rsidTr="00564C8B">
        <w:trPr>
          <w:trHeight w:val="840"/>
          <w:jc w:val="center"/>
        </w:trPr>
        <w:tc>
          <w:tcPr>
            <w:tcW w:w="1413"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投资者关系活动主要内容介绍</w:t>
            </w:r>
          </w:p>
        </w:tc>
        <w:tc>
          <w:tcPr>
            <w:tcW w:w="6954" w:type="dxa"/>
            <w:shd w:val="clear" w:color="auto" w:fill="auto"/>
          </w:tcPr>
          <w:p w14:paraId="5BA372F4"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经营情况简介</w:t>
            </w:r>
          </w:p>
          <w:p w14:paraId="287DD5FB" w14:textId="77777777" w:rsidR="00D01F71" w:rsidRPr="00D01F71" w:rsidRDefault="00D01F71" w:rsidP="00D01F71">
            <w:pPr>
              <w:spacing w:line="360" w:lineRule="auto"/>
              <w:ind w:firstLineChars="200" w:firstLine="420"/>
              <w:rPr>
                <w:rFonts w:ascii="宋体" w:eastAsia="宋体" w:hAnsi="宋体"/>
                <w:color w:val="000000" w:themeColor="text1"/>
              </w:rPr>
            </w:pPr>
            <w:r w:rsidRPr="00D01F71">
              <w:rPr>
                <w:rFonts w:ascii="宋体" w:eastAsia="宋体" w:hAnsi="宋体" w:hint="eastAsia"/>
                <w:color w:val="000000" w:themeColor="text1"/>
              </w:rPr>
              <w:t>2025年第一季度，公司实现营业收入1.92亿元，同比增长62.03%，实现归属于上市公司股东的净利润4,144.97万元，同比增长385.67%；实现归属于上市公司股东的扣除非经常性损益的净利润3,861.61万元，同比增长606.03%。</w:t>
            </w:r>
          </w:p>
          <w:p w14:paraId="7E86C1C4" w14:textId="77777777" w:rsidR="00D01F71" w:rsidRPr="00D01F71" w:rsidRDefault="00D01F71" w:rsidP="00D01F71">
            <w:pPr>
              <w:spacing w:line="360" w:lineRule="auto"/>
              <w:ind w:firstLineChars="200" w:firstLine="420"/>
              <w:rPr>
                <w:rFonts w:ascii="宋体" w:eastAsia="宋体" w:hAnsi="宋体"/>
                <w:color w:val="000000" w:themeColor="text1"/>
              </w:rPr>
            </w:pPr>
            <w:r w:rsidRPr="00D01F71">
              <w:rPr>
                <w:rFonts w:ascii="宋体" w:eastAsia="宋体" w:hAnsi="宋体" w:hint="eastAsia"/>
                <w:color w:val="000000" w:themeColor="text1"/>
              </w:rPr>
              <w:t>报告期内，公司积极拥抱端侧产品AI化的进程，持续投入技术研发并迭代新品，积极开拓新市场和新客户，端侧AI处理器芯片出货量不断攀升，销售收入保持快速增长；低延迟高音质无线音频产品加速放量，销售额持续上扬；蓝牙音箱SoC芯片系列持续加大在头部音频品牌的渗透力度，不断深化公司与客户合作的广度和深度，产品不断迭代和放量。整体看，公司产品销售表现亮眼，助力公司营收大幅增长，随着公司产品结构和客户结构持续优化，毛利润和净利润实现快速增长。</w:t>
            </w:r>
          </w:p>
          <w:p w14:paraId="12C47644"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Q1：目前经营情况如何？</w:t>
            </w:r>
          </w:p>
          <w:p w14:paraId="15F9BE23" w14:textId="4ED3511F"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答：从公司主要产品线所在的市场情况分析，在蓝牙音箱市场，公司持续提升在</w:t>
            </w:r>
            <w:r w:rsidR="00317B36">
              <w:rPr>
                <w:rFonts w:ascii="宋体" w:eastAsia="宋体" w:hAnsi="宋体" w:hint="eastAsia"/>
                <w:color w:val="000000" w:themeColor="text1"/>
              </w:rPr>
              <w:t>国际一线</w:t>
            </w:r>
            <w:r w:rsidRPr="00D01F71">
              <w:rPr>
                <w:rFonts w:ascii="宋体" w:eastAsia="宋体" w:hAnsi="宋体" w:hint="eastAsia"/>
                <w:color w:val="000000" w:themeColor="text1"/>
              </w:rPr>
              <w:t>品牌客户的渗透率；在低延迟高音质无线音频市场，持续受益于下游无线麦克风、电竞外设、家庭影院音响系统等多种产品不断加速的无线化进程，销售收入保持高增长；在端侧AI处理器领域，公司产品出货量不断攀升，销售收入保持快速增长。</w:t>
            </w:r>
          </w:p>
          <w:p w14:paraId="28FFF75E"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Q2：公司端侧AI新产品的竞争优势和差异化特点是什么？</w:t>
            </w:r>
          </w:p>
          <w:p w14:paraId="7EC1A2E4" w14:textId="438EC60C"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公司新产品创新性地采用了CPU+DSP+NPU三核异构架构设计，其中的AI加速引擎-NPU是基于模数混合SRAM存内计算技术打造，由此带来的超高能效比是公司区别于市面友商传统冯·诺依曼架构产品的显著差异点。选择存内计算技术路线的初衷，是公司对于端侧AI技术趋势的深入研判思考，我们认为，端侧AI产品海量的机会存在于对专用场景下专用模型的加</w:t>
            </w:r>
            <w:r w:rsidR="004D55C3">
              <w:rPr>
                <w:rFonts w:ascii="宋体" w:eastAsia="宋体" w:hAnsi="宋体" w:hint="eastAsia"/>
                <w:color w:val="000000" w:themeColor="text1"/>
              </w:rPr>
              <w:lastRenderedPageBreak/>
              <w:t>速需求，尤其在电池驱动设备中对于能效比提升的诉求是</w:t>
            </w:r>
            <w:r w:rsidRPr="00D01F71">
              <w:rPr>
                <w:rFonts w:ascii="宋体" w:eastAsia="宋体" w:hAnsi="宋体" w:hint="eastAsia"/>
                <w:color w:val="000000" w:themeColor="text1"/>
              </w:rPr>
              <w:t>非常显著的，公司新产品可为这类设备在低功耗的前提下提供超高能效比的AI算力基础，恰到好处解决了这样的痛点。根据第三方专业咨询机构预测，端侧AI市场正在快速增长，预计到2028年，基于中小型模型的端侧AI设备将达到40亿台，年复合增长率为32%；到2030年，预计75%的这类AIoT设备将采用高能效比的专用硬件。</w:t>
            </w:r>
          </w:p>
          <w:p w14:paraId="65930B8C"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Q3：公司第一代三核架构的芯片产品，目前客户导入的进展如何？</w:t>
            </w:r>
          </w:p>
          <w:p w14:paraId="552EEA7A"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公司已正式发布最新一代基于SRAM的模数混合存内计算的端侧AI音频芯片，采用CPU+DSP+NPU三核异构架构，可在更低功耗下提供更高算力，同时兼具更低的延迟和增强的安全性，将在音频应用和端侧AI中发挥重要作用。产品共包括三个芯片系列：第一个系列是ATS323X，面向低延迟高音质私有无线音频领域；第二个系列是ATS286X，面向蓝牙AI音频领域；第三个系列是ATS362X，面向端侧AI处理器领域。目前,ATS3231已搭载于品牌客户无线麦克风产品中上市发售。ATS286X、ATS362X客户产品导入持续推进中，将会陆续上市销售。</w:t>
            </w:r>
          </w:p>
          <w:p w14:paraId="03E62463"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Q4：如何展望今年新产品贡献营收的趋势，对于公司ASP拉动的影响？</w:t>
            </w:r>
          </w:p>
          <w:p w14:paraId="2F0EAA2E" w14:textId="05025889"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公司基于三核异构架构的芯片采用了更加先进的工艺制程和存内计算技术，相较公司现有产品可以在现有功耗水平下提供几十倍至上百倍的算力提升，而相较于市场上主流的NPU产品能效比可以提升至少三倍以上，相较于主流的DSP产品在功耗方面能降低接近90%，因此在价格上相较公司上代产品也会有十分明显的提升，今年新产品将对营收以及ASP持续产生正向拉动</w:t>
            </w:r>
            <w:r w:rsidR="00A03FE1">
              <w:rPr>
                <w:rFonts w:ascii="宋体" w:eastAsia="宋体" w:hAnsi="宋体" w:hint="eastAsia"/>
                <w:color w:val="000000" w:themeColor="text1"/>
              </w:rPr>
              <w:t>的影响</w:t>
            </w:r>
            <w:r w:rsidRPr="00D01F71">
              <w:rPr>
                <w:rFonts w:ascii="宋体" w:eastAsia="宋体" w:hAnsi="宋体" w:hint="eastAsia"/>
                <w:color w:val="000000" w:themeColor="text1"/>
              </w:rPr>
              <w:t>。</w:t>
            </w:r>
          </w:p>
          <w:p w14:paraId="60A373BC"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Q5：公司对于收并购的方向和规划是什么？</w:t>
            </w:r>
          </w:p>
          <w:p w14:paraId="799BE902"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收并购是国内外上市公司实现增长的一个重要途径，近期相关政策的出台也体现出监管层对上市公司使用收并购工具的支持。公司会从标的资产的协同效应、市场规模以及增长前景等多个角度对潜在的标的资产进行评估筛选，后续如涉及相关重大事项，公司将按照规定及时履行信息披露义务。</w:t>
            </w:r>
          </w:p>
          <w:p w14:paraId="6D46D946" w14:textId="70279972"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Q6：三核架构除了对当前</w:t>
            </w:r>
            <w:bookmarkStart w:id="0" w:name="_GoBack"/>
            <w:bookmarkEnd w:id="0"/>
            <w:r w:rsidRPr="00D01F71">
              <w:rPr>
                <w:rFonts w:ascii="宋体" w:eastAsia="宋体" w:hAnsi="宋体" w:hint="eastAsia"/>
                <w:color w:val="000000" w:themeColor="text1"/>
              </w:rPr>
              <w:t>场景的应用，未来会拓展在哪些潜在的领域？</w:t>
            </w:r>
          </w:p>
          <w:p w14:paraId="520A53D4" w14:textId="19A25D18"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lastRenderedPageBreak/>
              <w:t>答：在基于SRAM的模数混合存内计算技术路径下的端侧AI音频芯片平台具有非常广阔的应用前景，主要可以覆盖语音与音频、视觉识别以及健康类监测等相关应用场景，并且可实现端侧AI解决方案的快速落地。公司也将积极打造AI开发生态，借助</w:t>
            </w:r>
            <w:r w:rsidR="00654FB1">
              <w:rPr>
                <w:rFonts w:ascii="宋体" w:eastAsia="宋体" w:hAnsi="宋体" w:hint="eastAsia"/>
                <w:color w:val="000000" w:themeColor="text1"/>
              </w:rPr>
              <w:t>公司</w:t>
            </w:r>
            <w:r w:rsidR="004D55C3">
              <w:rPr>
                <w:rFonts w:ascii="宋体" w:eastAsia="宋体" w:hAnsi="宋体" w:hint="eastAsia"/>
                <w:color w:val="000000" w:themeColor="text1"/>
              </w:rPr>
              <w:t>完整工具链轻松实现算法的融合，帮助客户迅速地完成产品落地</w:t>
            </w:r>
            <w:r w:rsidRPr="00D01F71">
              <w:rPr>
                <w:rFonts w:ascii="宋体" w:eastAsia="宋体" w:hAnsi="宋体" w:hint="eastAsia"/>
                <w:color w:val="000000" w:themeColor="text1"/>
              </w:rPr>
              <w:t>，助力AIoT产品AI化的不断演进。</w:t>
            </w:r>
          </w:p>
          <w:p w14:paraId="713EE087" w14:textId="1C79B7A1"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Q7：接下来</w:t>
            </w:r>
            <w:r w:rsidR="00A441AC">
              <w:rPr>
                <w:rFonts w:ascii="宋体" w:eastAsia="宋体" w:hAnsi="宋体" w:hint="eastAsia"/>
                <w:color w:val="000000" w:themeColor="text1"/>
              </w:rPr>
              <w:t>的</w:t>
            </w:r>
            <w:r w:rsidRPr="00D01F71">
              <w:rPr>
                <w:rFonts w:ascii="宋体" w:eastAsia="宋体" w:hAnsi="宋体" w:hint="eastAsia"/>
                <w:color w:val="000000" w:themeColor="text1"/>
              </w:rPr>
              <w:t>一段时间</w:t>
            </w:r>
            <w:r w:rsidR="00095330">
              <w:rPr>
                <w:rFonts w:ascii="宋体" w:eastAsia="宋体" w:hAnsi="宋体" w:hint="eastAsia"/>
                <w:color w:val="000000" w:themeColor="text1"/>
              </w:rPr>
              <w:t>内</w:t>
            </w:r>
            <w:r w:rsidRPr="00D01F71">
              <w:rPr>
                <w:rFonts w:ascii="宋体" w:eastAsia="宋体" w:hAnsi="宋体" w:hint="eastAsia"/>
                <w:color w:val="000000" w:themeColor="text1"/>
              </w:rPr>
              <w:t>，研发投入的方向以及相关人员费用的规划是什么？</w:t>
            </w:r>
          </w:p>
          <w:p w14:paraId="14388632"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技术研发是公司业绩增长的重要驱动力，公司很高兴看到技术研发投入与营收规模提升保持着正向循环，2024年公司研发支出2.15亿元，占营收比例约33%，公司主要取得了三个方面的研发成果，第一是基于CIM技术打造了炬芯第一代三核异构架构的芯片平台，第二是发布了ANDT开发工具链，可以助力客户模型的快速部署，打造端侧AI高效开发生态环境，第三是持续升级拓展无线连接技术，低延迟高音质各项指标达到了业界先进水平。接下来一段时间，公司的研发投入方向也将继续围绕低功耗大算力、开发生态和无线连接三个方向拥抱端侧AI海量的芯片需求。</w:t>
            </w:r>
          </w:p>
          <w:p w14:paraId="5780D60C"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Q8：公司存算技术后续的路线迭代是什么计划？</w:t>
            </w:r>
          </w:p>
          <w:p w14:paraId="04A078CF"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在存内计算（CIM）技术迭代上，包括制程节点、关键性能指标等方面，公司都有清晰的路线规划，目前已着手第二代CIM技术的相关IP研发工作，目标是将NPU单核算力提升三倍至300GOPS，并直接支持Transformer模型，将能效比提高至7.8TOPS/W@INT8。</w:t>
            </w:r>
          </w:p>
          <w:p w14:paraId="1B4746A3"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Q9：公司产品在端侧AI落地的场景以及后续对于端侧AI市场的规划?</w:t>
            </w:r>
          </w:p>
          <w:p w14:paraId="186D9FDA"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公司的端侧AI处理器芯片当前优先应用在音频市场，相应的场景包括人声分离、AI智能降噪等，公司发挥自身的技术优势，可以为端侧产品提供低功耗下的AI算力。公司会持续打造低功耗的AI算力平台，将逐步拓展至音频之外的更多场景应用，比如运动健康方面的传感器数据AI处理应用等。</w:t>
            </w:r>
          </w:p>
          <w:p w14:paraId="409A305B"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Q10：针对AI眼镜、智能手表等智能穿戴类芯片会有新的芯片产品推出么？</w:t>
            </w:r>
          </w:p>
          <w:p w14:paraId="180FDABA" w14:textId="763DFBCE" w:rsidR="00CF7CB9" w:rsidRPr="008A26F2"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答：目前公司相关研发工作正在稳步推进中，新一代智能穿戴芯片将采用三核架构，搭载存内计算技术，将为下游客户提供更具竞争力的芯片平台</w:t>
            </w:r>
            <w:r w:rsidRPr="00D01F71">
              <w:rPr>
                <w:rFonts w:ascii="宋体" w:eastAsia="宋体" w:hAnsi="宋体" w:hint="eastAsia"/>
                <w:color w:val="000000" w:themeColor="text1"/>
              </w:rPr>
              <w:lastRenderedPageBreak/>
              <w:t>与产品解决方案。</w:t>
            </w:r>
          </w:p>
        </w:tc>
      </w:tr>
      <w:tr w:rsidR="00EE3EEC" w:rsidRPr="008E49B3" w14:paraId="71E94F5C" w14:textId="77777777" w:rsidTr="00564C8B">
        <w:trPr>
          <w:trHeight w:val="840"/>
          <w:jc w:val="center"/>
        </w:trPr>
        <w:tc>
          <w:tcPr>
            <w:tcW w:w="1413" w:type="dxa"/>
            <w:shd w:val="clear" w:color="auto" w:fill="auto"/>
            <w:vAlign w:val="center"/>
          </w:tcPr>
          <w:p w14:paraId="4E148198" w14:textId="7D9BE12D" w:rsidR="00EE3EEC" w:rsidRPr="006664FF" w:rsidRDefault="00EE3EEC" w:rsidP="00EE3EEC">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954" w:type="dxa"/>
            <w:shd w:val="clear" w:color="auto" w:fill="auto"/>
          </w:tcPr>
          <w:p w14:paraId="03BC828F" w14:textId="601A8464" w:rsidR="00EE3EEC" w:rsidRDefault="00EE3EEC" w:rsidP="00EE3EEC">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564C8B">
        <w:trPr>
          <w:trHeight w:val="132"/>
          <w:jc w:val="center"/>
        </w:trPr>
        <w:tc>
          <w:tcPr>
            <w:tcW w:w="1413"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6954"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564C8B">
        <w:trPr>
          <w:trHeight w:val="399"/>
          <w:jc w:val="center"/>
        </w:trPr>
        <w:tc>
          <w:tcPr>
            <w:tcW w:w="1413"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954" w:type="dxa"/>
            <w:shd w:val="clear" w:color="auto" w:fill="auto"/>
            <w:vAlign w:val="center"/>
          </w:tcPr>
          <w:p w14:paraId="3FCC9F0D" w14:textId="31331121" w:rsidR="00FE7F1E" w:rsidRPr="001603E5" w:rsidRDefault="0030176D" w:rsidP="004D55C3">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867D31">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D10CE3">
              <w:rPr>
                <w:rFonts w:ascii="宋体" w:eastAsia="宋体" w:hAnsi="宋体" w:cs="Times New Roman"/>
                <w:iCs/>
                <w:color w:val="000000" w:themeColor="text1"/>
                <w:sz w:val="24"/>
                <w:szCs w:val="24"/>
              </w:rPr>
              <w:t>0</w:t>
            </w:r>
            <w:r w:rsidR="005C3F15">
              <w:rPr>
                <w:rFonts w:ascii="宋体" w:eastAsia="宋体" w:hAnsi="宋体" w:cs="Times New Roman"/>
                <w:iCs/>
                <w:color w:val="000000" w:themeColor="text1"/>
                <w:sz w:val="24"/>
                <w:szCs w:val="24"/>
              </w:rPr>
              <w:t>6</w:t>
            </w:r>
            <w:r>
              <w:rPr>
                <w:rFonts w:ascii="宋体" w:eastAsia="宋体" w:hAnsi="宋体" w:cs="Times New Roman" w:hint="eastAsia"/>
                <w:iCs/>
                <w:color w:val="000000" w:themeColor="text1"/>
                <w:sz w:val="24"/>
                <w:szCs w:val="24"/>
              </w:rPr>
              <w:t>月</w:t>
            </w:r>
            <w:r w:rsidR="004D55C3">
              <w:rPr>
                <w:rFonts w:ascii="宋体" w:eastAsia="宋体" w:hAnsi="宋体" w:cs="Times New Roman"/>
                <w:iCs/>
                <w:color w:val="000000" w:themeColor="text1"/>
                <w:sz w:val="24"/>
                <w:szCs w:val="24"/>
              </w:rPr>
              <w:t>10</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65AB2" w16cex:dateUtc="2025-06-10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8E9ADF" w16cid:durableId="25B65A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AB768" w14:textId="77777777" w:rsidR="00C534F2" w:rsidRDefault="00C534F2" w:rsidP="00BF5D45">
      <w:r>
        <w:separator/>
      </w:r>
    </w:p>
  </w:endnote>
  <w:endnote w:type="continuationSeparator" w:id="0">
    <w:p w14:paraId="58CF8A5A" w14:textId="77777777" w:rsidR="00C534F2" w:rsidRDefault="00C534F2"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F42AA" w14:textId="77777777" w:rsidR="00C534F2" w:rsidRDefault="00C534F2" w:rsidP="00BF5D45">
      <w:r>
        <w:separator/>
      </w:r>
    </w:p>
  </w:footnote>
  <w:footnote w:type="continuationSeparator" w:id="0">
    <w:p w14:paraId="5E46EE2A" w14:textId="77777777" w:rsidR="00C534F2" w:rsidRDefault="00C534F2" w:rsidP="00BF5D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B9C"/>
    <w:rsid w:val="000130D7"/>
    <w:rsid w:val="00013BBC"/>
    <w:rsid w:val="00014EDC"/>
    <w:rsid w:val="00014F2A"/>
    <w:rsid w:val="00016ABC"/>
    <w:rsid w:val="00021192"/>
    <w:rsid w:val="00021F69"/>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41393"/>
    <w:rsid w:val="00041EC7"/>
    <w:rsid w:val="000426D2"/>
    <w:rsid w:val="00042C46"/>
    <w:rsid w:val="0004315B"/>
    <w:rsid w:val="000431F7"/>
    <w:rsid w:val="000444E5"/>
    <w:rsid w:val="0004632F"/>
    <w:rsid w:val="000463A7"/>
    <w:rsid w:val="00050591"/>
    <w:rsid w:val="00050860"/>
    <w:rsid w:val="00051D0D"/>
    <w:rsid w:val="000520D7"/>
    <w:rsid w:val="00052760"/>
    <w:rsid w:val="0005287E"/>
    <w:rsid w:val="000528A8"/>
    <w:rsid w:val="00053665"/>
    <w:rsid w:val="00053C03"/>
    <w:rsid w:val="0005452E"/>
    <w:rsid w:val="00054836"/>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95330"/>
    <w:rsid w:val="000A17F3"/>
    <w:rsid w:val="000A187B"/>
    <w:rsid w:val="000A288B"/>
    <w:rsid w:val="000A3CD0"/>
    <w:rsid w:val="000A5B19"/>
    <w:rsid w:val="000A5BA2"/>
    <w:rsid w:val="000A65EF"/>
    <w:rsid w:val="000A6FD8"/>
    <w:rsid w:val="000A7CB9"/>
    <w:rsid w:val="000B0DB5"/>
    <w:rsid w:val="000B3BF1"/>
    <w:rsid w:val="000B63DB"/>
    <w:rsid w:val="000B6FFD"/>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978"/>
    <w:rsid w:val="000F6BEB"/>
    <w:rsid w:val="000F7A64"/>
    <w:rsid w:val="00100D27"/>
    <w:rsid w:val="00103C4E"/>
    <w:rsid w:val="001042A7"/>
    <w:rsid w:val="0010468E"/>
    <w:rsid w:val="00104A29"/>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13E6"/>
    <w:rsid w:val="001334C1"/>
    <w:rsid w:val="00133C6A"/>
    <w:rsid w:val="0013473A"/>
    <w:rsid w:val="00134C32"/>
    <w:rsid w:val="0013557C"/>
    <w:rsid w:val="00136782"/>
    <w:rsid w:val="00136BC5"/>
    <w:rsid w:val="00136D75"/>
    <w:rsid w:val="001373B7"/>
    <w:rsid w:val="001413A6"/>
    <w:rsid w:val="001425F6"/>
    <w:rsid w:val="00143A57"/>
    <w:rsid w:val="0014464D"/>
    <w:rsid w:val="00147E13"/>
    <w:rsid w:val="001503ED"/>
    <w:rsid w:val="0015092C"/>
    <w:rsid w:val="001510DF"/>
    <w:rsid w:val="0015152A"/>
    <w:rsid w:val="001515B5"/>
    <w:rsid w:val="001516DC"/>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BE"/>
    <w:rsid w:val="001A21F2"/>
    <w:rsid w:val="001A3803"/>
    <w:rsid w:val="001A461F"/>
    <w:rsid w:val="001A4635"/>
    <w:rsid w:val="001A6269"/>
    <w:rsid w:val="001A6A96"/>
    <w:rsid w:val="001A79AD"/>
    <w:rsid w:val="001A7F5C"/>
    <w:rsid w:val="001B00B7"/>
    <w:rsid w:val="001B00D8"/>
    <w:rsid w:val="001B011E"/>
    <w:rsid w:val="001B058D"/>
    <w:rsid w:val="001B0AA4"/>
    <w:rsid w:val="001B1B79"/>
    <w:rsid w:val="001B27EA"/>
    <w:rsid w:val="001B2977"/>
    <w:rsid w:val="001B2D00"/>
    <w:rsid w:val="001B5041"/>
    <w:rsid w:val="001B508F"/>
    <w:rsid w:val="001B7202"/>
    <w:rsid w:val="001B7B58"/>
    <w:rsid w:val="001C08FD"/>
    <w:rsid w:val="001C0E4E"/>
    <w:rsid w:val="001C1BC3"/>
    <w:rsid w:val="001C3DF1"/>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52B7"/>
    <w:rsid w:val="001F5B62"/>
    <w:rsid w:val="001F6EAF"/>
    <w:rsid w:val="001F6F00"/>
    <w:rsid w:val="001F778B"/>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813"/>
    <w:rsid w:val="00232E42"/>
    <w:rsid w:val="00233874"/>
    <w:rsid w:val="00234237"/>
    <w:rsid w:val="002347DC"/>
    <w:rsid w:val="00234D03"/>
    <w:rsid w:val="00235877"/>
    <w:rsid w:val="00235A8C"/>
    <w:rsid w:val="002367F6"/>
    <w:rsid w:val="00236A75"/>
    <w:rsid w:val="00236C98"/>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E1F"/>
    <w:rsid w:val="002B243A"/>
    <w:rsid w:val="002B51D6"/>
    <w:rsid w:val="002B5A92"/>
    <w:rsid w:val="002B75F5"/>
    <w:rsid w:val="002C10D4"/>
    <w:rsid w:val="002C1C3B"/>
    <w:rsid w:val="002C23DD"/>
    <w:rsid w:val="002C3AD1"/>
    <w:rsid w:val="002C3F99"/>
    <w:rsid w:val="002C674A"/>
    <w:rsid w:val="002C72E7"/>
    <w:rsid w:val="002D15D1"/>
    <w:rsid w:val="002D222F"/>
    <w:rsid w:val="002D2CD8"/>
    <w:rsid w:val="002D3753"/>
    <w:rsid w:val="002D43CB"/>
    <w:rsid w:val="002D5EA1"/>
    <w:rsid w:val="002E03FB"/>
    <w:rsid w:val="002E3756"/>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17B36"/>
    <w:rsid w:val="003208A6"/>
    <w:rsid w:val="00320D9D"/>
    <w:rsid w:val="00320EA7"/>
    <w:rsid w:val="00322899"/>
    <w:rsid w:val="00323F75"/>
    <w:rsid w:val="00324218"/>
    <w:rsid w:val="00325846"/>
    <w:rsid w:val="00325B17"/>
    <w:rsid w:val="00327CE4"/>
    <w:rsid w:val="003304E6"/>
    <w:rsid w:val="0033259E"/>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1E83"/>
    <w:rsid w:val="003722F1"/>
    <w:rsid w:val="0037245D"/>
    <w:rsid w:val="0037271B"/>
    <w:rsid w:val="003736DC"/>
    <w:rsid w:val="00373B0E"/>
    <w:rsid w:val="003769D1"/>
    <w:rsid w:val="00376EB2"/>
    <w:rsid w:val="00376FCE"/>
    <w:rsid w:val="0038034C"/>
    <w:rsid w:val="00380523"/>
    <w:rsid w:val="003807CA"/>
    <w:rsid w:val="00383201"/>
    <w:rsid w:val="00383716"/>
    <w:rsid w:val="00383A76"/>
    <w:rsid w:val="00383EF5"/>
    <w:rsid w:val="003842E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6207"/>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572"/>
    <w:rsid w:val="00417E01"/>
    <w:rsid w:val="00420071"/>
    <w:rsid w:val="00420D2F"/>
    <w:rsid w:val="004211C5"/>
    <w:rsid w:val="0042182D"/>
    <w:rsid w:val="00422C17"/>
    <w:rsid w:val="00425BB1"/>
    <w:rsid w:val="00425BC7"/>
    <w:rsid w:val="004262D0"/>
    <w:rsid w:val="00430C7B"/>
    <w:rsid w:val="00432964"/>
    <w:rsid w:val="00433835"/>
    <w:rsid w:val="00435D30"/>
    <w:rsid w:val="00436FB4"/>
    <w:rsid w:val="004416DA"/>
    <w:rsid w:val="00441D9C"/>
    <w:rsid w:val="0044299F"/>
    <w:rsid w:val="00444D4D"/>
    <w:rsid w:val="00445609"/>
    <w:rsid w:val="00445A6F"/>
    <w:rsid w:val="00446E89"/>
    <w:rsid w:val="00447932"/>
    <w:rsid w:val="00447D01"/>
    <w:rsid w:val="00450877"/>
    <w:rsid w:val="00456556"/>
    <w:rsid w:val="004567DD"/>
    <w:rsid w:val="00461A75"/>
    <w:rsid w:val="00462BFD"/>
    <w:rsid w:val="00464637"/>
    <w:rsid w:val="00465C23"/>
    <w:rsid w:val="004667EA"/>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5EB"/>
    <w:rsid w:val="00486C22"/>
    <w:rsid w:val="00491110"/>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500C"/>
    <w:rsid w:val="004B5BEA"/>
    <w:rsid w:val="004B7665"/>
    <w:rsid w:val="004B76F7"/>
    <w:rsid w:val="004B7984"/>
    <w:rsid w:val="004C15C1"/>
    <w:rsid w:val="004C23D7"/>
    <w:rsid w:val="004C3E41"/>
    <w:rsid w:val="004C4539"/>
    <w:rsid w:val="004C6244"/>
    <w:rsid w:val="004C6956"/>
    <w:rsid w:val="004D1A75"/>
    <w:rsid w:val="004D3359"/>
    <w:rsid w:val="004D4156"/>
    <w:rsid w:val="004D55C3"/>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0BDB"/>
    <w:rsid w:val="0050176E"/>
    <w:rsid w:val="00504DF9"/>
    <w:rsid w:val="00505194"/>
    <w:rsid w:val="0050590F"/>
    <w:rsid w:val="00507071"/>
    <w:rsid w:val="0050774A"/>
    <w:rsid w:val="00507BE2"/>
    <w:rsid w:val="00510286"/>
    <w:rsid w:val="00511944"/>
    <w:rsid w:val="00512B46"/>
    <w:rsid w:val="0051325A"/>
    <w:rsid w:val="005135E1"/>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E"/>
    <w:rsid w:val="0054129B"/>
    <w:rsid w:val="00541ED8"/>
    <w:rsid w:val="00542121"/>
    <w:rsid w:val="00543B6B"/>
    <w:rsid w:val="0054404C"/>
    <w:rsid w:val="0054618D"/>
    <w:rsid w:val="0054672D"/>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5D6"/>
    <w:rsid w:val="005A17E4"/>
    <w:rsid w:val="005A1C5D"/>
    <w:rsid w:val="005A24FD"/>
    <w:rsid w:val="005A27DD"/>
    <w:rsid w:val="005A3621"/>
    <w:rsid w:val="005A3CFE"/>
    <w:rsid w:val="005A40F5"/>
    <w:rsid w:val="005A420C"/>
    <w:rsid w:val="005A4D77"/>
    <w:rsid w:val="005A5582"/>
    <w:rsid w:val="005A716F"/>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3F15"/>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F7A"/>
    <w:rsid w:val="005E6630"/>
    <w:rsid w:val="005E6B13"/>
    <w:rsid w:val="005E78B0"/>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27F5"/>
    <w:rsid w:val="00622B07"/>
    <w:rsid w:val="00622BF6"/>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4FB1"/>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C2A"/>
    <w:rsid w:val="006767CC"/>
    <w:rsid w:val="0067757F"/>
    <w:rsid w:val="006804BD"/>
    <w:rsid w:val="00681294"/>
    <w:rsid w:val="00681AF6"/>
    <w:rsid w:val="006821CB"/>
    <w:rsid w:val="006824A8"/>
    <w:rsid w:val="00682F1A"/>
    <w:rsid w:val="00686E4C"/>
    <w:rsid w:val="006873A1"/>
    <w:rsid w:val="00691428"/>
    <w:rsid w:val="00693EEC"/>
    <w:rsid w:val="006955C4"/>
    <w:rsid w:val="00695C73"/>
    <w:rsid w:val="0069619A"/>
    <w:rsid w:val="0069670B"/>
    <w:rsid w:val="00696E18"/>
    <w:rsid w:val="006978CC"/>
    <w:rsid w:val="00697D50"/>
    <w:rsid w:val="006A0106"/>
    <w:rsid w:val="006A08DC"/>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E34"/>
    <w:rsid w:val="0070224F"/>
    <w:rsid w:val="00703C66"/>
    <w:rsid w:val="0070607F"/>
    <w:rsid w:val="00706896"/>
    <w:rsid w:val="00706BE9"/>
    <w:rsid w:val="0070727C"/>
    <w:rsid w:val="0071048B"/>
    <w:rsid w:val="00710CD5"/>
    <w:rsid w:val="007118F2"/>
    <w:rsid w:val="00711AAB"/>
    <w:rsid w:val="00712040"/>
    <w:rsid w:val="00712420"/>
    <w:rsid w:val="00713A4A"/>
    <w:rsid w:val="00713A75"/>
    <w:rsid w:val="00713C7D"/>
    <w:rsid w:val="00714F60"/>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0D19"/>
    <w:rsid w:val="007916DF"/>
    <w:rsid w:val="0079430A"/>
    <w:rsid w:val="00794755"/>
    <w:rsid w:val="00794C8B"/>
    <w:rsid w:val="00794CFC"/>
    <w:rsid w:val="00795940"/>
    <w:rsid w:val="00796DFF"/>
    <w:rsid w:val="00797979"/>
    <w:rsid w:val="007A0A88"/>
    <w:rsid w:val="007A2406"/>
    <w:rsid w:val="007A346A"/>
    <w:rsid w:val="007A4905"/>
    <w:rsid w:val="007A5060"/>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F7E"/>
    <w:rsid w:val="00806508"/>
    <w:rsid w:val="00806573"/>
    <w:rsid w:val="00807153"/>
    <w:rsid w:val="008074D8"/>
    <w:rsid w:val="0081270A"/>
    <w:rsid w:val="00814484"/>
    <w:rsid w:val="00815428"/>
    <w:rsid w:val="008159D8"/>
    <w:rsid w:val="008160A1"/>
    <w:rsid w:val="00816290"/>
    <w:rsid w:val="00816569"/>
    <w:rsid w:val="00816AEB"/>
    <w:rsid w:val="00816CED"/>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3781"/>
    <w:rsid w:val="00893990"/>
    <w:rsid w:val="00893B58"/>
    <w:rsid w:val="00894406"/>
    <w:rsid w:val="00894679"/>
    <w:rsid w:val="00895ADF"/>
    <w:rsid w:val="00895B84"/>
    <w:rsid w:val="00897E5E"/>
    <w:rsid w:val="008A0608"/>
    <w:rsid w:val="008A0D37"/>
    <w:rsid w:val="008A120E"/>
    <w:rsid w:val="008A20F8"/>
    <w:rsid w:val="008A26F2"/>
    <w:rsid w:val="008A469D"/>
    <w:rsid w:val="008A632B"/>
    <w:rsid w:val="008A6FAC"/>
    <w:rsid w:val="008A7F7A"/>
    <w:rsid w:val="008B0919"/>
    <w:rsid w:val="008B25FA"/>
    <w:rsid w:val="008B3684"/>
    <w:rsid w:val="008B4581"/>
    <w:rsid w:val="008B4886"/>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6CCE"/>
    <w:rsid w:val="008D76AC"/>
    <w:rsid w:val="008E20BB"/>
    <w:rsid w:val="008E245B"/>
    <w:rsid w:val="008E38E6"/>
    <w:rsid w:val="008E49B3"/>
    <w:rsid w:val="008E645F"/>
    <w:rsid w:val="008F01B5"/>
    <w:rsid w:val="008F0C38"/>
    <w:rsid w:val="008F1511"/>
    <w:rsid w:val="008F28B5"/>
    <w:rsid w:val="008F3153"/>
    <w:rsid w:val="008F3434"/>
    <w:rsid w:val="008F5F3A"/>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3D7F"/>
    <w:rsid w:val="009959C9"/>
    <w:rsid w:val="00995BD7"/>
    <w:rsid w:val="009961F3"/>
    <w:rsid w:val="0099683D"/>
    <w:rsid w:val="00996EE5"/>
    <w:rsid w:val="0099772C"/>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566"/>
    <w:rsid w:val="009D0034"/>
    <w:rsid w:val="009D033E"/>
    <w:rsid w:val="009D0456"/>
    <w:rsid w:val="009D06D7"/>
    <w:rsid w:val="009D167C"/>
    <w:rsid w:val="009D1A7D"/>
    <w:rsid w:val="009D222E"/>
    <w:rsid w:val="009D2789"/>
    <w:rsid w:val="009E0B46"/>
    <w:rsid w:val="009E10F1"/>
    <w:rsid w:val="009E248E"/>
    <w:rsid w:val="009E2728"/>
    <w:rsid w:val="009E295E"/>
    <w:rsid w:val="009E3018"/>
    <w:rsid w:val="009E3D68"/>
    <w:rsid w:val="009E5825"/>
    <w:rsid w:val="009E621E"/>
    <w:rsid w:val="009E7718"/>
    <w:rsid w:val="009F1808"/>
    <w:rsid w:val="009F1DF6"/>
    <w:rsid w:val="009F288E"/>
    <w:rsid w:val="009F4CD1"/>
    <w:rsid w:val="009F73DB"/>
    <w:rsid w:val="009F7A69"/>
    <w:rsid w:val="009F7DE7"/>
    <w:rsid w:val="00A00AFC"/>
    <w:rsid w:val="00A01232"/>
    <w:rsid w:val="00A01DFB"/>
    <w:rsid w:val="00A02262"/>
    <w:rsid w:val="00A02725"/>
    <w:rsid w:val="00A03AA1"/>
    <w:rsid w:val="00A03FE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6AE"/>
    <w:rsid w:val="00A3581C"/>
    <w:rsid w:val="00A36619"/>
    <w:rsid w:val="00A36A85"/>
    <w:rsid w:val="00A3736B"/>
    <w:rsid w:val="00A37775"/>
    <w:rsid w:val="00A377A0"/>
    <w:rsid w:val="00A40825"/>
    <w:rsid w:val="00A41A06"/>
    <w:rsid w:val="00A41B02"/>
    <w:rsid w:val="00A42B48"/>
    <w:rsid w:val="00A441AC"/>
    <w:rsid w:val="00A4469A"/>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153"/>
    <w:rsid w:val="00AD445E"/>
    <w:rsid w:val="00AD4752"/>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4EC3"/>
    <w:rsid w:val="00B0656D"/>
    <w:rsid w:val="00B07508"/>
    <w:rsid w:val="00B076A6"/>
    <w:rsid w:val="00B10150"/>
    <w:rsid w:val="00B1135B"/>
    <w:rsid w:val="00B12278"/>
    <w:rsid w:val="00B14251"/>
    <w:rsid w:val="00B1491F"/>
    <w:rsid w:val="00B177A7"/>
    <w:rsid w:val="00B17E07"/>
    <w:rsid w:val="00B2239C"/>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32A3"/>
    <w:rsid w:val="00B53C5E"/>
    <w:rsid w:val="00B54521"/>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9740F"/>
    <w:rsid w:val="00BA0417"/>
    <w:rsid w:val="00BA0508"/>
    <w:rsid w:val="00BA07F7"/>
    <w:rsid w:val="00BA4342"/>
    <w:rsid w:val="00BA5489"/>
    <w:rsid w:val="00BA75D4"/>
    <w:rsid w:val="00BA7D42"/>
    <w:rsid w:val="00BB06D8"/>
    <w:rsid w:val="00BB1EE4"/>
    <w:rsid w:val="00BB20B3"/>
    <w:rsid w:val="00BB3967"/>
    <w:rsid w:val="00BB5889"/>
    <w:rsid w:val="00BB70DE"/>
    <w:rsid w:val="00BB7206"/>
    <w:rsid w:val="00BC0E97"/>
    <w:rsid w:val="00BC4ED3"/>
    <w:rsid w:val="00BC5495"/>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1AB"/>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ABD"/>
    <w:rsid w:val="00C40B1A"/>
    <w:rsid w:val="00C40D95"/>
    <w:rsid w:val="00C423B2"/>
    <w:rsid w:val="00C42556"/>
    <w:rsid w:val="00C42788"/>
    <w:rsid w:val="00C44B9D"/>
    <w:rsid w:val="00C45122"/>
    <w:rsid w:val="00C46E8A"/>
    <w:rsid w:val="00C47257"/>
    <w:rsid w:val="00C47614"/>
    <w:rsid w:val="00C5254A"/>
    <w:rsid w:val="00C52F40"/>
    <w:rsid w:val="00C531CC"/>
    <w:rsid w:val="00C534F2"/>
    <w:rsid w:val="00C53916"/>
    <w:rsid w:val="00C55E93"/>
    <w:rsid w:val="00C56171"/>
    <w:rsid w:val="00C60283"/>
    <w:rsid w:val="00C60D2D"/>
    <w:rsid w:val="00C61568"/>
    <w:rsid w:val="00C61ABD"/>
    <w:rsid w:val="00C62FDA"/>
    <w:rsid w:val="00C6345C"/>
    <w:rsid w:val="00C64540"/>
    <w:rsid w:val="00C647D6"/>
    <w:rsid w:val="00C66E8E"/>
    <w:rsid w:val="00C70327"/>
    <w:rsid w:val="00C7043A"/>
    <w:rsid w:val="00C70A77"/>
    <w:rsid w:val="00C70DF2"/>
    <w:rsid w:val="00C70F85"/>
    <w:rsid w:val="00C7174C"/>
    <w:rsid w:val="00C7179A"/>
    <w:rsid w:val="00C71ECB"/>
    <w:rsid w:val="00C7467A"/>
    <w:rsid w:val="00C7579E"/>
    <w:rsid w:val="00C7733D"/>
    <w:rsid w:val="00C77D1F"/>
    <w:rsid w:val="00C80DD7"/>
    <w:rsid w:val="00C8145A"/>
    <w:rsid w:val="00C820CA"/>
    <w:rsid w:val="00C8215A"/>
    <w:rsid w:val="00C8376D"/>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B1747"/>
    <w:rsid w:val="00CB478C"/>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1F71"/>
    <w:rsid w:val="00D03A2B"/>
    <w:rsid w:val="00D04E2C"/>
    <w:rsid w:val="00D0532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66D9"/>
    <w:rsid w:val="00E37FAD"/>
    <w:rsid w:val="00E407EC"/>
    <w:rsid w:val="00E4085D"/>
    <w:rsid w:val="00E41222"/>
    <w:rsid w:val="00E43647"/>
    <w:rsid w:val="00E436DE"/>
    <w:rsid w:val="00E45D1E"/>
    <w:rsid w:val="00E45EEC"/>
    <w:rsid w:val="00E47BDB"/>
    <w:rsid w:val="00E47C1D"/>
    <w:rsid w:val="00E51FBA"/>
    <w:rsid w:val="00E53347"/>
    <w:rsid w:val="00E53701"/>
    <w:rsid w:val="00E53783"/>
    <w:rsid w:val="00E53DC9"/>
    <w:rsid w:val="00E55705"/>
    <w:rsid w:val="00E55D14"/>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7C9B"/>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A7EEB"/>
    <w:rsid w:val="00EB3404"/>
    <w:rsid w:val="00EB3E06"/>
    <w:rsid w:val="00EB4629"/>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43F0"/>
    <w:rsid w:val="00F744EC"/>
    <w:rsid w:val="00F74675"/>
    <w:rsid w:val="00F74B96"/>
    <w:rsid w:val="00F7538E"/>
    <w:rsid w:val="00F75DFD"/>
    <w:rsid w:val="00F765B1"/>
    <w:rsid w:val="00F76634"/>
    <w:rsid w:val="00F80B51"/>
    <w:rsid w:val="00F81AE5"/>
    <w:rsid w:val="00F81AF3"/>
    <w:rsid w:val="00F82B4A"/>
    <w:rsid w:val="00F83533"/>
    <w:rsid w:val="00F85056"/>
    <w:rsid w:val="00F862D4"/>
    <w:rsid w:val="00F86CFD"/>
    <w:rsid w:val="00F86EDF"/>
    <w:rsid w:val="00F870FA"/>
    <w:rsid w:val="00F87C66"/>
    <w:rsid w:val="00F90C18"/>
    <w:rsid w:val="00F92124"/>
    <w:rsid w:val="00F93AD8"/>
    <w:rsid w:val="00F942B9"/>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 w:type="character" w:styleId="af2">
    <w:name w:val="Strong"/>
    <w:basedOn w:val="a0"/>
    <w:uiPriority w:val="22"/>
    <w:qFormat/>
    <w:rsid w:val="00867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330843">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25426643">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58673215">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842460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1408362">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563177799">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ACDD-4237-4B1D-86C2-4BF83BD8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5</Pages>
  <Words>509</Words>
  <Characters>2903</Characters>
  <Application>Microsoft Office Word</Application>
  <DocSecurity>0</DocSecurity>
  <Lines>24</Lines>
  <Paragraphs>6</Paragraphs>
  <ScaleCrop>false</ScaleCrop>
  <Company>HP Inc.</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唐秀仪</cp:lastModifiedBy>
  <cp:revision>77</cp:revision>
  <cp:lastPrinted>2023-09-03T12:39:00Z</cp:lastPrinted>
  <dcterms:created xsi:type="dcterms:W3CDTF">2024-09-26T11:09:00Z</dcterms:created>
  <dcterms:modified xsi:type="dcterms:W3CDTF">2025-06-10T08:39:00Z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