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C1FC2" w14:textId="705C9358" w:rsidR="001E7594" w:rsidRDefault="00AD3778" w:rsidP="002B0BE7">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sidR="002B0BE7">
        <w:rPr>
          <w:rFonts w:ascii="宋体" w:eastAsia="宋体" w:hAnsi="宋体" w:cs="宋体"/>
          <w:sz w:val="21"/>
          <w:szCs w:val="21"/>
          <w:lang w:val="en-US"/>
        </w:rPr>
        <w:t xml:space="preserve">     </w:t>
      </w:r>
      <w:r>
        <w:rPr>
          <w:rFonts w:ascii="宋体" w:eastAsia="宋体" w:hAnsi="宋体" w:cs="宋体" w:hint="eastAsia"/>
          <w:sz w:val="20"/>
          <w:szCs w:val="20"/>
          <w:lang w:val="en-US"/>
        </w:rPr>
        <w:t>证券简称：国力股份</w:t>
      </w:r>
    </w:p>
    <w:p w14:paraId="7FC78130" w14:textId="77777777" w:rsidR="002B0BE7" w:rsidRPr="002B0BE7" w:rsidRDefault="002B0BE7" w:rsidP="002B0BE7">
      <w:pPr>
        <w:spacing w:line="360" w:lineRule="auto"/>
        <w:rPr>
          <w:lang w:val="en-US"/>
        </w:rPr>
      </w:pPr>
      <w:r w:rsidRPr="002B0BE7">
        <w:rPr>
          <w:rFonts w:ascii="宋体" w:eastAsia="宋体" w:hAnsi="宋体" w:cs="宋体"/>
          <w:sz w:val="20"/>
          <w:szCs w:val="20"/>
          <w:lang w:val="en-US"/>
        </w:rPr>
        <w:t>转债代码：</w:t>
      </w:r>
      <w:r w:rsidRPr="002B0BE7">
        <w:rPr>
          <w:rFonts w:ascii="宋体" w:eastAsia="宋体" w:hAnsi="宋体" w:cs="宋体" w:hint="eastAsia"/>
          <w:sz w:val="20"/>
          <w:szCs w:val="20"/>
          <w:lang w:val="en-US"/>
        </w:rPr>
        <w:t>1</w:t>
      </w:r>
      <w:r w:rsidRPr="002B0BE7">
        <w:rPr>
          <w:rFonts w:ascii="宋体" w:eastAsia="宋体" w:hAnsi="宋体" w:cs="宋体"/>
          <w:sz w:val="20"/>
          <w:szCs w:val="20"/>
          <w:lang w:val="en-US"/>
        </w:rPr>
        <w:t>18035                                                转债简称：国力转债</w:t>
      </w:r>
    </w:p>
    <w:p w14:paraId="782E54D9" w14:textId="77777777" w:rsidR="001E7594" w:rsidRPr="002B0BE7" w:rsidRDefault="001E7594" w:rsidP="002B0BE7">
      <w:pPr>
        <w:spacing w:line="360" w:lineRule="auto"/>
        <w:rPr>
          <w:rFonts w:ascii="宋体" w:eastAsia="宋体" w:hAnsi="宋体" w:cs="宋体"/>
          <w:b/>
          <w:bCs/>
          <w:sz w:val="44"/>
          <w:szCs w:val="44"/>
          <w:lang w:val="en-US"/>
        </w:rPr>
      </w:pPr>
    </w:p>
    <w:p w14:paraId="654E8DFA" w14:textId="77777777" w:rsidR="001E7594" w:rsidRDefault="00AD3778">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2B559AD3" w14:textId="77777777" w:rsidR="001E7594" w:rsidRDefault="00AD3778">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5EE2D49C" w14:textId="029C72F5" w:rsidR="001E7594" w:rsidRDefault="00AD3778" w:rsidP="002B0BE7">
      <w:pPr>
        <w:spacing w:before="51" w:after="32"/>
        <w:ind w:right="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w:t>
      </w:r>
      <w:r w:rsidR="002B0BE7">
        <w:rPr>
          <w:rFonts w:ascii="宋体" w:eastAsia="宋体" w:hAnsi="宋体" w:cs="宋体"/>
          <w:sz w:val="20"/>
          <w:szCs w:val="20"/>
        </w:rPr>
        <w:t>004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1E7594" w14:paraId="199B30D7" w14:textId="77777777">
        <w:trPr>
          <w:trHeight w:val="2801"/>
          <w:jc w:val="center"/>
        </w:trPr>
        <w:tc>
          <w:tcPr>
            <w:tcW w:w="2580" w:type="dxa"/>
          </w:tcPr>
          <w:p w14:paraId="52F2BD0C" w14:textId="77777777" w:rsidR="001E7594" w:rsidRDefault="001E7594">
            <w:pPr>
              <w:pStyle w:val="TableParagraph"/>
              <w:spacing w:before="7"/>
              <w:rPr>
                <w:rFonts w:ascii="宋体" w:eastAsia="宋体" w:hAnsi="宋体" w:cs="宋体"/>
                <w:b/>
                <w:bCs/>
                <w:sz w:val="20"/>
                <w:szCs w:val="20"/>
              </w:rPr>
            </w:pPr>
          </w:p>
          <w:p w14:paraId="69A20752" w14:textId="77777777" w:rsidR="001E7594" w:rsidRDefault="00AD377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584F8A47" w14:textId="77777777" w:rsidR="001E7594" w:rsidRDefault="001E7594">
            <w:pPr>
              <w:pStyle w:val="TableParagraph"/>
              <w:spacing w:before="7"/>
              <w:rPr>
                <w:rFonts w:ascii="宋体" w:eastAsia="宋体" w:hAnsi="宋体" w:cs="宋体"/>
                <w:sz w:val="20"/>
                <w:szCs w:val="20"/>
              </w:rPr>
            </w:pPr>
          </w:p>
          <w:p w14:paraId="4B5E9092" w14:textId="77777777" w:rsidR="001E7594" w:rsidRDefault="00CE3521">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特</w:t>
            </w:r>
            <w:r w:rsidR="00AD3778">
              <w:rPr>
                <w:rFonts w:ascii="宋体" w:eastAsia="宋体" w:hAnsi="宋体" w:cs="宋体" w:hint="eastAsia"/>
                <w:spacing w:val="-3"/>
                <w:sz w:val="20"/>
                <w:szCs w:val="20"/>
              </w:rPr>
              <w:t>定</w:t>
            </w:r>
            <w:r w:rsidR="00AD3778">
              <w:rPr>
                <w:rFonts w:ascii="宋体" w:eastAsia="宋体" w:hAnsi="宋体" w:cs="宋体" w:hint="eastAsia"/>
                <w:sz w:val="20"/>
                <w:szCs w:val="20"/>
              </w:rPr>
              <w:t>对</w:t>
            </w:r>
            <w:r w:rsidR="00AD3778">
              <w:rPr>
                <w:rFonts w:ascii="宋体" w:eastAsia="宋体" w:hAnsi="宋体" w:cs="宋体" w:hint="eastAsia"/>
                <w:spacing w:val="-3"/>
                <w:sz w:val="20"/>
                <w:szCs w:val="20"/>
              </w:rPr>
              <w:t>象</w:t>
            </w:r>
            <w:r w:rsidR="00AD3778">
              <w:rPr>
                <w:rFonts w:ascii="宋体" w:eastAsia="宋体" w:hAnsi="宋体" w:cs="宋体" w:hint="eastAsia"/>
                <w:sz w:val="20"/>
                <w:szCs w:val="20"/>
              </w:rPr>
              <w:t>调研</w:t>
            </w:r>
            <w:r w:rsidR="00AD3778">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分</w:t>
            </w:r>
            <w:r w:rsidR="00AD3778">
              <w:rPr>
                <w:rFonts w:ascii="宋体" w:eastAsia="宋体" w:hAnsi="宋体" w:cs="宋体" w:hint="eastAsia"/>
                <w:spacing w:val="-3"/>
                <w:sz w:val="20"/>
                <w:szCs w:val="20"/>
              </w:rPr>
              <w:t>析</w:t>
            </w:r>
            <w:r w:rsidR="00AD3778">
              <w:rPr>
                <w:rFonts w:ascii="宋体" w:eastAsia="宋体" w:hAnsi="宋体" w:cs="宋体" w:hint="eastAsia"/>
                <w:sz w:val="20"/>
                <w:szCs w:val="20"/>
              </w:rPr>
              <w:t>师</w:t>
            </w:r>
            <w:r w:rsidR="00AD3778">
              <w:rPr>
                <w:rFonts w:ascii="宋体" w:eastAsia="宋体" w:hAnsi="宋体" w:cs="宋体" w:hint="eastAsia"/>
                <w:spacing w:val="-3"/>
                <w:sz w:val="20"/>
                <w:szCs w:val="20"/>
              </w:rPr>
              <w:t>会</w:t>
            </w:r>
            <w:r w:rsidR="00AD3778">
              <w:rPr>
                <w:rFonts w:ascii="宋体" w:eastAsia="宋体" w:hAnsi="宋体" w:cs="宋体" w:hint="eastAsia"/>
                <w:sz w:val="20"/>
                <w:szCs w:val="20"/>
              </w:rPr>
              <w:t>议</w:t>
            </w:r>
          </w:p>
          <w:p w14:paraId="4A6FA047" w14:textId="77777777" w:rsidR="001E7594" w:rsidRDefault="001E7594">
            <w:pPr>
              <w:pStyle w:val="TableParagraph"/>
              <w:spacing w:before="11"/>
              <w:rPr>
                <w:rFonts w:ascii="宋体" w:eastAsia="宋体" w:hAnsi="宋体" w:cs="宋体"/>
                <w:sz w:val="20"/>
                <w:szCs w:val="20"/>
              </w:rPr>
            </w:pPr>
          </w:p>
          <w:p w14:paraId="340FD126" w14:textId="77777777" w:rsidR="001E7594" w:rsidRDefault="00CE3521">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媒</w:t>
            </w:r>
            <w:r w:rsidR="00AD3778">
              <w:rPr>
                <w:rFonts w:ascii="宋体" w:eastAsia="宋体" w:hAnsi="宋体" w:cs="宋体" w:hint="eastAsia"/>
                <w:spacing w:val="-3"/>
                <w:sz w:val="20"/>
                <w:szCs w:val="20"/>
              </w:rPr>
              <w:t>体</w:t>
            </w:r>
            <w:r w:rsidR="00AD3778">
              <w:rPr>
                <w:rFonts w:ascii="宋体" w:eastAsia="宋体" w:hAnsi="宋体" w:cs="宋体" w:hint="eastAsia"/>
                <w:sz w:val="20"/>
                <w:szCs w:val="20"/>
              </w:rPr>
              <w:t>采访</w:t>
            </w:r>
            <w:r w:rsidR="00AD3778">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AD3778">
                  <w:rPr>
                    <w:rFonts w:ascii="Wingdings 2" w:eastAsia="MS Gothic" w:hAnsi="Wingdings 2" w:cs="宋体"/>
                    <w:sz w:val="20"/>
                    <w:szCs w:val="20"/>
                  </w:rPr>
                  <w:t></w:t>
                </w:r>
              </w:sdtContent>
            </w:sdt>
            <w:r w:rsidR="00AD3778">
              <w:rPr>
                <w:rFonts w:ascii="宋体" w:eastAsia="宋体" w:hAnsi="宋体" w:cs="宋体" w:hint="eastAsia"/>
                <w:sz w:val="20"/>
                <w:szCs w:val="20"/>
              </w:rPr>
              <w:t>业</w:t>
            </w:r>
            <w:r w:rsidR="00AD3778">
              <w:rPr>
                <w:rFonts w:ascii="宋体" w:eastAsia="宋体" w:hAnsi="宋体" w:cs="宋体" w:hint="eastAsia"/>
                <w:spacing w:val="-3"/>
                <w:sz w:val="20"/>
                <w:szCs w:val="20"/>
              </w:rPr>
              <w:t>绩</w:t>
            </w:r>
            <w:r w:rsidR="00AD3778">
              <w:rPr>
                <w:rFonts w:ascii="宋体" w:eastAsia="宋体" w:hAnsi="宋体" w:cs="宋体" w:hint="eastAsia"/>
                <w:sz w:val="20"/>
                <w:szCs w:val="20"/>
              </w:rPr>
              <w:t>说</w:t>
            </w:r>
            <w:r w:rsidR="00AD3778">
              <w:rPr>
                <w:rFonts w:ascii="宋体" w:eastAsia="宋体" w:hAnsi="宋体" w:cs="宋体" w:hint="eastAsia"/>
                <w:spacing w:val="-3"/>
                <w:sz w:val="20"/>
                <w:szCs w:val="20"/>
              </w:rPr>
              <w:t>明</w:t>
            </w:r>
            <w:r w:rsidR="00AD3778">
              <w:rPr>
                <w:rFonts w:ascii="宋体" w:eastAsia="宋体" w:hAnsi="宋体" w:cs="宋体" w:hint="eastAsia"/>
                <w:sz w:val="20"/>
                <w:szCs w:val="20"/>
              </w:rPr>
              <w:t>会</w:t>
            </w:r>
          </w:p>
          <w:p w14:paraId="0DF9A39B" w14:textId="77777777" w:rsidR="001E7594" w:rsidRDefault="001E7594">
            <w:pPr>
              <w:pStyle w:val="TableParagraph"/>
              <w:spacing w:before="8"/>
              <w:rPr>
                <w:rFonts w:ascii="宋体" w:eastAsia="宋体" w:hAnsi="宋体" w:cs="宋体"/>
                <w:sz w:val="20"/>
                <w:szCs w:val="20"/>
              </w:rPr>
            </w:pPr>
          </w:p>
          <w:p w14:paraId="47930EAC" w14:textId="77777777" w:rsidR="001E7594" w:rsidRDefault="00CE3521">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新</w:t>
            </w:r>
            <w:r w:rsidR="00AD3778">
              <w:rPr>
                <w:rFonts w:ascii="宋体" w:eastAsia="宋体" w:hAnsi="宋体" w:cs="宋体" w:hint="eastAsia"/>
                <w:spacing w:val="-3"/>
                <w:sz w:val="20"/>
                <w:szCs w:val="20"/>
              </w:rPr>
              <w:t>闻</w:t>
            </w:r>
            <w:r w:rsidR="00AD3778">
              <w:rPr>
                <w:rFonts w:ascii="宋体" w:eastAsia="宋体" w:hAnsi="宋体" w:cs="宋体" w:hint="eastAsia"/>
                <w:sz w:val="20"/>
                <w:szCs w:val="20"/>
              </w:rPr>
              <w:t>发</w:t>
            </w:r>
            <w:r w:rsidR="00AD3778">
              <w:rPr>
                <w:rFonts w:ascii="宋体" w:eastAsia="宋体" w:hAnsi="宋体" w:cs="宋体" w:hint="eastAsia"/>
                <w:spacing w:val="-3"/>
                <w:sz w:val="20"/>
                <w:szCs w:val="20"/>
              </w:rPr>
              <w:t>布</w:t>
            </w:r>
            <w:r w:rsidR="00AD3778">
              <w:rPr>
                <w:rFonts w:ascii="宋体" w:eastAsia="宋体" w:hAnsi="宋体" w:cs="宋体" w:hint="eastAsia"/>
                <w:sz w:val="20"/>
                <w:szCs w:val="20"/>
              </w:rPr>
              <w:t>会</w:t>
            </w:r>
            <w:r w:rsidR="00AD3778">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路</w:t>
            </w:r>
            <w:r w:rsidR="00AD3778">
              <w:rPr>
                <w:rFonts w:ascii="宋体" w:eastAsia="宋体" w:hAnsi="宋体" w:cs="宋体" w:hint="eastAsia"/>
                <w:spacing w:val="-3"/>
                <w:sz w:val="20"/>
                <w:szCs w:val="20"/>
              </w:rPr>
              <w:t>演</w:t>
            </w:r>
            <w:r w:rsidR="00AD3778">
              <w:rPr>
                <w:rFonts w:ascii="宋体" w:eastAsia="宋体" w:hAnsi="宋体" w:cs="宋体" w:hint="eastAsia"/>
                <w:sz w:val="20"/>
                <w:szCs w:val="20"/>
              </w:rPr>
              <w:t>活动</w:t>
            </w:r>
          </w:p>
          <w:p w14:paraId="1A4E7F45" w14:textId="77777777" w:rsidR="001E7594" w:rsidRDefault="001E7594">
            <w:pPr>
              <w:pStyle w:val="TableParagraph"/>
              <w:spacing w:before="8"/>
              <w:rPr>
                <w:rFonts w:ascii="宋体" w:eastAsia="宋体" w:hAnsi="宋体" w:cs="宋体"/>
                <w:sz w:val="20"/>
                <w:szCs w:val="20"/>
              </w:rPr>
            </w:pPr>
          </w:p>
          <w:p w14:paraId="66FA089E" w14:textId="77777777" w:rsidR="001E7594" w:rsidRDefault="00CE3521">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现场参观</w:t>
            </w:r>
          </w:p>
          <w:p w14:paraId="0FE506B9" w14:textId="77777777" w:rsidR="001E7594" w:rsidRDefault="001E7594">
            <w:pPr>
              <w:pStyle w:val="TableParagraph"/>
              <w:spacing w:before="11"/>
              <w:rPr>
                <w:rFonts w:ascii="宋体" w:eastAsia="宋体" w:hAnsi="宋体" w:cs="宋体"/>
                <w:sz w:val="20"/>
                <w:szCs w:val="20"/>
              </w:rPr>
            </w:pPr>
          </w:p>
          <w:p w14:paraId="2C1FE46F" w14:textId="77777777" w:rsidR="001E7594" w:rsidRDefault="00CE3521">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AD3778">
                  <w:rPr>
                    <w:rFonts w:ascii="MS Gothic" w:eastAsia="MS Gothic" w:hAnsi="MS Gothic" w:cs="宋体" w:hint="eastAsia"/>
                    <w:sz w:val="20"/>
                    <w:szCs w:val="20"/>
                  </w:rPr>
                  <w:t>☐</w:t>
                </w:r>
              </w:sdtContent>
            </w:sdt>
            <w:r w:rsidR="00AD3778">
              <w:rPr>
                <w:rFonts w:ascii="宋体" w:eastAsia="宋体" w:hAnsi="宋体" w:cs="宋体" w:hint="eastAsia"/>
                <w:sz w:val="20"/>
                <w:szCs w:val="20"/>
              </w:rPr>
              <w:t>其他（</w:t>
            </w:r>
            <w:r w:rsidR="00AD3778">
              <w:rPr>
                <w:rFonts w:ascii="宋体" w:eastAsia="宋体" w:hAnsi="宋体" w:cs="宋体" w:hint="eastAsia"/>
                <w:sz w:val="20"/>
                <w:szCs w:val="20"/>
                <w:u w:val="single"/>
              </w:rPr>
              <w:t>请文字说明其他活动内容）</w:t>
            </w:r>
          </w:p>
        </w:tc>
      </w:tr>
      <w:tr w:rsidR="001E7594" w14:paraId="5B86C4B9" w14:textId="77777777">
        <w:trPr>
          <w:trHeight w:val="1120"/>
          <w:jc w:val="center"/>
        </w:trPr>
        <w:tc>
          <w:tcPr>
            <w:tcW w:w="2580" w:type="dxa"/>
            <w:vAlign w:val="center"/>
          </w:tcPr>
          <w:p w14:paraId="74639FC0" w14:textId="77777777" w:rsidR="001E7594" w:rsidRDefault="00AD3778">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5007A1A" w14:textId="77777777" w:rsidR="001E7594" w:rsidRDefault="00AD3778">
            <w:pPr>
              <w:pStyle w:val="TableParagraph"/>
              <w:spacing w:before="100" w:beforeAutospacing="1" w:line="360" w:lineRule="auto"/>
              <w:rPr>
                <w:rFonts w:asciiTheme="minorEastAsia" w:eastAsiaTheme="minorEastAsia" w:hAnsiTheme="minorEastAsia" w:cs="宋体"/>
                <w:sz w:val="20"/>
                <w:szCs w:val="20"/>
                <w:lang w:val="en-US"/>
              </w:rPr>
            </w:pPr>
            <w:r>
              <w:rPr>
                <w:rFonts w:ascii="宋体" w:eastAsia="宋体" w:hAnsi="宋体" w:cs="宋体" w:hint="eastAsia"/>
                <w:sz w:val="20"/>
                <w:szCs w:val="20"/>
                <w:lang w:val="en-US"/>
              </w:rPr>
              <w:t>线上参与公司2024年度暨2025年第一季度业绩说明会的投资者</w:t>
            </w:r>
          </w:p>
        </w:tc>
      </w:tr>
      <w:tr w:rsidR="001E7594" w14:paraId="21C71FE0" w14:textId="77777777">
        <w:trPr>
          <w:trHeight w:val="558"/>
          <w:jc w:val="center"/>
        </w:trPr>
        <w:tc>
          <w:tcPr>
            <w:tcW w:w="2580" w:type="dxa"/>
            <w:vAlign w:val="center"/>
          </w:tcPr>
          <w:p w14:paraId="5673903E" w14:textId="77777777" w:rsidR="001E7594" w:rsidRDefault="00AD3778">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14B4D9A5" w14:textId="77777777" w:rsidR="001E7594" w:rsidRDefault="00AD3778">
            <w:pPr>
              <w:spacing w:before="100" w:beforeAutospacing="1" w:line="360" w:lineRule="auto"/>
              <w:rPr>
                <w:sz w:val="20"/>
                <w:szCs w:val="20"/>
              </w:rPr>
            </w:pPr>
            <w:r>
              <w:rPr>
                <w:rFonts w:asciiTheme="minorEastAsia" w:eastAsiaTheme="minorEastAsia" w:hAnsiTheme="minorEastAsia" w:cstheme="minorEastAsia" w:hint="eastAsia"/>
                <w:sz w:val="20"/>
                <w:szCs w:val="20"/>
              </w:rPr>
              <w:t>2025年06月11日 15:00-16:30</w:t>
            </w:r>
          </w:p>
        </w:tc>
      </w:tr>
      <w:tr w:rsidR="001E7594" w14:paraId="40D3BBD3" w14:textId="77777777">
        <w:trPr>
          <w:trHeight w:val="561"/>
          <w:jc w:val="center"/>
        </w:trPr>
        <w:tc>
          <w:tcPr>
            <w:tcW w:w="2580" w:type="dxa"/>
            <w:vAlign w:val="center"/>
          </w:tcPr>
          <w:p w14:paraId="6F642AEF" w14:textId="77777777" w:rsidR="001E7594" w:rsidRDefault="00AD3778">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0DEEB172" w14:textId="77777777" w:rsidR="001E7594" w:rsidRDefault="00AD3778">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1E7594" w14:paraId="2A2D4ED5" w14:textId="77777777">
        <w:trPr>
          <w:trHeight w:val="558"/>
          <w:jc w:val="center"/>
        </w:trPr>
        <w:tc>
          <w:tcPr>
            <w:tcW w:w="2580" w:type="dxa"/>
            <w:vAlign w:val="center"/>
          </w:tcPr>
          <w:p w14:paraId="5EB77195" w14:textId="77777777" w:rsidR="001E7594" w:rsidRDefault="00AD377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7BC0E43D" w14:textId="77777777" w:rsidR="001E7594" w:rsidRDefault="00AD3778">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 尹剑平</w:t>
            </w:r>
            <w:r>
              <w:rPr>
                <w:rFonts w:ascii="宋体" w:eastAsia="宋体" w:hAnsi="宋体" w:cs="宋体"/>
                <w:sz w:val="20"/>
                <w:szCs w:val="20"/>
              </w:rPr>
              <w:br/>
              <w:t>总经理 黄浩</w:t>
            </w:r>
            <w:r>
              <w:rPr>
                <w:rFonts w:ascii="宋体" w:eastAsia="宋体" w:hAnsi="宋体" w:cs="宋体"/>
                <w:sz w:val="20"/>
                <w:szCs w:val="20"/>
              </w:rPr>
              <w:br/>
              <w:t>董事会秘书 张雪梅</w:t>
            </w:r>
            <w:r>
              <w:rPr>
                <w:rFonts w:ascii="宋体" w:eastAsia="宋体" w:hAnsi="宋体" w:cs="宋体"/>
                <w:sz w:val="20"/>
                <w:szCs w:val="20"/>
              </w:rPr>
              <w:br/>
              <w:t>财务总监 李平</w:t>
            </w:r>
            <w:r>
              <w:rPr>
                <w:rFonts w:ascii="宋体" w:eastAsia="宋体" w:hAnsi="宋体" w:cs="宋体"/>
                <w:sz w:val="20"/>
                <w:szCs w:val="20"/>
              </w:rPr>
              <w:br/>
              <w:t>独立董事 陆利康</w:t>
            </w:r>
          </w:p>
        </w:tc>
      </w:tr>
      <w:tr w:rsidR="001E7594" w14:paraId="1A44B173" w14:textId="77777777">
        <w:trPr>
          <w:trHeight w:val="2800"/>
          <w:jc w:val="center"/>
        </w:trPr>
        <w:tc>
          <w:tcPr>
            <w:tcW w:w="2580" w:type="dxa"/>
          </w:tcPr>
          <w:p w14:paraId="44F6835A" w14:textId="77777777" w:rsidR="001E7594" w:rsidRDefault="001E7594">
            <w:pPr>
              <w:pStyle w:val="TableParagraph"/>
              <w:rPr>
                <w:rFonts w:ascii="宋体" w:eastAsia="宋体" w:hAnsi="宋体" w:cs="宋体"/>
                <w:b/>
                <w:bCs/>
                <w:sz w:val="20"/>
                <w:szCs w:val="20"/>
              </w:rPr>
            </w:pPr>
          </w:p>
          <w:p w14:paraId="29B2122C" w14:textId="77777777" w:rsidR="001E7594" w:rsidRDefault="001E7594">
            <w:pPr>
              <w:pStyle w:val="TableParagraph"/>
              <w:rPr>
                <w:rFonts w:ascii="宋体" w:eastAsia="宋体" w:hAnsi="宋体" w:cs="宋体"/>
                <w:b/>
                <w:bCs/>
                <w:sz w:val="20"/>
                <w:szCs w:val="20"/>
              </w:rPr>
            </w:pPr>
          </w:p>
          <w:p w14:paraId="2E51E10F" w14:textId="77777777" w:rsidR="001E7594" w:rsidRDefault="001E7594">
            <w:pPr>
              <w:pStyle w:val="TableParagraph"/>
              <w:spacing w:before="5"/>
              <w:rPr>
                <w:rFonts w:ascii="宋体" w:eastAsia="宋体" w:hAnsi="宋体" w:cs="宋体"/>
                <w:b/>
                <w:bCs/>
                <w:sz w:val="20"/>
                <w:szCs w:val="20"/>
              </w:rPr>
            </w:pPr>
          </w:p>
          <w:p w14:paraId="615C4DF7" w14:textId="77777777" w:rsidR="001E7594" w:rsidRDefault="00AD3778">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236AB613" w14:textId="390D2880" w:rsidR="001E7594" w:rsidRDefault="00AD3778">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1.请问公司的研发投入主要用于哪些项目？</w:t>
            </w:r>
            <w:r>
              <w:rPr>
                <w:rFonts w:ascii="宋体" w:eastAsia="宋体" w:hAnsi="宋体" w:cs="宋体"/>
                <w:b/>
                <w:sz w:val="20"/>
              </w:rPr>
              <w:br/>
            </w:r>
            <w:r>
              <w:rPr>
                <w:rFonts w:ascii="宋体" w:eastAsia="宋体" w:hAnsi="宋体" w:cs="宋体"/>
                <w:sz w:val="20"/>
              </w:rPr>
              <w:t xml:space="preserve">    答:尊敬的投资者，您好。公司的研发投入主要用于新技术、新工艺和新设备的研究开发及引进，向产品高功率、高效率、高频率、超宽带、小型化、长脉宽、高可靠、长寿命的方向发展。公司的研发投入主要应用在航空航天、半导体、大科学、新能源领域的项目。未来，公司将继续加大基础研发投入，密切关注市场需求和前沿技术的发展，多梯次多路径地驱动新技术产业化，以提高技术和产品的综合竞争力。感谢您的关注。</w:t>
            </w:r>
            <w:r>
              <w:rPr>
                <w:rFonts w:ascii="宋体" w:eastAsia="宋体" w:hAnsi="宋体" w:cs="宋体"/>
                <w:sz w:val="20"/>
              </w:rPr>
              <w:br/>
            </w:r>
            <w:r>
              <w:rPr>
                <w:rFonts w:ascii="宋体" w:eastAsia="宋体" w:hAnsi="宋体" w:cs="宋体"/>
                <w:b/>
                <w:sz w:val="20"/>
              </w:rPr>
              <w:lastRenderedPageBreak/>
              <w:t xml:space="preserve">    2.请问公司研发的回旋管，在核聚变领域的作用是什么？公司研发回旋管有什么优势，技术上和速调管区别大吗？</w:t>
            </w:r>
            <w:r>
              <w:rPr>
                <w:rFonts w:ascii="宋体" w:eastAsia="宋体" w:hAnsi="宋体" w:cs="宋体"/>
                <w:b/>
                <w:sz w:val="20"/>
              </w:rPr>
              <w:br/>
            </w:r>
            <w:r>
              <w:rPr>
                <w:rFonts w:ascii="宋体" w:eastAsia="宋体" w:hAnsi="宋体" w:cs="宋体"/>
                <w:sz w:val="20"/>
              </w:rPr>
              <w:t xml:space="preserve">    答:尊敬的投资者，您好。回旋管的工作原理基于电子回旋共振。电子在超导磁场中高速回旋，与谐振腔电磁场相互作用，生成大功率微波。这些微波被导向等离子体进行加热。公司在回旋管方面拥有相关产品的技术储备，且正在推进与相关单位联合研制系列产品。公司的优势在于其在电子真空技术和产品的研发和探索上有着丰富的经验和技术基础，依托电子真空技术平台，建立了一系列的自主研发的核心技术，这些技术涵盖了电子真空产品制造的主要环节。感谢您的关注。</w:t>
            </w:r>
            <w:r>
              <w:rPr>
                <w:rFonts w:ascii="宋体" w:eastAsia="宋体" w:hAnsi="宋体" w:cs="宋体"/>
                <w:sz w:val="20"/>
              </w:rPr>
              <w:br/>
            </w:r>
            <w:r>
              <w:rPr>
                <w:rFonts w:ascii="宋体" w:eastAsia="宋体" w:hAnsi="宋体" w:cs="宋体"/>
                <w:b/>
                <w:sz w:val="20"/>
              </w:rPr>
              <w:t xml:space="preserve">    3.公司实控人及董监高的股份现均为流通股，请问近期有减持计划吗</w:t>
            </w:r>
            <w:r>
              <w:rPr>
                <w:rFonts w:ascii="宋体" w:eastAsia="宋体" w:hAnsi="宋体" w:cs="宋体"/>
                <w:b/>
                <w:sz w:val="20"/>
              </w:rPr>
              <w:br/>
            </w:r>
            <w:r>
              <w:rPr>
                <w:rFonts w:ascii="宋体" w:eastAsia="宋体" w:hAnsi="宋体" w:cs="宋体"/>
                <w:sz w:val="20"/>
              </w:rPr>
              <w:t xml:space="preserve">    答:尊敬的投资者，您好。公司严格遵守中国证监会及上海证券交易所关于股份减持的相关规定，截至目前，公司未收到实际控制人、控股股东及董监高人员关于未来三个月内拟减持公司股份的正式通知或计划。根据监管要求，若相关主体后续有减持安排，公司将严格按照《上市公司股东、董监高减持股份的若干规定》《上海证券交易所科创板股票上市规则》等法律法规及时履行信息披露义务，确保减持行为合法合规，并充分保障中小投资者权益。公司将持续关注相关股东的持股变动情况，并依法依规进行信息披露，请投资者以公司在法定信息披露媒体发布的公告为准。感谢您的关注。</w:t>
            </w:r>
            <w:r>
              <w:rPr>
                <w:rFonts w:ascii="宋体" w:eastAsia="宋体" w:hAnsi="宋体" w:cs="宋体"/>
                <w:sz w:val="20"/>
              </w:rPr>
              <w:br/>
            </w:r>
            <w:r>
              <w:rPr>
                <w:rFonts w:ascii="宋体" w:eastAsia="宋体" w:hAnsi="宋体" w:cs="宋体"/>
                <w:b/>
                <w:sz w:val="20"/>
              </w:rPr>
              <w:t xml:space="preserve">    4.公司是否有技术升级或客户结构优化计划？</w:t>
            </w:r>
            <w:r>
              <w:rPr>
                <w:rFonts w:ascii="宋体" w:eastAsia="宋体" w:hAnsi="宋体" w:cs="宋体"/>
                <w:b/>
                <w:sz w:val="20"/>
              </w:rPr>
              <w:br/>
            </w:r>
            <w:r>
              <w:rPr>
                <w:rFonts w:ascii="宋体" w:eastAsia="宋体" w:hAnsi="宋体" w:cs="宋体"/>
                <w:sz w:val="20"/>
              </w:rPr>
              <w:t xml:space="preserve">    答:尊敬的投资者，您好。公司始终将技术创新和客户优化作为公司发展的重要战略，在技术升级方面，公司持续加大研发投入，重点推进电真空器件在高压、高频及大功率领域的技术突破，通过与中科院、北京大学、清华大学、成都电子科技大学等顶尖科研机构的产学研合作，加速新一代产品的迭代升级，特别是在航空航天、半导体设备、新能源及大科学装置等高端应用领域的技术储备；在客户结构优化方面，公司正逐步提升在全球头部半导体设备厂商、新能源龙头企业的供应份额，同时积极拓展可控核聚变、低空经济等新兴领域的战略客户，推动产品结构和客户质量的双向提升，为公司长期可持续发展奠定坚实基础。感谢您的关注。</w:t>
            </w:r>
            <w:r>
              <w:rPr>
                <w:rFonts w:ascii="宋体" w:eastAsia="宋体" w:hAnsi="宋体" w:cs="宋体"/>
                <w:sz w:val="20"/>
              </w:rPr>
              <w:br/>
            </w:r>
            <w:r>
              <w:rPr>
                <w:rFonts w:ascii="宋体" w:eastAsia="宋体" w:hAnsi="宋体" w:cs="宋体"/>
                <w:b/>
                <w:sz w:val="20"/>
              </w:rPr>
              <w:t xml:space="preserve">    5.如何平衡分红与未来发展资金需求？谢谢</w:t>
            </w:r>
            <w:r w:rsidR="008801BB">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答:尊敬的投资者，您好。公司在制定分红政策时综合考虑了</w:t>
            </w:r>
            <w:r>
              <w:rPr>
                <w:rFonts w:ascii="宋体" w:eastAsia="宋体" w:hAnsi="宋体" w:cs="宋体"/>
                <w:sz w:val="20"/>
              </w:rPr>
              <w:lastRenderedPageBreak/>
              <w:t>所处行业特点、发展阶段、自身经营模式、盈利水平以及是否有重大资金支出安排等因素，并按照《公司章程》规定的程序进行现金分红。这样的政策既保证了对投资者的合理回报，又兼顾了公司未来的发展资金需求。感谢您的关注。</w:t>
            </w:r>
            <w:r>
              <w:rPr>
                <w:rFonts w:ascii="宋体" w:eastAsia="宋体" w:hAnsi="宋体" w:cs="宋体"/>
                <w:sz w:val="20"/>
              </w:rPr>
              <w:br/>
            </w:r>
            <w:r>
              <w:rPr>
                <w:rFonts w:ascii="宋体" w:eastAsia="宋体" w:hAnsi="宋体" w:cs="宋体"/>
                <w:b/>
                <w:sz w:val="20"/>
              </w:rPr>
              <w:t xml:space="preserve">    6.您好，公司在半导体设备领域未来的市场空间和竞争优势如何？</w:t>
            </w:r>
            <w:r>
              <w:rPr>
                <w:rFonts w:ascii="宋体" w:eastAsia="宋体" w:hAnsi="宋体" w:cs="宋体"/>
                <w:b/>
                <w:sz w:val="20"/>
              </w:rPr>
              <w:br/>
            </w:r>
            <w:r>
              <w:rPr>
                <w:rFonts w:ascii="宋体" w:eastAsia="宋体" w:hAnsi="宋体" w:cs="宋体"/>
                <w:sz w:val="20"/>
              </w:rPr>
              <w:t xml:space="preserve">    答:尊敬的投资者，您好。公司在半导体设备领域具备显著的技术先发优势和国产替代潜力，随着全球半导体产业向中国转移及国内设备自主化进程加速，公司的真空电容器已成功进入国内外头部半导体设备厂商供应链，特别是在刻蚀、薄膜沉积等关键设备环节实现了技术突破；公司依托六十余年电真空技术积累，产品在耐高压、长寿命等性能指标上可比肩国际龙头，叠加快速响应的本土化服务优势，未来在半导体设备零部件的国产化替代中将持续受益；同时，公司正积极推进第三代半导体设备配套领域，进一步扩大在半导体设备领域的市场份额，未来随着国内晶圆厂扩产潮及设备自主化率提升，公司该业务板块有望迎来更广阔的增长空间。感谢您的关注。</w:t>
            </w:r>
            <w:r>
              <w:rPr>
                <w:rFonts w:ascii="宋体" w:eastAsia="宋体" w:hAnsi="宋体" w:cs="宋体"/>
                <w:sz w:val="20"/>
              </w:rPr>
              <w:br/>
            </w:r>
            <w:r>
              <w:rPr>
                <w:rFonts w:ascii="宋体" w:eastAsia="宋体" w:hAnsi="宋体" w:cs="宋体"/>
                <w:b/>
                <w:sz w:val="20"/>
              </w:rPr>
              <w:t xml:space="preserve">    7.请问交流接触器技术研发目前进度如何？</w:t>
            </w:r>
            <w:r>
              <w:rPr>
                <w:rFonts w:ascii="宋体" w:eastAsia="宋体" w:hAnsi="宋体" w:cs="宋体"/>
                <w:b/>
                <w:sz w:val="20"/>
              </w:rPr>
              <w:br/>
            </w:r>
            <w:r>
              <w:rPr>
                <w:rFonts w:ascii="宋体" w:eastAsia="宋体" w:hAnsi="宋体" w:cs="宋体"/>
                <w:sz w:val="20"/>
              </w:rPr>
              <w:t xml:space="preserve">    答:尊敬的投资者，您好。公司在交流接触器技术研发方面持续取得突破，目前已形成系列化产品并实现批量供货，特别是在光伏、风电及储能领域。此外，公司可转债募投项目“风光储及柔直输配电用交流接触器生产项目”正在建设当中，建成后可进一步满足高压大功率场景需求，如柔直输配电、储能变流器等。在技术层面，公司通过优化灭弧性能、提升耐压等级及小型化设计，增强产品竞争力，同时针对1500V高压储能系统等新兴需求进行专项研发，以适配行业高电压趋势。未来，随着新能源及智能电网建设加速，公司交流接触器业务有望持续放量。感谢您的关注。</w:t>
            </w:r>
            <w:r>
              <w:rPr>
                <w:rFonts w:ascii="宋体" w:eastAsia="宋体" w:hAnsi="宋体" w:cs="宋体"/>
                <w:sz w:val="20"/>
              </w:rPr>
              <w:br/>
            </w:r>
            <w:r>
              <w:rPr>
                <w:rFonts w:ascii="宋体" w:eastAsia="宋体" w:hAnsi="宋体" w:cs="宋体"/>
                <w:b/>
                <w:sz w:val="20"/>
              </w:rPr>
              <w:t xml:space="preserve">    8.公司未来是否有拓展国际市场的策略？</w:t>
            </w:r>
            <w:r>
              <w:rPr>
                <w:rFonts w:ascii="宋体" w:eastAsia="宋体" w:hAnsi="宋体" w:cs="宋体"/>
                <w:b/>
                <w:sz w:val="20"/>
              </w:rPr>
              <w:br/>
            </w:r>
            <w:r>
              <w:rPr>
                <w:rFonts w:ascii="宋体" w:eastAsia="宋体" w:hAnsi="宋体" w:cs="宋体"/>
                <w:sz w:val="20"/>
              </w:rPr>
              <w:t xml:space="preserve">    答:尊敬的投资者，您好。公司十分重视海外市场，海外市场是公司未来业务发展的重要增长点。目前公司已经打通以技术授权与核心器件出口的方式与海外客户展开合作的新模式。未来，公司也将进一步提供非标定制服务，丰富海外出口的产品种类，拓展多元化出海布局，以满足客户更具体、更个性化的需求。随着公司业务辐射到国际市场，公司将聚焦优势行业，实施关联性业务拓展，并提供全场景方案定制服务，致力于打造一站式系统解决方案，进</w:t>
            </w:r>
            <w:r>
              <w:rPr>
                <w:rFonts w:ascii="宋体" w:eastAsia="宋体" w:hAnsi="宋体" w:cs="宋体"/>
                <w:sz w:val="20"/>
              </w:rPr>
              <w:lastRenderedPageBreak/>
              <w:t>一步提升海外市场份额及品牌影响力。未来，公司将继续以技术为驱动，占领更广阔的国际市场，将更多创新成果播撒至全球，实现海外市场的深度拓展与增长。感谢您的关注。</w:t>
            </w:r>
            <w:r>
              <w:rPr>
                <w:rFonts w:ascii="宋体" w:eastAsia="宋体" w:hAnsi="宋体" w:cs="宋体"/>
                <w:sz w:val="20"/>
              </w:rPr>
              <w:br/>
            </w:r>
            <w:r>
              <w:rPr>
                <w:rFonts w:ascii="宋体" w:eastAsia="宋体" w:hAnsi="宋体" w:cs="宋体"/>
                <w:b/>
                <w:sz w:val="20"/>
              </w:rPr>
              <w:t xml:space="preserve">    9.公司的专利主要集中在哪些技术领域？</w:t>
            </w:r>
            <w:r>
              <w:rPr>
                <w:rFonts w:ascii="宋体" w:eastAsia="宋体" w:hAnsi="宋体" w:cs="宋体"/>
                <w:b/>
                <w:sz w:val="20"/>
              </w:rPr>
              <w:br/>
            </w:r>
            <w:r>
              <w:rPr>
                <w:rFonts w:ascii="宋体" w:eastAsia="宋体" w:hAnsi="宋体" w:cs="宋体"/>
                <w:sz w:val="20"/>
              </w:rPr>
              <w:t xml:space="preserve">    答:尊敬的投资者，您好。公司的专利技术主要集中在大功率电真空器件领域，重点覆盖高压真空电容器、真空继电器、真空有源器件等方向，其中在真空灭弧技术、高功率微波传输、金属陶瓷封装等关键技术环节已形成完整专利壁垒，特别是在半导体设备用真空电容器、新能源领域的大电流开关装置等方面拥有多项发明专利，这些专利技术不仅支撑了公司现有产品在航空航天、半导体设备等高端市场的竞争优势，也为核聚变装置配套器件、大科学装置专用电源等前沿领域的研发提供了技术储备，目前公司正持续加强在第四代半导体设备配套器件、智能电网用新型真空开关等方向的专利布局，通过产学研合作不断强化核心技术护城河。感谢您的关注。</w:t>
            </w:r>
            <w:r>
              <w:rPr>
                <w:rFonts w:ascii="宋体" w:eastAsia="宋体" w:hAnsi="宋体" w:cs="宋体"/>
                <w:sz w:val="20"/>
              </w:rPr>
              <w:br/>
            </w:r>
            <w:r>
              <w:rPr>
                <w:rFonts w:ascii="宋体" w:eastAsia="宋体" w:hAnsi="宋体" w:cs="宋体"/>
                <w:b/>
                <w:sz w:val="20"/>
              </w:rPr>
              <w:t xml:space="preserve">    10.如果cepc项目一期规划不能顺利进入国家十五五规划，那么公司的有源器件大功率速调管业务这2，3年增长就会非常缓慢，新能源业务净利润率很低，就会导致公司业绩增长不及市场预期，公司在有源器件这块能在短期做出弥补大科学装置不能顺利进入十五五规划影响业绩增速的其他应用吗，谢谢</w:t>
            </w:r>
            <w:r w:rsidR="008801BB">
              <w:rPr>
                <w:rFonts w:ascii="宋体" w:eastAsia="宋体" w:hAnsi="宋体" w:cs="宋体"/>
                <w:b/>
                <w:sz w:val="20"/>
              </w:rPr>
              <w:t>。</w:t>
            </w:r>
            <w:bookmarkStart w:id="0" w:name="_GoBack"/>
            <w:bookmarkEnd w:id="0"/>
            <w:r>
              <w:rPr>
                <w:rFonts w:ascii="宋体" w:eastAsia="宋体" w:hAnsi="宋体" w:cs="宋体"/>
                <w:b/>
                <w:sz w:val="20"/>
              </w:rPr>
              <w:br/>
            </w:r>
            <w:r>
              <w:rPr>
                <w:rFonts w:ascii="宋体" w:eastAsia="宋体" w:hAnsi="宋体" w:cs="宋体"/>
                <w:sz w:val="20"/>
              </w:rPr>
              <w:t xml:space="preserve">    答:尊敬的投资者，您好。公司在有源器件大功率速调管业务方面的增长并不完全依赖于单一项目如CEPC项目，公司在电真空器件领域已积累了丰富的经验和技术基础，拥有一系列自主研发的核心技术。公司在大科学工程领域，已经在一系列真空有源器件上实现了进口替代，并且在速调管方面，公司是国内唯一有能力研发、生产和制造P波段大功率连续波和脉冲型速调管的厂家，目前已为各大科学装置研发制造了多种类型的P波段大功率速调管且均通过了专家验收，技术指标达到了国际领先水平。与此同时，公司在半导体设备制造、新能源、航空航天等众多领域均有广泛应用和布局。综上所述，公司可以通过多元化的市场布局和技术积累实现业绩增长。感谢您的关注。</w:t>
            </w:r>
            <w:r>
              <w:rPr>
                <w:rFonts w:ascii="宋体" w:eastAsia="宋体" w:hAnsi="宋体" w:cs="宋体"/>
                <w:sz w:val="20"/>
              </w:rPr>
              <w:br/>
            </w:r>
            <w:r>
              <w:rPr>
                <w:rFonts w:ascii="宋体" w:eastAsia="宋体" w:hAnsi="宋体" w:cs="宋体"/>
                <w:b/>
                <w:sz w:val="20"/>
              </w:rPr>
              <w:t xml:space="preserve">    11.海外子公司新加坡国力的业务布局和战略定位是什么？</w:t>
            </w:r>
            <w:r>
              <w:rPr>
                <w:rFonts w:ascii="宋体" w:eastAsia="宋体" w:hAnsi="宋体" w:cs="宋体"/>
                <w:b/>
                <w:sz w:val="20"/>
              </w:rPr>
              <w:br/>
            </w:r>
            <w:r>
              <w:rPr>
                <w:rFonts w:ascii="宋体" w:eastAsia="宋体" w:hAnsi="宋体" w:cs="宋体"/>
                <w:sz w:val="20"/>
              </w:rPr>
              <w:t xml:space="preserve">    答:尊敬的投资者，您好。新加坡国力作为公司国际化战略的重要平台，主要聚焦海外高端电子真空器件市场的业务拓展，重点布局半导体设备、新能源等领域，通过发挥新加坡的区位优势和自</w:t>
            </w:r>
            <w:r>
              <w:rPr>
                <w:rFonts w:ascii="宋体" w:eastAsia="宋体" w:hAnsi="宋体" w:cs="宋体"/>
                <w:sz w:val="20"/>
              </w:rPr>
              <w:lastRenderedPageBreak/>
              <w:t>由贸易政策，构建覆盖研发、销售及技术服务的全链条运营体系；在战略定位上，新加坡国力既是公司对接国际头部客户的前沿窗口，又是辐射"一带一路"市场的区域枢纽，通过本地化团队为客户提供快速技术支持，同时依托新加坡成熟的金融环境开展国际业务，助力公司实现"中国研发、全球制造、国际销售"的战略布局。感谢您的关注。</w:t>
            </w:r>
            <w:r>
              <w:rPr>
                <w:rFonts w:ascii="宋体" w:eastAsia="宋体" w:hAnsi="宋体" w:cs="宋体"/>
                <w:sz w:val="20"/>
              </w:rPr>
              <w:br/>
            </w:r>
            <w:r>
              <w:rPr>
                <w:rFonts w:ascii="宋体" w:eastAsia="宋体" w:hAnsi="宋体" w:cs="宋体"/>
                <w:b/>
                <w:sz w:val="20"/>
              </w:rPr>
              <w:t xml:space="preserve">    12.公司是否有并购重组或跨界拓展计划？</w:t>
            </w:r>
            <w:r>
              <w:rPr>
                <w:rFonts w:ascii="宋体" w:eastAsia="宋体" w:hAnsi="宋体" w:cs="宋体"/>
                <w:b/>
                <w:sz w:val="20"/>
              </w:rPr>
              <w:br/>
            </w:r>
            <w:r>
              <w:rPr>
                <w:rFonts w:ascii="宋体" w:eastAsia="宋体" w:hAnsi="宋体" w:cs="宋体"/>
                <w:sz w:val="20"/>
              </w:rPr>
              <w:t xml:space="preserve">    答:尊敬的投资者，您好。公司密切关注电子真空器件产业链发展趋势，对优质标的保持开放谨慎的态度，同时，公司也将聚焦主业，不断拓宽业务领域，提升自身综合实力。后续如涉及相关重大事项，公司将按照规定及时履行信息披露义务，请关注公司在指定信息披露平台发布的公告。感谢您的关注。</w:t>
            </w:r>
            <w:r>
              <w:rPr>
                <w:rFonts w:ascii="宋体" w:eastAsia="宋体" w:hAnsi="宋体" w:cs="宋体"/>
                <w:sz w:val="20"/>
              </w:rPr>
              <w:br/>
            </w:r>
            <w:r>
              <w:rPr>
                <w:rFonts w:ascii="宋体" w:eastAsia="宋体" w:hAnsi="宋体" w:cs="宋体"/>
                <w:b/>
                <w:sz w:val="20"/>
              </w:rPr>
              <w:t xml:space="preserve">    13.除了现有业务领域，公司是否有考虑进入其他相关或新兴领域？</w:t>
            </w:r>
            <w:r>
              <w:rPr>
                <w:rFonts w:ascii="宋体" w:eastAsia="宋体" w:hAnsi="宋体" w:cs="宋体"/>
                <w:b/>
                <w:sz w:val="20"/>
              </w:rPr>
              <w:br/>
            </w:r>
            <w:r>
              <w:rPr>
                <w:rFonts w:ascii="宋体" w:eastAsia="宋体" w:hAnsi="宋体" w:cs="宋体"/>
                <w:sz w:val="20"/>
              </w:rPr>
              <w:t xml:space="preserve">    答:尊敬的投资者，您好。公司研发生产的电子真空器件产品下游应用领域主要为新能源汽车及充电设施、航天航空及军工、半导体设备制造、光伏风能及储能、传统能源、安检、辐照等领域。公司以电子真空制造平台为基础，围绕客户在可控核聚变、第四代半导体、金刚石、低空飞行、反无人机、固态电池等新型领域的需求开展研究，布局未来公司新的业务增长点。在某些特定领域，公司的产品具有稀缺性，因此许多客户在开展创新性项目时，都会选择与公司合作。因此，公司未来业务发展前景广阔。公司会充分分析行业和市场的前景去开展新业务。感谢您的关注。</w:t>
            </w:r>
            <w:r>
              <w:rPr>
                <w:rFonts w:ascii="宋体" w:eastAsia="宋体" w:hAnsi="宋体" w:cs="宋体"/>
                <w:sz w:val="20"/>
              </w:rPr>
              <w:br/>
            </w:r>
            <w:r>
              <w:rPr>
                <w:rFonts w:ascii="宋体" w:eastAsia="宋体" w:hAnsi="宋体" w:cs="宋体"/>
                <w:b/>
                <w:sz w:val="20"/>
              </w:rPr>
              <w:t xml:space="preserve">    14.公司在关键元器件国产化替代方面有哪些进展？</w:t>
            </w:r>
            <w:r>
              <w:rPr>
                <w:rFonts w:ascii="宋体" w:eastAsia="宋体" w:hAnsi="宋体" w:cs="宋体"/>
                <w:b/>
                <w:sz w:val="20"/>
              </w:rPr>
              <w:br/>
            </w:r>
            <w:r>
              <w:rPr>
                <w:rFonts w:ascii="宋体" w:eastAsia="宋体" w:hAnsi="宋体" w:cs="宋体"/>
                <w:sz w:val="20"/>
              </w:rPr>
              <w:t xml:space="preserve">    答:尊敬的投资者，您好。随着国产替代需求不断提升，电真空器件在半导体、国防军工、大科学等领域的应用比例会进一步提高，未来市场空间将持续扩大。在半导体设备制造领域，公司是国内半导体设备电子器件发展较早的供应商之一，公司产品广泛应用于等离子体刻蚀、增强气相沉积、气相清洗等设备中。在真空电容器方面，公司主要竞争对手均为国外品牌，但公司产品具有耐压高、承载电流大、损耗小、寿命长等特点，在性能参数等方面与国外竞争对手基本相当，且价格更具优势。此外，公司与中国科学院高能物理研究所联合携手，使用内核振荡（COM）的高效率速调管研制技术，于2020年成功研制出国内首支P波段速调管，填补了该领域的空白；随后又于2024年成功研发出效率达到78.5%的高效率</w:t>
            </w:r>
            <w:r>
              <w:rPr>
                <w:rFonts w:ascii="宋体" w:eastAsia="宋体" w:hAnsi="宋体" w:cs="宋体"/>
                <w:sz w:val="20"/>
              </w:rPr>
              <w:lastRenderedPageBreak/>
              <w:t>速调管（是国际上研发出实物的有文献记载的效率最高的速调管）。如今，公司与中国科学院高能物理研究所又通过超构材料这一谐振腔小型化技术，携手成功研制出国际上首支P波段超构材料速调管，实现了技术突破。未来公司将持续加大研发投入，重点研发第四代半导体配套器件、可控核聚变用电子元器件等产品，进一步推动产业链核心环节的自主可控。感谢您的关注。</w:t>
            </w:r>
          </w:p>
        </w:tc>
      </w:tr>
      <w:tr w:rsidR="001E7594" w14:paraId="594498D8" w14:textId="77777777">
        <w:trPr>
          <w:trHeight w:val="999"/>
          <w:jc w:val="center"/>
        </w:trPr>
        <w:tc>
          <w:tcPr>
            <w:tcW w:w="2580" w:type="dxa"/>
            <w:vAlign w:val="center"/>
          </w:tcPr>
          <w:p w14:paraId="0BF67070" w14:textId="77777777" w:rsidR="001E7594" w:rsidRDefault="00AD3778">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61318159" w14:textId="77777777" w:rsidR="001E7594" w:rsidRDefault="00AD3778">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2A747BF" w14:textId="77777777" w:rsidR="001E7594" w:rsidRDefault="00AD3778">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1E7594" w14:paraId="4E8D2350" w14:textId="77777777">
        <w:trPr>
          <w:trHeight w:val="558"/>
          <w:jc w:val="center"/>
        </w:trPr>
        <w:tc>
          <w:tcPr>
            <w:tcW w:w="2580" w:type="dxa"/>
            <w:vAlign w:val="center"/>
          </w:tcPr>
          <w:p w14:paraId="2D044DDC" w14:textId="77777777" w:rsidR="001E7594" w:rsidRDefault="00AD377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4E8FCADB" w14:textId="11DCC113" w:rsidR="001E7594" w:rsidRDefault="002B0BE7">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无</w:t>
            </w:r>
          </w:p>
        </w:tc>
      </w:tr>
      <w:tr w:rsidR="001E7594" w14:paraId="074E62D5" w14:textId="77777777">
        <w:trPr>
          <w:trHeight w:val="558"/>
          <w:jc w:val="center"/>
        </w:trPr>
        <w:tc>
          <w:tcPr>
            <w:tcW w:w="2580" w:type="dxa"/>
            <w:vAlign w:val="center"/>
          </w:tcPr>
          <w:p w14:paraId="32DDC2CD" w14:textId="77777777" w:rsidR="001E7594" w:rsidRDefault="00AD377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02C2AA78" w14:textId="77777777" w:rsidR="001E7594" w:rsidRDefault="00AD3778">
            <w:pPr>
              <w:pStyle w:val="TableParagraph"/>
              <w:spacing w:before="100" w:beforeAutospacing="1"/>
              <w:rPr>
                <w:rFonts w:ascii="宋体" w:eastAsia="宋体" w:hAnsi="宋体" w:cs="宋体"/>
                <w:sz w:val="20"/>
                <w:szCs w:val="20"/>
              </w:rPr>
            </w:pPr>
            <w:r>
              <w:rPr>
                <w:rFonts w:ascii="宋体" w:eastAsia="宋体" w:hAnsi="宋体" w:cs="宋体"/>
                <w:sz w:val="20"/>
                <w:szCs w:val="20"/>
              </w:rPr>
              <w:t>2025年06月11日</w:t>
            </w:r>
          </w:p>
        </w:tc>
      </w:tr>
    </w:tbl>
    <w:p w14:paraId="5724D5F0" w14:textId="77777777" w:rsidR="001E7594" w:rsidRDefault="001E7594">
      <w:pPr>
        <w:rPr>
          <w:rFonts w:ascii="宋体" w:eastAsia="宋体" w:hAnsi="宋体" w:cs="宋体"/>
          <w:sz w:val="28"/>
          <w:szCs w:val="36"/>
        </w:rPr>
      </w:pPr>
    </w:p>
    <w:sectPr w:rsidR="001E7594">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366A9" w14:textId="77777777" w:rsidR="00CE3521" w:rsidRDefault="00CE3521" w:rsidP="002B0BE7">
      <w:r>
        <w:separator/>
      </w:r>
    </w:p>
  </w:endnote>
  <w:endnote w:type="continuationSeparator" w:id="0">
    <w:p w14:paraId="666EFC24" w14:textId="77777777" w:rsidR="00CE3521" w:rsidRDefault="00CE3521" w:rsidP="002B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0BB1D" w14:textId="77777777" w:rsidR="00CE3521" w:rsidRDefault="00CE3521" w:rsidP="002B0BE7">
      <w:r>
        <w:separator/>
      </w:r>
    </w:p>
  </w:footnote>
  <w:footnote w:type="continuationSeparator" w:id="0">
    <w:p w14:paraId="03D74772" w14:textId="77777777" w:rsidR="00CE3521" w:rsidRDefault="00CE3521" w:rsidP="002B0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1E7594"/>
    <w:rsid w:val="002042A7"/>
    <w:rsid w:val="00205911"/>
    <w:rsid w:val="002146AD"/>
    <w:rsid w:val="00275CB6"/>
    <w:rsid w:val="002800B5"/>
    <w:rsid w:val="00295B29"/>
    <w:rsid w:val="002B0BE7"/>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801BB"/>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D3778"/>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E3521"/>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BA70E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BF0BDF-1A71-4C53-9AB4-7BBD44CB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0D35-D254-48B5-A431-BF402085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708</Words>
  <Characters>4038</Characters>
  <Application>Microsoft Office Word</Application>
  <DocSecurity>0</DocSecurity>
  <Lines>33</Lines>
  <Paragraphs>9</Paragraphs>
  <ScaleCrop>false</ScaleCrop>
  <Company>P R C</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SN04679</cp:lastModifiedBy>
  <cp:revision>9</cp:revision>
  <dcterms:created xsi:type="dcterms:W3CDTF">2022-04-12T06:10:00Z</dcterms:created>
  <dcterms:modified xsi:type="dcterms:W3CDTF">2025-06-11T08:52:00Z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eyJoZGlkIjoiZjgyMzMyM2Y2MDg5ZGU5Mzc1N2E3Mjk2OWUwODM5YTAiLCJ1c2VySWQiOiI0NjA0MTQ5MTgifQ==</vt:lpwstr>
  </property>
</Properties>
</file>