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val="0"/>
        <w:snapToGrid w:val="0"/>
        <w:spacing w:line="600" w:lineRule="exact"/>
        <w:jc w:val="both"/>
        <w:rPr>
          <w:rFonts w:ascii="宋体" w:hAnsi="宋体" w:eastAsia="宋体" w:cs="Times New Roman"/>
          <w:kern w:val="2"/>
          <w:sz w:val="24"/>
          <w:szCs w:val="20"/>
          <w:lang w:val="en-US" w:bidi="ar-SA"/>
        </w:rPr>
      </w:pPr>
      <w:r>
        <w:rPr>
          <w:rFonts w:hint="eastAsia" w:ascii="宋体" w:hAnsi="宋体" w:eastAsia="宋体" w:cs="Times New Roman"/>
          <w:kern w:val="2"/>
          <w:sz w:val="24"/>
          <w:szCs w:val="20"/>
          <w:lang w:val="en-US" w:bidi="ar-SA"/>
        </w:rPr>
        <w:t>证券代码：688</w:t>
      </w:r>
      <w:r>
        <w:rPr>
          <w:rFonts w:ascii="宋体" w:hAnsi="宋体" w:eastAsia="宋体" w:cs="Times New Roman"/>
          <w:kern w:val="2"/>
          <w:sz w:val="24"/>
          <w:szCs w:val="20"/>
          <w:lang w:val="en-US" w:bidi="ar-SA"/>
        </w:rPr>
        <w:t xml:space="preserve">102 </w:t>
      </w:r>
      <w:r>
        <w:rPr>
          <w:rFonts w:hint="eastAsia" w:ascii="宋体" w:hAnsi="宋体" w:eastAsia="宋体" w:cs="Times New Roman"/>
          <w:kern w:val="2"/>
          <w:sz w:val="24"/>
          <w:szCs w:val="20"/>
          <w:lang w:val="en-US" w:bidi="ar-SA"/>
        </w:rPr>
        <w:t xml:space="preserve">                               </w:t>
      </w:r>
      <w:r>
        <w:rPr>
          <w:rFonts w:ascii="宋体" w:hAnsi="宋体" w:eastAsia="宋体" w:cs="Times New Roman"/>
          <w:kern w:val="2"/>
          <w:sz w:val="24"/>
          <w:szCs w:val="20"/>
          <w:lang w:val="en-US" w:bidi="ar-SA"/>
        </w:rPr>
        <w:t xml:space="preserve">  </w:t>
      </w:r>
      <w:r>
        <w:rPr>
          <w:rFonts w:hint="eastAsia" w:ascii="宋体" w:hAnsi="宋体" w:eastAsia="宋体" w:cs="Times New Roman"/>
          <w:kern w:val="2"/>
          <w:sz w:val="24"/>
          <w:szCs w:val="20"/>
          <w:lang w:val="en-US" w:bidi="ar-SA"/>
        </w:rPr>
        <w:t>证券简称：斯瑞新材</w:t>
      </w: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r>
        <w:rPr>
          <w:rFonts w:hint="eastAsia" w:ascii="黑体" w:hAnsi="黑体" w:eastAsia="黑体" w:cs="Times New Roman"/>
          <w:b/>
          <w:bCs/>
          <w:kern w:val="2"/>
          <w:sz w:val="30"/>
          <w:szCs w:val="30"/>
          <w:lang w:val="en-US" w:bidi="ar-SA"/>
        </w:rPr>
        <w:t>陕西斯瑞新材料股份有限公司</w:t>
      </w: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r>
        <w:rPr>
          <w:rFonts w:hint="eastAsia" w:ascii="黑体" w:hAnsi="黑体" w:eastAsia="黑体" w:cs="Times New Roman"/>
          <w:b/>
          <w:bCs/>
          <w:kern w:val="2"/>
          <w:sz w:val="30"/>
          <w:szCs w:val="30"/>
          <w:lang w:val="en-US" w:bidi="ar-SA"/>
        </w:rPr>
        <w:t>投资者关系活动记录表</w:t>
      </w:r>
    </w:p>
    <w:p>
      <w:pPr>
        <w:autoSpaceDE/>
        <w:adjustRightInd w:val="0"/>
        <w:snapToGrid w:val="0"/>
        <w:spacing w:line="600" w:lineRule="exact"/>
        <w:jc w:val="righ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bidi="ar-SA"/>
        </w:rPr>
        <w:t>编号：20</w:t>
      </w:r>
      <w:r>
        <w:rPr>
          <w:rFonts w:ascii="宋体" w:hAnsi="宋体" w:eastAsia="宋体" w:cs="Times New Roman"/>
          <w:kern w:val="2"/>
          <w:sz w:val="24"/>
          <w:szCs w:val="24"/>
          <w:lang w:val="en-US" w:bidi="ar-SA"/>
        </w:rPr>
        <w:t>2</w:t>
      </w:r>
      <w:r>
        <w:rPr>
          <w:rFonts w:hint="eastAsia" w:ascii="宋体" w:hAnsi="宋体" w:eastAsia="宋体" w:cs="Times New Roman"/>
          <w:kern w:val="2"/>
          <w:sz w:val="24"/>
          <w:szCs w:val="24"/>
          <w:lang w:val="en-US" w:eastAsia="zh-CN" w:bidi="ar-SA"/>
        </w:rPr>
        <w:t>5</w:t>
      </w:r>
      <w:r>
        <w:rPr>
          <w:rFonts w:hint="eastAsia" w:ascii="宋体" w:hAnsi="宋体" w:eastAsia="宋体" w:cs="Times New Roman"/>
          <w:kern w:val="2"/>
          <w:sz w:val="24"/>
          <w:szCs w:val="24"/>
          <w:lang w:val="en-US" w:bidi="ar-SA"/>
        </w:rPr>
        <w:t>-0</w:t>
      </w:r>
      <w:r>
        <w:rPr>
          <w:rFonts w:hint="eastAsia" w:ascii="宋体" w:hAnsi="宋体" w:eastAsia="宋体" w:cs="Times New Roman"/>
          <w:kern w:val="2"/>
          <w:sz w:val="24"/>
          <w:szCs w:val="24"/>
          <w:lang w:val="en-US" w:eastAsia="zh-CN" w:bidi="ar-SA"/>
        </w:rPr>
        <w:t>12</w:t>
      </w: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55"/>
        <w:gridCol w:w="7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9" w:hRule="atLeast"/>
          <w:jc w:val="center"/>
        </w:trPr>
        <w:tc>
          <w:tcPr>
            <w:tcW w:w="1555" w:type="dxa"/>
            <w:vAlign w:val="center"/>
          </w:tcPr>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投资者关系</w:t>
            </w:r>
          </w:p>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活动类别</w:t>
            </w:r>
          </w:p>
        </w:tc>
        <w:tc>
          <w:tcPr>
            <w:tcW w:w="7284" w:type="dxa"/>
          </w:tcPr>
          <w:p>
            <w:pPr>
              <w:pStyle w:val="14"/>
              <w:tabs>
                <w:tab w:val="left" w:pos="2418"/>
              </w:tabs>
              <w:spacing w:before="1"/>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249780449"/>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sym w:font="Wingdings 2" w:char="F052"/>
                </w:r>
              </w:sdtContent>
            </w:sdt>
            <w:r>
              <w:rPr>
                <w:rFonts w:hint="eastAsia" w:asciiTheme="minorEastAsia" w:hAnsiTheme="minorEastAsia" w:eastAsiaTheme="minorEastAsia" w:cstheme="minorEastAsia"/>
                <w:sz w:val="24"/>
                <w:szCs w:val="24"/>
              </w:rPr>
              <w:t>特</w:t>
            </w:r>
            <w:r>
              <w:rPr>
                <w:rFonts w:hint="eastAsia" w:asciiTheme="minorEastAsia" w:hAnsiTheme="minorEastAsia" w:eastAsiaTheme="minorEastAsia" w:cstheme="minorEastAsia"/>
                <w:spacing w:val="-3"/>
                <w:sz w:val="24"/>
                <w:szCs w:val="24"/>
              </w:rPr>
              <w:t>定</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pacing w:val="-3"/>
                <w:sz w:val="24"/>
                <w:szCs w:val="24"/>
              </w:rPr>
              <w:t>象</w:t>
            </w:r>
            <w:r>
              <w:rPr>
                <w:rFonts w:hint="eastAsia" w:asciiTheme="minorEastAsia" w:hAnsiTheme="minorEastAsia" w:eastAsiaTheme="minorEastAsia" w:cstheme="minorEastAsia"/>
                <w:sz w:val="24"/>
                <w:szCs w:val="24"/>
              </w:rPr>
              <w:t>调研</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1444412095"/>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Theme="minorEastAsia" w:cstheme="minorEastAsia"/>
                    <w:sz w:val="24"/>
                    <w:szCs w:val="24"/>
                  </w:rPr>
                  <w:t>☐</w:t>
                </w:r>
              </w:sdtContent>
            </w:sdt>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pacing w:val="-3"/>
                <w:sz w:val="24"/>
                <w:szCs w:val="24"/>
              </w:rPr>
              <w:t>析</w:t>
            </w:r>
            <w:r>
              <w:rPr>
                <w:rFonts w:hint="eastAsia" w:asciiTheme="minorEastAsia" w:hAnsiTheme="minorEastAsia" w:eastAsiaTheme="minorEastAsia" w:cstheme="minorEastAsia"/>
                <w:sz w:val="24"/>
                <w:szCs w:val="24"/>
              </w:rPr>
              <w:t>师</w:t>
            </w:r>
            <w:r>
              <w:rPr>
                <w:rFonts w:hint="eastAsia" w:asciiTheme="minorEastAsia" w:hAnsiTheme="minorEastAsia" w:eastAsiaTheme="minorEastAsia" w:cstheme="minorEastAsia"/>
                <w:spacing w:val="-3"/>
                <w:sz w:val="24"/>
                <w:szCs w:val="24"/>
              </w:rPr>
              <w:t>会</w:t>
            </w:r>
            <w:r>
              <w:rPr>
                <w:rFonts w:hint="eastAsia" w:asciiTheme="minorEastAsia" w:hAnsiTheme="minorEastAsia" w:eastAsiaTheme="minorEastAsia" w:cstheme="minorEastAsia"/>
                <w:sz w:val="24"/>
                <w:szCs w:val="24"/>
              </w:rPr>
              <w:t>议</w:t>
            </w:r>
          </w:p>
          <w:p>
            <w:pPr>
              <w:pStyle w:val="14"/>
              <w:spacing w:before="11"/>
              <w:rPr>
                <w:rFonts w:asciiTheme="minorEastAsia" w:hAnsiTheme="minorEastAsia" w:eastAsiaTheme="minorEastAsia" w:cstheme="minorEastAsia"/>
                <w:sz w:val="24"/>
                <w:szCs w:val="24"/>
              </w:rPr>
            </w:pPr>
          </w:p>
          <w:p>
            <w:pPr>
              <w:pStyle w:val="14"/>
              <w:tabs>
                <w:tab w:val="left" w:pos="2418"/>
              </w:tabs>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20690601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媒</w:t>
            </w:r>
            <w:r>
              <w:rPr>
                <w:rFonts w:hint="eastAsia" w:asciiTheme="minorEastAsia" w:hAnsiTheme="minorEastAsia" w:eastAsiaTheme="minorEastAsia" w:cstheme="minorEastAsia"/>
                <w:spacing w:val="-3"/>
                <w:sz w:val="24"/>
                <w:szCs w:val="24"/>
              </w:rPr>
              <w:t>体</w:t>
            </w:r>
            <w:r>
              <w:rPr>
                <w:rFonts w:hint="eastAsia" w:asciiTheme="minorEastAsia" w:hAnsiTheme="minorEastAsia" w:eastAsiaTheme="minorEastAsia" w:cstheme="minorEastAsia"/>
                <w:sz w:val="24"/>
                <w:szCs w:val="24"/>
              </w:rPr>
              <w:t>采访</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1193801180"/>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业</w:t>
            </w:r>
            <w:r>
              <w:rPr>
                <w:rFonts w:hint="eastAsia" w:asciiTheme="minorEastAsia" w:hAnsiTheme="minorEastAsia" w:eastAsiaTheme="minorEastAsia" w:cstheme="minorEastAsia"/>
                <w:spacing w:val="-3"/>
                <w:sz w:val="24"/>
                <w:szCs w:val="24"/>
              </w:rPr>
              <w:t>绩</w:t>
            </w:r>
            <w:r>
              <w:rPr>
                <w:rFonts w:hint="eastAsia" w:asciiTheme="minorEastAsia" w:hAnsiTheme="minorEastAsia" w:eastAsiaTheme="minorEastAsia" w:cstheme="minorEastAsia"/>
                <w:sz w:val="24"/>
                <w:szCs w:val="24"/>
              </w:rPr>
              <w:t>说</w:t>
            </w:r>
            <w:r>
              <w:rPr>
                <w:rFonts w:hint="eastAsia" w:asciiTheme="minorEastAsia" w:hAnsiTheme="minorEastAsia" w:eastAsiaTheme="minorEastAsia" w:cstheme="minorEastAsia"/>
                <w:spacing w:val="-3"/>
                <w:sz w:val="24"/>
                <w:szCs w:val="24"/>
              </w:rPr>
              <w:t>明</w:t>
            </w:r>
            <w:r>
              <w:rPr>
                <w:rFonts w:hint="eastAsia" w:asciiTheme="minorEastAsia" w:hAnsiTheme="minorEastAsia" w:eastAsiaTheme="minorEastAsia" w:cstheme="minorEastAsia"/>
                <w:sz w:val="24"/>
                <w:szCs w:val="24"/>
              </w:rPr>
              <w:t>会</w:t>
            </w:r>
          </w:p>
          <w:p>
            <w:pPr>
              <w:pStyle w:val="14"/>
              <w:spacing w:before="8"/>
              <w:rPr>
                <w:rFonts w:asciiTheme="minorEastAsia" w:hAnsiTheme="minorEastAsia" w:eastAsiaTheme="minorEastAsia" w:cstheme="minorEastAsia"/>
                <w:sz w:val="24"/>
                <w:szCs w:val="24"/>
              </w:rPr>
            </w:pPr>
          </w:p>
          <w:p>
            <w:pPr>
              <w:pStyle w:val="14"/>
              <w:tabs>
                <w:tab w:val="left" w:pos="2418"/>
              </w:tabs>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48728546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新</w:t>
            </w:r>
            <w:r>
              <w:rPr>
                <w:rFonts w:hint="eastAsia" w:asciiTheme="minorEastAsia" w:hAnsiTheme="minorEastAsia" w:eastAsiaTheme="minorEastAsia" w:cstheme="minorEastAsia"/>
                <w:spacing w:val="-3"/>
                <w:sz w:val="24"/>
                <w:szCs w:val="24"/>
              </w:rPr>
              <w:t>闻</w:t>
            </w:r>
            <w:r>
              <w:rPr>
                <w:rFonts w:hint="eastAsia" w:asciiTheme="minorEastAsia" w:hAnsiTheme="minorEastAsia" w:eastAsiaTheme="minorEastAsia" w:cstheme="minorEastAsia"/>
                <w:sz w:val="24"/>
                <w:szCs w:val="24"/>
              </w:rPr>
              <w:t>发</w:t>
            </w:r>
            <w:r>
              <w:rPr>
                <w:rFonts w:hint="eastAsia" w:asciiTheme="minorEastAsia" w:hAnsiTheme="minorEastAsia" w:eastAsiaTheme="minorEastAsia" w:cstheme="minorEastAsia"/>
                <w:spacing w:val="-3"/>
                <w:sz w:val="24"/>
                <w:szCs w:val="24"/>
              </w:rPr>
              <w:t>布</w:t>
            </w:r>
            <w:r>
              <w:rPr>
                <w:rFonts w:hint="eastAsia" w:asciiTheme="minorEastAsia" w:hAnsiTheme="minorEastAsia" w:eastAsiaTheme="minorEastAsia" w:cstheme="minorEastAsia"/>
                <w:sz w:val="24"/>
                <w:szCs w:val="24"/>
              </w:rPr>
              <w:t>会</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41204969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路</w:t>
            </w:r>
            <w:r>
              <w:rPr>
                <w:rFonts w:hint="eastAsia" w:asciiTheme="minorEastAsia" w:hAnsiTheme="minorEastAsia" w:eastAsiaTheme="minorEastAsia" w:cstheme="minorEastAsia"/>
                <w:spacing w:val="-3"/>
                <w:sz w:val="24"/>
                <w:szCs w:val="24"/>
              </w:rPr>
              <w:t>演</w:t>
            </w:r>
            <w:r>
              <w:rPr>
                <w:rFonts w:hint="eastAsia" w:asciiTheme="minorEastAsia" w:hAnsiTheme="minorEastAsia" w:eastAsiaTheme="minorEastAsia" w:cstheme="minorEastAsia"/>
                <w:sz w:val="24"/>
                <w:szCs w:val="24"/>
              </w:rPr>
              <w:t>活动</w:t>
            </w:r>
          </w:p>
          <w:p>
            <w:pPr>
              <w:pStyle w:val="14"/>
              <w:spacing w:before="8"/>
              <w:rPr>
                <w:rFonts w:asciiTheme="minorEastAsia" w:hAnsiTheme="minorEastAsia" w:eastAsiaTheme="minorEastAsia" w:cstheme="minorEastAsia"/>
                <w:sz w:val="24"/>
                <w:szCs w:val="24"/>
              </w:rPr>
            </w:pPr>
          </w:p>
          <w:p>
            <w:pPr>
              <w:pStyle w:val="14"/>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075015990"/>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Wingdings 2" w:hAnsi="Wingdings 2" w:eastAsiaTheme="minorEastAsia" w:cstheme="minorEastAsia"/>
                    <w:sz w:val="24"/>
                    <w:szCs w:val="24"/>
                    <w:lang w:val="zh-CN" w:eastAsia="zh-CN" w:bidi="zh-CN"/>
                  </w:rPr>
                  <w:t>R</w:t>
                </w:r>
              </w:sdtContent>
            </w:sdt>
            <w:r>
              <w:rPr>
                <w:rFonts w:hint="eastAsia" w:asciiTheme="minorEastAsia" w:hAnsiTheme="minorEastAsia" w:eastAsiaTheme="minorEastAsia" w:cstheme="minorEastAsia"/>
                <w:sz w:val="24"/>
                <w:szCs w:val="24"/>
              </w:rPr>
              <w:t>现场参观</w:t>
            </w:r>
          </w:p>
          <w:p>
            <w:pPr>
              <w:pStyle w:val="14"/>
              <w:spacing w:before="11"/>
              <w:rPr>
                <w:rFonts w:asciiTheme="minorEastAsia" w:hAnsiTheme="minorEastAsia" w:eastAsiaTheme="minorEastAsia" w:cstheme="minorEastAsia"/>
                <w:sz w:val="24"/>
                <w:szCs w:val="24"/>
              </w:rPr>
            </w:pPr>
          </w:p>
          <w:p>
            <w:pPr>
              <w:pStyle w:val="14"/>
              <w:ind w:left="107"/>
              <w:rPr>
                <w:rFonts w:ascii="宋体" w:hAnsi="宋体" w:eastAsia="宋体" w:cs="宋体"/>
                <w:sz w:val="21"/>
              </w:rPr>
            </w:pPr>
            <w:sdt>
              <w:sdtPr>
                <w:rPr>
                  <w:rFonts w:hint="eastAsia" w:asciiTheme="minorEastAsia" w:hAnsiTheme="minorEastAsia" w:eastAsiaTheme="minorEastAsia" w:cstheme="minorEastAsia"/>
                  <w:sz w:val="24"/>
                  <w:szCs w:val="24"/>
                </w:rPr>
                <w:id w:val="40088521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pPr>
              <w:pStyle w:val="14"/>
              <w:spacing w:line="560" w:lineRule="exact"/>
              <w:ind w:right="96"/>
              <w:jc w:val="center"/>
              <w:rPr>
                <w:rFonts w:ascii="宋体" w:hAnsi="宋体" w:eastAsia="宋体" w:cs="宋体"/>
                <w:b/>
                <w:bCs/>
                <w:sz w:val="24"/>
                <w:szCs w:val="24"/>
                <w:lang w:val="en-US"/>
              </w:rPr>
            </w:pPr>
            <w:r>
              <w:rPr>
                <w:rFonts w:hint="eastAsia" w:ascii="宋体" w:hAnsi="宋体" w:eastAsia="宋体" w:cs="宋体"/>
                <w:b/>
                <w:bCs/>
                <w:sz w:val="24"/>
                <w:szCs w:val="24"/>
                <w:lang w:val="en-US"/>
              </w:rPr>
              <w:t>形式</w:t>
            </w:r>
          </w:p>
        </w:tc>
        <w:tc>
          <w:tcPr>
            <w:tcW w:w="7284" w:type="dxa"/>
          </w:tcPr>
          <w:p>
            <w:pPr>
              <w:pStyle w:val="14"/>
              <w:spacing w:before="240" w:beforeLines="100" w:line="360" w:lineRule="auto"/>
              <w:ind w:left="108"/>
              <w:rPr>
                <w:rFonts w:ascii="宋体" w:hAnsi="宋体" w:eastAsia="宋体" w:cs="宋体"/>
                <w:sz w:val="26"/>
                <w:lang w:val="en-US"/>
              </w:rPr>
            </w:pPr>
            <w:sdt>
              <w:sdtPr>
                <w:rPr>
                  <w:rFonts w:hint="eastAsia" w:asciiTheme="minorEastAsia" w:hAnsiTheme="minorEastAsia" w:eastAsiaTheme="minorEastAsia" w:cstheme="minorEastAsia"/>
                  <w:sz w:val="24"/>
                  <w:szCs w:val="24"/>
                </w:rPr>
                <w:id w:val="201993987"/>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sym w:font="Wingdings 2" w:char="F052"/>
                </w:r>
              </w:sdtContent>
            </w:sdt>
            <w:r>
              <w:rPr>
                <w:rFonts w:hint="eastAsia" w:asciiTheme="minorEastAsia" w:hAnsiTheme="minorEastAsia" w:eastAsiaTheme="minorEastAsia" w:cstheme="minorEastAsia"/>
                <w:sz w:val="24"/>
                <w:szCs w:val="24"/>
                <w:lang w:val="en-US"/>
              </w:rPr>
              <w:t xml:space="preserve">现场     </w:t>
            </w:r>
            <w:sdt>
              <w:sdtPr>
                <w:rPr>
                  <w:rFonts w:hint="eastAsia" w:asciiTheme="minorEastAsia" w:hAnsiTheme="minorEastAsia" w:eastAsiaTheme="minorEastAsia" w:cstheme="minorEastAsia"/>
                  <w:sz w:val="24"/>
                  <w:szCs w:val="24"/>
                </w:rPr>
                <w:id w:val="1858075833"/>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lang w:val="en-US"/>
              </w:rPr>
              <w:t xml:space="preserve">网上    </w:t>
            </w:r>
            <w:sdt>
              <w:sdtPr>
                <w:rPr>
                  <w:rFonts w:hint="eastAsia" w:asciiTheme="minorEastAsia" w:hAnsiTheme="minorEastAsia" w:eastAsiaTheme="minorEastAsia" w:cstheme="minorEastAsia"/>
                  <w:sz w:val="24"/>
                  <w:szCs w:val="24"/>
                </w:rPr>
                <w:id w:val="107656179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lang w:val="en-US"/>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3" w:hRule="atLeast"/>
          <w:jc w:val="center"/>
        </w:trPr>
        <w:tc>
          <w:tcPr>
            <w:tcW w:w="1555" w:type="dxa"/>
            <w:vAlign w:val="center"/>
          </w:tcPr>
          <w:p>
            <w:pPr>
              <w:pStyle w:val="14"/>
              <w:spacing w:line="360" w:lineRule="auto"/>
              <w:ind w:right="96"/>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参与单位名称及人员姓名</w:t>
            </w:r>
          </w:p>
        </w:tc>
        <w:tc>
          <w:tcPr>
            <w:tcW w:w="7284" w:type="dxa"/>
            <w:vAlign w:val="center"/>
          </w:tcPr>
          <w:tbl>
            <w:tblPr>
              <w:tblStyle w:val="11"/>
              <w:tblW w:w="4564" w:type="pct"/>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03"/>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序号</w:t>
                  </w:r>
                </w:p>
              </w:tc>
              <w:tc>
                <w:tcPr>
                  <w:tcW w:w="1736"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机构名称</w:t>
                  </w:r>
                </w:p>
              </w:tc>
              <w:tc>
                <w:tcPr>
                  <w:tcW w:w="2522"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cs="楷体" w:asciiTheme="minorEastAsia" w:hAnsiTheme="minorEastAsia" w:eastAsiaTheme="minorEastAsia"/>
                      <w:sz w:val="24"/>
                      <w:szCs w:val="24"/>
                      <w:lang w:val="en-US"/>
                    </w:rPr>
                  </w:pPr>
                  <w:r>
                    <w:rPr>
                      <w:rFonts w:hint="eastAsia" w:cs="楷体" w:asciiTheme="minorEastAsia" w:hAnsiTheme="minorEastAsia" w:eastAsiaTheme="minorEastAsia"/>
                      <w:sz w:val="24"/>
                      <w:szCs w:val="24"/>
                      <w:lang w:val="en-US"/>
                    </w:rPr>
                    <w:t>1</w:t>
                  </w:r>
                </w:p>
              </w:tc>
              <w:tc>
                <w:tcPr>
                  <w:tcW w:w="1736"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华源证券</w:t>
                  </w:r>
                </w:p>
              </w:tc>
              <w:tc>
                <w:tcPr>
                  <w:tcW w:w="2522"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侯世杰、豆鹏超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2</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申万菱信基金</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付娟、卜忠林、王瀚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3</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国投资管</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蓝雁书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4</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天风证券</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任萌、吴居清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5</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广发基金</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陈韫中、敖明皓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6</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兴业证券</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董昕瑞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7</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东北证券</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王一鸣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8</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国都证券</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王义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9</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朱雀基金</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李萌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10</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嘉实基金</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王维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11</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鹏华基金</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萧嘉倩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12</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华商基金</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张晓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13</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国泰君安资管</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赵展成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14</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万家基金</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苏谋东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15</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摩根士丹利基金</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李子扬、贾昌浩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16</w:t>
                  </w:r>
                </w:p>
              </w:tc>
              <w:tc>
                <w:tcPr>
                  <w:tcW w:w="1736"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中信证券</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杨博羽、魏开元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17</w:t>
                  </w:r>
                </w:p>
              </w:tc>
              <w:tc>
                <w:tcPr>
                  <w:tcW w:w="1736"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南方基金</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金岚枫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18</w:t>
                  </w:r>
                </w:p>
              </w:tc>
              <w:tc>
                <w:tcPr>
                  <w:tcW w:w="1736"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华泰柏瑞基金</w:t>
                  </w:r>
                </w:p>
              </w:tc>
              <w:tc>
                <w:tcPr>
                  <w:tcW w:w="2522"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刘志清</w:t>
                  </w:r>
                </w:p>
              </w:tc>
            </w:tr>
          </w:tbl>
          <w:p>
            <w:pPr>
              <w:spacing w:line="360" w:lineRule="exact"/>
              <w:ind w:right="96"/>
              <w:jc w:val="both"/>
              <w:rPr>
                <w:rFonts w:cs="楷体" w:asciiTheme="minorEastAsia" w:hAnsiTheme="minorEastAsia" w:eastAsiaTheme="minorEastAsia"/>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ind w:left="107"/>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时间</w:t>
            </w:r>
          </w:p>
        </w:tc>
        <w:tc>
          <w:tcPr>
            <w:tcW w:w="7284" w:type="dxa"/>
            <w:vAlign w:val="center"/>
          </w:tcPr>
          <w:p>
            <w:pPr>
              <w:pStyle w:val="14"/>
              <w:spacing w:before="50" w:line="360" w:lineRule="exact"/>
              <w:ind w:left="108" w:right="96"/>
              <w:rPr>
                <w:rFonts w:hint="eastAsia" w:ascii="宋体" w:hAnsi="宋体" w:eastAsia="宋体"/>
                <w:color w:val="000000"/>
                <w:sz w:val="24"/>
                <w:lang w:val="en-US" w:eastAsia="zh-CN"/>
              </w:rPr>
            </w:pPr>
            <w:r>
              <w:rPr>
                <w:rFonts w:ascii="宋体" w:hAnsi="宋体" w:eastAsia="宋体"/>
                <w:color w:val="000000"/>
                <w:sz w:val="24"/>
                <w:lang w:val="en-US"/>
              </w:rPr>
              <w:t>202</w:t>
            </w:r>
            <w:r>
              <w:rPr>
                <w:rFonts w:hint="eastAsia" w:ascii="宋体" w:hAnsi="宋体" w:eastAsia="宋体"/>
                <w:color w:val="000000"/>
                <w:sz w:val="24"/>
                <w:lang w:val="en-US" w:eastAsia="zh-CN"/>
              </w:rPr>
              <w:t>5</w:t>
            </w:r>
            <w:r>
              <w:rPr>
                <w:rFonts w:ascii="宋体" w:hAnsi="宋体" w:eastAsia="宋体"/>
                <w:color w:val="000000"/>
                <w:sz w:val="24"/>
                <w:lang w:val="en-US"/>
              </w:rPr>
              <w:t>年</w:t>
            </w:r>
            <w:r>
              <w:rPr>
                <w:rFonts w:hint="eastAsia" w:ascii="宋体" w:hAnsi="宋体" w:eastAsia="宋体"/>
                <w:color w:val="000000"/>
                <w:sz w:val="24"/>
                <w:lang w:val="en-US" w:eastAsia="zh-CN"/>
              </w:rPr>
              <w:t>6</w:t>
            </w:r>
            <w:r>
              <w:rPr>
                <w:rFonts w:ascii="宋体" w:hAnsi="宋体" w:eastAsia="宋体"/>
                <w:color w:val="000000"/>
                <w:sz w:val="24"/>
                <w:lang w:val="en-US"/>
              </w:rPr>
              <w:t>月</w:t>
            </w:r>
            <w:r>
              <w:rPr>
                <w:rFonts w:hint="eastAsia" w:ascii="宋体" w:hAnsi="宋体" w:eastAsia="宋体"/>
                <w:color w:val="000000"/>
                <w:sz w:val="24"/>
                <w:lang w:val="en-US" w:eastAsia="zh-CN"/>
              </w:rPr>
              <w:t>11</w:t>
            </w:r>
            <w:r>
              <w:rPr>
                <w:rFonts w:ascii="宋体" w:hAnsi="宋体" w:eastAsia="宋体"/>
                <w:color w:val="000000"/>
                <w:sz w:val="24"/>
                <w:lang w:val="en-US"/>
              </w:rPr>
              <w:t>日</w:t>
            </w:r>
            <w:r>
              <w:rPr>
                <w:rFonts w:hint="eastAsia" w:ascii="宋体" w:hAnsi="宋体" w:eastAsia="宋体"/>
                <w:color w:val="000000"/>
                <w:sz w:val="24"/>
                <w:lang w:val="en-US" w:eastAsia="zh-CN"/>
              </w:rPr>
              <w:t>-</w:t>
            </w:r>
            <w:r>
              <w:rPr>
                <w:rFonts w:ascii="宋体" w:hAnsi="宋体" w:eastAsia="宋体"/>
                <w:color w:val="000000"/>
                <w:sz w:val="24"/>
                <w:lang w:val="en-US"/>
              </w:rPr>
              <w:t>202</w:t>
            </w:r>
            <w:r>
              <w:rPr>
                <w:rFonts w:hint="eastAsia" w:ascii="宋体" w:hAnsi="宋体" w:eastAsia="宋体"/>
                <w:color w:val="000000"/>
                <w:sz w:val="24"/>
                <w:lang w:val="en-US" w:eastAsia="zh-CN"/>
              </w:rPr>
              <w:t>5</w:t>
            </w:r>
            <w:r>
              <w:rPr>
                <w:rFonts w:ascii="宋体" w:hAnsi="宋体" w:eastAsia="宋体"/>
                <w:color w:val="000000"/>
                <w:sz w:val="24"/>
                <w:lang w:val="en-US"/>
              </w:rPr>
              <w:t>年</w:t>
            </w:r>
            <w:r>
              <w:rPr>
                <w:rFonts w:hint="eastAsia" w:ascii="宋体" w:hAnsi="宋体" w:eastAsia="宋体"/>
                <w:color w:val="000000"/>
                <w:sz w:val="24"/>
                <w:lang w:val="en-US" w:eastAsia="zh-CN"/>
              </w:rPr>
              <w:t>6</w:t>
            </w:r>
            <w:r>
              <w:rPr>
                <w:rFonts w:ascii="宋体" w:hAnsi="宋体" w:eastAsia="宋体"/>
                <w:color w:val="000000"/>
                <w:sz w:val="24"/>
                <w:lang w:val="en-US"/>
              </w:rPr>
              <w:t>月</w:t>
            </w:r>
            <w:r>
              <w:rPr>
                <w:rFonts w:hint="eastAsia" w:ascii="宋体" w:hAnsi="宋体" w:eastAsia="宋体"/>
                <w:color w:val="000000"/>
                <w:sz w:val="24"/>
                <w:lang w:val="en-US" w:eastAsia="zh-CN"/>
              </w:rPr>
              <w:t>12</w:t>
            </w:r>
            <w:r>
              <w:rPr>
                <w:rFonts w:ascii="宋体" w:hAnsi="宋体" w:eastAsia="宋体"/>
                <w:color w:val="000000"/>
                <w:sz w:val="24"/>
                <w:lang w:val="en-US"/>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555" w:type="dxa"/>
            <w:vAlign w:val="center"/>
          </w:tcPr>
          <w:p>
            <w:pPr>
              <w:pStyle w:val="14"/>
              <w:ind w:left="107"/>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w:t>
            </w:r>
          </w:p>
        </w:tc>
        <w:tc>
          <w:tcPr>
            <w:tcW w:w="7284" w:type="dxa"/>
            <w:vAlign w:val="center"/>
          </w:tcPr>
          <w:p>
            <w:pPr>
              <w:pStyle w:val="14"/>
              <w:spacing w:before="50" w:line="360" w:lineRule="exact"/>
              <w:ind w:left="107" w:right="96"/>
              <w:rPr>
                <w:rFonts w:ascii="宋体" w:hAnsi="宋体" w:eastAsia="宋体"/>
                <w:color w:val="000000"/>
                <w:sz w:val="24"/>
                <w:lang w:val="en-US"/>
              </w:rPr>
            </w:pPr>
            <w:r>
              <w:rPr>
                <w:rFonts w:hint="eastAsia" w:ascii="宋体" w:hAnsi="宋体" w:eastAsia="宋体"/>
                <w:color w:val="000000"/>
                <w:sz w:val="24"/>
                <w:lang w:val="en-US"/>
              </w:rPr>
              <w:t>公司会议室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上市公司接</w:t>
            </w:r>
          </w:p>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待人员姓名</w:t>
            </w:r>
          </w:p>
        </w:tc>
        <w:tc>
          <w:tcPr>
            <w:tcW w:w="7284" w:type="dxa"/>
            <w:vAlign w:val="center"/>
          </w:tcPr>
          <w:p>
            <w:pPr>
              <w:pStyle w:val="14"/>
              <w:spacing w:before="120" w:beforeLines="50" w:after="120" w:afterLines="50" w:line="360" w:lineRule="exact"/>
              <w:ind w:right="96"/>
              <w:rPr>
                <w:rFonts w:hint="default" w:ascii="宋体" w:hAnsi="宋体" w:eastAsia="宋体"/>
                <w:color w:val="000000"/>
                <w:sz w:val="24"/>
                <w:lang w:val="en-US" w:eastAsia="zh-CN"/>
              </w:rPr>
            </w:pPr>
            <w:r>
              <w:rPr>
                <w:rFonts w:hint="eastAsia" w:ascii="宋体" w:hAnsi="宋体" w:eastAsia="宋体"/>
                <w:color w:val="000000"/>
                <w:sz w:val="24"/>
                <w:lang w:val="en-US" w:eastAsia="zh-CN"/>
              </w:rPr>
              <w:t>董事、董事会秘书：徐润升</w:t>
            </w:r>
            <w:r>
              <w:rPr>
                <w:rFonts w:hint="eastAsia" w:ascii="宋体" w:hAnsi="宋体" w:eastAsia="宋体"/>
                <w:color w:val="000000"/>
                <w:sz w:val="24"/>
                <w:lang w:val="en-US" w:eastAsia="zh-CN"/>
              </w:rPr>
              <w:br w:type="textWrapping"/>
            </w:r>
            <w:r>
              <w:rPr>
                <w:rFonts w:hint="eastAsia" w:ascii="宋体" w:hAnsi="宋体" w:eastAsia="宋体"/>
                <w:color w:val="000000"/>
                <w:sz w:val="24"/>
                <w:lang w:val="en-US" w:eastAsia="zh-CN"/>
              </w:rPr>
              <w:t>证券事务代表：王磊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1555" w:type="dxa"/>
            <w:vAlign w:val="center"/>
          </w:tcPr>
          <w:p>
            <w:pPr>
              <w:pStyle w:val="14"/>
              <w:spacing w:before="1" w:line="499" w:lineRule="auto"/>
              <w:ind w:right="96"/>
              <w:jc w:val="center"/>
              <w:rPr>
                <w:rFonts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7284" w:type="dxa"/>
          </w:tcPr>
          <w:p>
            <w:pPr>
              <w:numPr>
                <w:ilvl w:val="0"/>
                <w:numId w:val="1"/>
              </w:numPr>
              <w:spacing w:line="400" w:lineRule="exact"/>
              <w:ind w:left="96" w:right="96"/>
              <w:rPr>
                <w:rFonts w:hint="default" w:ascii="宋体" w:hAnsi="宋体" w:eastAsia="宋体" w:cs="宋体"/>
                <w:b/>
                <w:iCs/>
                <w:lang w:val="en-US" w:eastAsia="zh-CN"/>
              </w:rPr>
            </w:pPr>
            <w:r>
              <w:rPr>
                <w:rFonts w:hint="eastAsia" w:ascii="宋体" w:hAnsi="宋体" w:eastAsia="宋体" w:cs="宋体"/>
                <w:b/>
                <w:iCs/>
                <w:lang w:val="en-US" w:eastAsia="zh-CN"/>
              </w:rPr>
              <w:t>公司液体火箭发动机推力室内壁是否应用到蓝箭航天的朱雀三号？</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答：公司产品助力蓝箭航天朱雀三号 VTVL-1 试验箭十公里垂直起降飞行试验任务取得成功。</w:t>
            </w:r>
          </w:p>
          <w:p>
            <w:pPr>
              <w:spacing w:line="400" w:lineRule="exact"/>
              <w:ind w:left="96" w:right="96" w:firstLine="440" w:firstLineChars="200"/>
              <w:rPr>
                <w:rFonts w:hint="eastAsia" w:ascii="宋体" w:hAnsi="宋体" w:eastAsia="宋体" w:cs="宋体"/>
                <w:iCs/>
                <w:lang w:val="en-US" w:eastAsia="zh-CN"/>
              </w:rPr>
            </w:pPr>
          </w:p>
          <w:p>
            <w:pPr>
              <w:spacing w:line="400" w:lineRule="exact"/>
              <w:ind w:left="96" w:right="96"/>
              <w:rPr>
                <w:rFonts w:hint="default" w:ascii="宋体" w:hAnsi="宋体" w:eastAsia="宋体" w:cs="宋体"/>
                <w:b/>
                <w:iCs/>
                <w:lang w:val="en-US" w:eastAsia="zh-CN"/>
              </w:rPr>
            </w:pPr>
            <w:r>
              <w:rPr>
                <w:rFonts w:hint="eastAsia" w:ascii="宋体" w:hAnsi="宋体" w:eastAsia="宋体" w:cs="宋体"/>
                <w:b/>
                <w:iCs/>
                <w:lang w:val="en-US" w:eastAsia="zh-CN"/>
              </w:rPr>
              <w:t>2、电力板块增长的驱动因素主要有哪些？</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 xml:space="preserve">答：公司的中高压电接触材料及制品，主要是在中压和高压开关设备中承担接通、断开电路及负载电流的功能。铜铬触头产品应用的范围12KV-126KV，铜钨触头产品的应用范围为126KV以上。 </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随着人工智能、高速铁路、新能源汽车等行业的蓬勃发展，全球用电需求不断攀升，中国、美国、欧洲及中东等主要经济体纷纷加大对电网的投资力度。在“双碳”目标驱动的能源革命浪潮中，全球风电、光伏、水电、核电等清洁可再生能源装机量持续增长，推动电力设备需求快速上升。在此背景下，公司中高压电接触材料及制品业务迎来了新的增长机遇。</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2024年度，公司在行业内技术领先地位得到进一步巩固，除公司原有业务外，全面配合国内、外客户进行35kV/72.5kV/126kV环保充气柜用新一代铜钨、铜铬触头材料的研发，使中高压电接触材料及制品业务增加了新的经济增长点。</w:t>
            </w:r>
          </w:p>
          <w:p>
            <w:pPr>
              <w:spacing w:line="400" w:lineRule="exact"/>
              <w:ind w:left="96" w:right="96" w:firstLine="440" w:firstLineChars="200"/>
              <w:rPr>
                <w:rFonts w:hint="eastAsia" w:ascii="宋体" w:hAnsi="宋体" w:eastAsia="宋体" w:cs="宋体"/>
                <w:iCs/>
                <w:lang w:val="en-US" w:eastAsia="zh-CN"/>
              </w:rPr>
            </w:pPr>
          </w:p>
          <w:p>
            <w:pPr>
              <w:numPr>
                <w:ilvl w:val="0"/>
                <w:numId w:val="0"/>
              </w:numPr>
              <w:spacing w:line="400" w:lineRule="exact"/>
              <w:ind w:left="96" w:leftChars="0" w:right="96" w:rightChars="0"/>
              <w:rPr>
                <w:rFonts w:hint="default" w:ascii="宋体" w:hAnsi="宋体" w:eastAsia="宋体" w:cs="宋体"/>
                <w:b/>
                <w:bCs/>
                <w:iCs/>
                <w:lang w:val="en-US" w:eastAsia="zh-CN"/>
              </w:rPr>
            </w:pPr>
            <w:r>
              <w:rPr>
                <w:rFonts w:hint="eastAsia" w:ascii="宋体" w:hAnsi="宋体" w:eastAsia="宋体" w:cs="宋体"/>
                <w:b/>
                <w:bCs/>
                <w:iCs/>
                <w:lang w:val="en-US" w:eastAsia="zh-CN"/>
              </w:rPr>
              <w:t>3、商务部对原产于美国和印度的相关医用CT球管进行反倾销调查，公司是做进口替代，这块业务有什么影响吗？</w:t>
            </w:r>
          </w:p>
          <w:p>
            <w:pPr>
              <w:widowControl w:val="0"/>
              <w:numPr>
                <w:ilvl w:val="0"/>
                <w:numId w:val="0"/>
              </w:numPr>
              <w:autoSpaceDE w:val="0"/>
              <w:autoSpaceDN w:val="0"/>
              <w:spacing w:line="400" w:lineRule="exact"/>
              <w:ind w:right="96" w:rightChars="0"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 xml:space="preserve">答：公司研发制造的CT和DR球管零组件产品是医疗影像设备中的重要零部件，包括管壳组件、转子组件、轴承套、阴极零件等。 基于医疗产业链对产品的严苛要求，公司集成自身的金属材料、高精度加工、高超净间真空钎焊、表面处理等多项技术，为客户持续提供高标准的产品。 </w:t>
            </w:r>
          </w:p>
          <w:p>
            <w:pPr>
              <w:widowControl w:val="0"/>
              <w:numPr>
                <w:ilvl w:val="0"/>
                <w:numId w:val="0"/>
              </w:numPr>
              <w:autoSpaceDE w:val="0"/>
              <w:autoSpaceDN w:val="0"/>
              <w:spacing w:line="400" w:lineRule="exact"/>
              <w:ind w:right="96" w:rightChars="0"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 xml:space="preserve"> 公司该产品的主要客户目前有西门子医疗、联影医疗、昆山医源等。同时，公司与部分客户形成了战略合作关系。商务部的反倾销调查有助于公司产品的进口替代。 </w:t>
            </w:r>
          </w:p>
          <w:p>
            <w:pPr>
              <w:widowControl w:val="0"/>
              <w:numPr>
                <w:ilvl w:val="0"/>
                <w:numId w:val="0"/>
              </w:numPr>
              <w:autoSpaceDE w:val="0"/>
              <w:autoSpaceDN w:val="0"/>
              <w:spacing w:line="400" w:lineRule="exact"/>
              <w:ind w:right="96" w:rightChars="0" w:firstLine="440" w:firstLineChars="200"/>
              <w:rPr>
                <w:rFonts w:hint="eastAsia" w:ascii="宋体" w:hAnsi="宋体" w:eastAsia="宋体" w:cs="宋体"/>
                <w:iCs/>
                <w:highlight w:val="yellow"/>
                <w:lang w:val="en-US" w:eastAsia="zh-CN"/>
              </w:rPr>
            </w:pPr>
            <w:r>
              <w:rPr>
                <w:rFonts w:hint="eastAsia" w:ascii="宋体" w:hAnsi="宋体" w:eastAsia="宋体" w:cs="宋体"/>
                <w:iCs/>
                <w:lang w:val="en-US" w:eastAsia="zh-CN"/>
              </w:rPr>
              <w:t>公司已启动建设“年产3万套医疗影像装备等电真空用材料、零组件研发及产业化项目”，项目预计实现年产30,000套CT球管零组件、15,000套DR射线管零组件、500套直线加速器零组件、3,500 套半导体产品组件和30,000 套高电压用VI导电系统组件的生产能力，支持推进我国医疗影像装备产业链实现自主可控。该项目作为公司的再融资项目，</w:t>
            </w:r>
            <w:r>
              <w:rPr>
                <w:rFonts w:hint="eastAsia" w:ascii="宋体" w:hAnsi="宋体" w:eastAsia="宋体" w:cs="宋体"/>
                <w:iCs/>
                <w:highlight w:val="none"/>
                <w:lang w:val="en-US" w:eastAsia="zh-CN"/>
              </w:rPr>
              <w:t>公司已于2025年4月15日收到上海证券交易所出具的《关于陕西斯瑞新材料股份有限公司向特定对象发行股票申请文件的审核问询函》，2025年5月31日公司已提交了审核问询函的回复（修订稿）。目前，正稳步有序的推进中。</w:t>
            </w:r>
          </w:p>
          <w:p>
            <w:pPr>
              <w:widowControl w:val="0"/>
              <w:numPr>
                <w:ilvl w:val="0"/>
                <w:numId w:val="0"/>
              </w:numPr>
              <w:autoSpaceDE w:val="0"/>
              <w:autoSpaceDN w:val="0"/>
              <w:spacing w:line="400" w:lineRule="exact"/>
              <w:ind w:right="96" w:rightChars="0" w:firstLine="440" w:firstLineChars="200"/>
              <w:rPr>
                <w:rFonts w:hint="eastAsia" w:ascii="宋体" w:hAnsi="宋体" w:eastAsia="宋体" w:cs="宋体"/>
                <w:iCs/>
                <w:lang w:val="en-US" w:eastAsia="zh-CN"/>
              </w:rPr>
            </w:pPr>
            <w:bookmarkStart w:id="0" w:name="_GoBack"/>
            <w:bookmarkEnd w:id="0"/>
          </w:p>
          <w:p>
            <w:pPr>
              <w:numPr>
                <w:ilvl w:val="0"/>
                <w:numId w:val="0"/>
              </w:numPr>
              <w:spacing w:line="400" w:lineRule="exact"/>
              <w:ind w:left="96" w:leftChars="0" w:right="96" w:rightChars="0"/>
              <w:rPr>
                <w:rFonts w:hint="eastAsia" w:ascii="宋体" w:hAnsi="宋体" w:eastAsia="宋体" w:cs="宋体"/>
                <w:b/>
                <w:bCs/>
                <w:iCs/>
                <w:lang w:val="en-US" w:eastAsia="zh-CN"/>
              </w:rPr>
            </w:pPr>
            <w:r>
              <w:rPr>
                <w:rFonts w:hint="eastAsia" w:ascii="宋体" w:hAnsi="宋体" w:eastAsia="宋体" w:cs="宋体"/>
                <w:b/>
                <w:bCs/>
                <w:iCs/>
                <w:lang w:val="en-US" w:eastAsia="zh-CN"/>
              </w:rPr>
              <w:t>4、公司产品在可控核聚变领域是做什么的？是否参与到什么项目中？未来在这个产业方向有什么布局？</w:t>
            </w:r>
          </w:p>
          <w:p>
            <w:pPr>
              <w:widowControl w:val="0"/>
              <w:numPr>
                <w:ilvl w:val="0"/>
                <w:numId w:val="0"/>
              </w:numPr>
              <w:autoSpaceDE w:val="0"/>
              <w:autoSpaceDN w:val="0"/>
              <w:spacing w:line="400" w:lineRule="exact"/>
              <w:ind w:right="96" w:rightChars="0"/>
              <w:rPr>
                <w:rFonts w:hint="eastAsia" w:ascii="宋体" w:hAnsi="宋体" w:eastAsia="宋体" w:cs="宋体"/>
                <w:iCs/>
                <w:lang w:val="en-US" w:eastAsia="zh-CN"/>
              </w:rPr>
            </w:pPr>
            <w:r>
              <w:rPr>
                <w:rFonts w:hint="eastAsia" w:ascii="宋体" w:hAnsi="宋体" w:eastAsia="宋体" w:cs="宋体"/>
                <w:iCs/>
                <w:lang w:val="en-US" w:eastAsia="zh-CN"/>
              </w:rPr>
              <w:t xml:space="preserve">    答：公司积极进军新兴业务领域，当下我国核能发展处于重要的战略机遇期，而聚变堆是世界大国高度合作与竞争的技术领域，因无限、清洁和安全的特性，可控核聚变被认为是解决人类能源问题的终极方案。</w:t>
            </w:r>
          </w:p>
          <w:p>
            <w:pPr>
              <w:widowControl w:val="0"/>
              <w:numPr>
                <w:ilvl w:val="0"/>
                <w:numId w:val="0"/>
              </w:numPr>
              <w:autoSpaceDE w:val="0"/>
              <w:autoSpaceDN w:val="0"/>
              <w:spacing w:line="400" w:lineRule="exact"/>
              <w:ind w:right="96" w:rightChars="0"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公司的高强高导铜合金材料具有高强度、高导电、高导热、耐高温等特性，在商业航天、盾构机、可控核聚变等新应用场景受到广泛关注，应用前景非常广阔，未来的发展潜力巨大。公司与下游的可控核聚变公司合作，开发了托卡马克试验装置磁体零组件，目前已经顺利装机运行，并成功配套新奥科技等国内下游客户，开发的耐高温铜铬铌合金材料正在新一代核聚变装置的关键部件进行测试，下一步公司将持续探索产品在可控核聚变项目中的进一步应用。</w:t>
            </w:r>
          </w:p>
          <w:p>
            <w:pPr>
              <w:numPr>
                <w:ilvl w:val="0"/>
                <w:numId w:val="0"/>
              </w:numPr>
              <w:spacing w:line="400" w:lineRule="exact"/>
              <w:ind w:right="96" w:rightChars="0"/>
              <w:rPr>
                <w:rFonts w:hint="default" w:ascii="宋体" w:hAnsi="宋体" w:eastAsia="宋体" w:cs="宋体"/>
                <w:iCs/>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附件清单</w:t>
            </w:r>
          </w:p>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（如有）</w:t>
            </w:r>
          </w:p>
        </w:tc>
        <w:tc>
          <w:tcPr>
            <w:tcW w:w="7284" w:type="dxa"/>
            <w:vAlign w:val="center"/>
          </w:tcPr>
          <w:p>
            <w:pPr>
              <w:pStyle w:val="14"/>
              <w:spacing w:line="360" w:lineRule="exact"/>
              <w:ind w:left="108" w:right="96"/>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日期</w:t>
            </w:r>
          </w:p>
        </w:tc>
        <w:tc>
          <w:tcPr>
            <w:tcW w:w="7284" w:type="dxa"/>
            <w:vAlign w:val="center"/>
          </w:tcPr>
          <w:p>
            <w:pPr>
              <w:pStyle w:val="14"/>
              <w:spacing w:line="360" w:lineRule="exact"/>
              <w:ind w:left="108" w:right="96"/>
              <w:rPr>
                <w:rFonts w:ascii="宋体" w:hAnsi="宋体" w:eastAsia="宋体" w:cs="宋体"/>
                <w:sz w:val="24"/>
                <w:szCs w:val="24"/>
                <w:lang w:val="en-US"/>
              </w:rPr>
            </w:pPr>
            <w:r>
              <w:rPr>
                <w:rFonts w:ascii="宋体" w:hAnsi="宋体" w:eastAsia="宋体"/>
                <w:color w:val="000000"/>
                <w:sz w:val="24"/>
                <w:lang w:val="en-US"/>
              </w:rPr>
              <w:t>202</w:t>
            </w:r>
            <w:r>
              <w:rPr>
                <w:rFonts w:hint="eastAsia" w:ascii="宋体" w:hAnsi="宋体" w:eastAsia="宋体"/>
                <w:color w:val="000000"/>
                <w:sz w:val="24"/>
                <w:lang w:val="en-US" w:eastAsia="zh-CN"/>
              </w:rPr>
              <w:t>5</w:t>
            </w:r>
            <w:r>
              <w:rPr>
                <w:rFonts w:ascii="宋体" w:hAnsi="宋体" w:eastAsia="宋体"/>
                <w:color w:val="000000"/>
                <w:sz w:val="24"/>
                <w:lang w:val="en-US"/>
              </w:rPr>
              <w:t>年</w:t>
            </w:r>
            <w:r>
              <w:rPr>
                <w:rFonts w:hint="eastAsia" w:ascii="宋体" w:hAnsi="宋体" w:eastAsia="宋体"/>
                <w:color w:val="000000"/>
                <w:sz w:val="24"/>
                <w:lang w:val="en-US" w:eastAsia="zh-CN"/>
              </w:rPr>
              <w:t>6</w:t>
            </w:r>
            <w:r>
              <w:rPr>
                <w:rFonts w:ascii="宋体" w:hAnsi="宋体" w:eastAsia="宋体"/>
                <w:color w:val="000000"/>
                <w:sz w:val="24"/>
                <w:lang w:val="en-US"/>
              </w:rPr>
              <w:t>月</w:t>
            </w:r>
            <w:r>
              <w:rPr>
                <w:rFonts w:hint="eastAsia" w:ascii="宋体" w:hAnsi="宋体" w:eastAsia="宋体"/>
                <w:color w:val="000000"/>
                <w:sz w:val="24"/>
                <w:lang w:val="en-US" w:eastAsia="zh-CN"/>
              </w:rPr>
              <w:t>11</w:t>
            </w:r>
            <w:r>
              <w:rPr>
                <w:rFonts w:ascii="宋体" w:hAnsi="宋体" w:eastAsia="宋体"/>
                <w:color w:val="000000"/>
                <w:sz w:val="24"/>
                <w:lang w:val="en-US"/>
              </w:rPr>
              <w:t>日</w:t>
            </w:r>
            <w:r>
              <w:rPr>
                <w:rFonts w:hint="eastAsia" w:ascii="宋体" w:hAnsi="宋体" w:eastAsia="宋体"/>
                <w:color w:val="000000"/>
                <w:sz w:val="24"/>
                <w:lang w:val="en-US" w:eastAsia="zh-CN"/>
              </w:rPr>
              <w:t>-</w:t>
            </w:r>
            <w:r>
              <w:rPr>
                <w:rFonts w:ascii="宋体" w:hAnsi="宋体" w:eastAsia="宋体"/>
                <w:color w:val="000000"/>
                <w:sz w:val="24"/>
                <w:lang w:val="en-US"/>
              </w:rPr>
              <w:t>202</w:t>
            </w:r>
            <w:r>
              <w:rPr>
                <w:rFonts w:hint="eastAsia" w:ascii="宋体" w:hAnsi="宋体" w:eastAsia="宋体"/>
                <w:color w:val="000000"/>
                <w:sz w:val="24"/>
                <w:lang w:val="en-US" w:eastAsia="zh-CN"/>
              </w:rPr>
              <w:t>5</w:t>
            </w:r>
            <w:r>
              <w:rPr>
                <w:rFonts w:ascii="宋体" w:hAnsi="宋体" w:eastAsia="宋体"/>
                <w:color w:val="000000"/>
                <w:sz w:val="24"/>
                <w:lang w:val="en-US"/>
              </w:rPr>
              <w:t>年</w:t>
            </w:r>
            <w:r>
              <w:rPr>
                <w:rFonts w:hint="eastAsia" w:ascii="宋体" w:hAnsi="宋体" w:eastAsia="宋体"/>
                <w:color w:val="000000"/>
                <w:sz w:val="24"/>
                <w:lang w:val="en-US" w:eastAsia="zh-CN"/>
              </w:rPr>
              <w:t>6</w:t>
            </w:r>
            <w:r>
              <w:rPr>
                <w:rFonts w:ascii="宋体" w:hAnsi="宋体" w:eastAsia="宋体"/>
                <w:color w:val="000000"/>
                <w:sz w:val="24"/>
                <w:lang w:val="en-US"/>
              </w:rPr>
              <w:t>月</w:t>
            </w:r>
            <w:r>
              <w:rPr>
                <w:rFonts w:hint="eastAsia" w:ascii="宋体" w:hAnsi="宋体" w:eastAsia="宋体"/>
                <w:color w:val="000000"/>
                <w:sz w:val="24"/>
                <w:lang w:val="en-US" w:eastAsia="zh-CN"/>
              </w:rPr>
              <w:t>12</w:t>
            </w:r>
            <w:r>
              <w:rPr>
                <w:rFonts w:ascii="宋体" w:hAnsi="宋体" w:eastAsia="宋体"/>
                <w:color w:val="000000"/>
                <w:sz w:val="24"/>
                <w:lang w:val="en-US"/>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备注</w:t>
            </w:r>
          </w:p>
        </w:tc>
        <w:tc>
          <w:tcPr>
            <w:tcW w:w="7284" w:type="dxa"/>
            <w:vAlign w:val="center"/>
          </w:tcPr>
          <w:p>
            <w:pPr>
              <w:pStyle w:val="14"/>
              <w:spacing w:before="72" w:beforeLines="30" w:after="72" w:afterLines="30" w:line="400" w:lineRule="exact"/>
              <w:ind w:left="108" w:right="96"/>
              <w:rPr>
                <w:rFonts w:ascii="宋体" w:hAnsi="宋体" w:eastAsia="宋体"/>
                <w:color w:val="000000"/>
                <w:sz w:val="24"/>
                <w:lang w:val="en-US"/>
              </w:rPr>
            </w:pPr>
            <w:r>
              <w:rPr>
                <w:rFonts w:hint="eastAsia" w:ascii="宋体" w:hAnsi="宋体" w:eastAsia="宋体"/>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pPr>
        <w:spacing w:line="20" w:lineRule="exact"/>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Times New Roman (标题 CS)">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DC439"/>
    <w:multiLevelType w:val="singleLevel"/>
    <w:tmpl w:val="4C8DC4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2NiOWZjYzRmYjQyMTYyMDhkMWIzYmUxNGE4OGMifQ=="/>
    <w:docVar w:name="KSO_WPS_MARK_KEY" w:val="88f27b7e-cb3e-4312-8117-a55fa9a2a2a0"/>
  </w:docVars>
  <w:rsids>
    <w:rsidRoot w:val="00172A27"/>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200D42"/>
    <w:rsid w:val="002015FC"/>
    <w:rsid w:val="002019E0"/>
    <w:rsid w:val="00202BC1"/>
    <w:rsid w:val="00203F56"/>
    <w:rsid w:val="002042A7"/>
    <w:rsid w:val="002046E9"/>
    <w:rsid w:val="00205911"/>
    <w:rsid w:val="00206E5C"/>
    <w:rsid w:val="00210550"/>
    <w:rsid w:val="002120BF"/>
    <w:rsid w:val="00212F3A"/>
    <w:rsid w:val="002142D9"/>
    <w:rsid w:val="002146AD"/>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223A"/>
    <w:rsid w:val="0057347C"/>
    <w:rsid w:val="005743AE"/>
    <w:rsid w:val="00574970"/>
    <w:rsid w:val="00574DEB"/>
    <w:rsid w:val="005756D5"/>
    <w:rsid w:val="005764FF"/>
    <w:rsid w:val="00577F83"/>
    <w:rsid w:val="00580EF2"/>
    <w:rsid w:val="005815DD"/>
    <w:rsid w:val="00581A41"/>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CC0"/>
    <w:rsid w:val="006A2739"/>
    <w:rsid w:val="006A54F2"/>
    <w:rsid w:val="006A5651"/>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684D"/>
    <w:rsid w:val="00A57260"/>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3647C"/>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79ED"/>
    <w:rsid w:val="00FB7F5F"/>
    <w:rsid w:val="00FC0B0D"/>
    <w:rsid w:val="00FC0C2A"/>
    <w:rsid w:val="00FC7465"/>
    <w:rsid w:val="00FD0DE8"/>
    <w:rsid w:val="00FD39AD"/>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630EE9"/>
    <w:rsid w:val="022140CB"/>
    <w:rsid w:val="02AA762D"/>
    <w:rsid w:val="02DA018C"/>
    <w:rsid w:val="046C750A"/>
    <w:rsid w:val="0478216E"/>
    <w:rsid w:val="04B072D4"/>
    <w:rsid w:val="05171224"/>
    <w:rsid w:val="05F575D4"/>
    <w:rsid w:val="061600EE"/>
    <w:rsid w:val="063B6430"/>
    <w:rsid w:val="06414674"/>
    <w:rsid w:val="064249C6"/>
    <w:rsid w:val="06824DC3"/>
    <w:rsid w:val="06B255BD"/>
    <w:rsid w:val="06EB0BBA"/>
    <w:rsid w:val="07B471FE"/>
    <w:rsid w:val="08641132"/>
    <w:rsid w:val="08940D0B"/>
    <w:rsid w:val="09186774"/>
    <w:rsid w:val="0945438F"/>
    <w:rsid w:val="0966277A"/>
    <w:rsid w:val="09DC0A30"/>
    <w:rsid w:val="0A333029"/>
    <w:rsid w:val="0A71587A"/>
    <w:rsid w:val="0B25541E"/>
    <w:rsid w:val="0B792C38"/>
    <w:rsid w:val="0BD065D0"/>
    <w:rsid w:val="0C28640C"/>
    <w:rsid w:val="0C4867C0"/>
    <w:rsid w:val="0C650BD6"/>
    <w:rsid w:val="0D0B777A"/>
    <w:rsid w:val="0DE25B7D"/>
    <w:rsid w:val="0E90599A"/>
    <w:rsid w:val="0ED40902"/>
    <w:rsid w:val="0ED720CD"/>
    <w:rsid w:val="0EEC1FB6"/>
    <w:rsid w:val="0F096F10"/>
    <w:rsid w:val="0F390735"/>
    <w:rsid w:val="0F933B9D"/>
    <w:rsid w:val="0FA45DAA"/>
    <w:rsid w:val="0FA964A5"/>
    <w:rsid w:val="0FF7237E"/>
    <w:rsid w:val="100E1475"/>
    <w:rsid w:val="110C3C07"/>
    <w:rsid w:val="11FF19BD"/>
    <w:rsid w:val="12070CAE"/>
    <w:rsid w:val="12403D1B"/>
    <w:rsid w:val="12582B20"/>
    <w:rsid w:val="127F2161"/>
    <w:rsid w:val="12E017EF"/>
    <w:rsid w:val="13F13588"/>
    <w:rsid w:val="145F688C"/>
    <w:rsid w:val="14A8633C"/>
    <w:rsid w:val="15DD2205"/>
    <w:rsid w:val="161A5018"/>
    <w:rsid w:val="168C5DC3"/>
    <w:rsid w:val="16B438BD"/>
    <w:rsid w:val="173619DD"/>
    <w:rsid w:val="17A67110"/>
    <w:rsid w:val="18221B75"/>
    <w:rsid w:val="1864189B"/>
    <w:rsid w:val="18D73A7D"/>
    <w:rsid w:val="19297320"/>
    <w:rsid w:val="19557370"/>
    <w:rsid w:val="197A4F64"/>
    <w:rsid w:val="1A4E1523"/>
    <w:rsid w:val="1A7E6258"/>
    <w:rsid w:val="1AF22E73"/>
    <w:rsid w:val="1B8B6070"/>
    <w:rsid w:val="1BD06B6A"/>
    <w:rsid w:val="1C47450A"/>
    <w:rsid w:val="1C633D09"/>
    <w:rsid w:val="1C6B44E3"/>
    <w:rsid w:val="1D7D523F"/>
    <w:rsid w:val="1D8F0333"/>
    <w:rsid w:val="1DFFD619"/>
    <w:rsid w:val="1E0D0252"/>
    <w:rsid w:val="1EBF79AF"/>
    <w:rsid w:val="1EEE7042"/>
    <w:rsid w:val="1F782BDE"/>
    <w:rsid w:val="20250841"/>
    <w:rsid w:val="20452C91"/>
    <w:rsid w:val="206C2914"/>
    <w:rsid w:val="216F099D"/>
    <w:rsid w:val="21BC3427"/>
    <w:rsid w:val="21FE57EE"/>
    <w:rsid w:val="23317869"/>
    <w:rsid w:val="235061E8"/>
    <w:rsid w:val="23D9206E"/>
    <w:rsid w:val="24744536"/>
    <w:rsid w:val="24F04149"/>
    <w:rsid w:val="25137BD7"/>
    <w:rsid w:val="25650CAE"/>
    <w:rsid w:val="25930DDA"/>
    <w:rsid w:val="26406598"/>
    <w:rsid w:val="265E1D2F"/>
    <w:rsid w:val="26793695"/>
    <w:rsid w:val="27693596"/>
    <w:rsid w:val="28080056"/>
    <w:rsid w:val="28274CC4"/>
    <w:rsid w:val="28381974"/>
    <w:rsid w:val="28734C1A"/>
    <w:rsid w:val="28C72DDD"/>
    <w:rsid w:val="29791CCE"/>
    <w:rsid w:val="29EE0E64"/>
    <w:rsid w:val="2A273408"/>
    <w:rsid w:val="2A7B2EDB"/>
    <w:rsid w:val="2AC76ABE"/>
    <w:rsid w:val="2ACF7D27"/>
    <w:rsid w:val="2CAF6062"/>
    <w:rsid w:val="2D173798"/>
    <w:rsid w:val="2D356C58"/>
    <w:rsid w:val="2D752406"/>
    <w:rsid w:val="2DC378EB"/>
    <w:rsid w:val="2DE5106D"/>
    <w:rsid w:val="2EF90F16"/>
    <w:rsid w:val="2F125C63"/>
    <w:rsid w:val="2F6F7D2B"/>
    <w:rsid w:val="2FB6213D"/>
    <w:rsid w:val="302C3D0A"/>
    <w:rsid w:val="30A532D8"/>
    <w:rsid w:val="30DF3357"/>
    <w:rsid w:val="32054C26"/>
    <w:rsid w:val="322E57C9"/>
    <w:rsid w:val="32A41A99"/>
    <w:rsid w:val="331134C5"/>
    <w:rsid w:val="33DE31BB"/>
    <w:rsid w:val="33E81E5A"/>
    <w:rsid w:val="353D61D5"/>
    <w:rsid w:val="35415CF9"/>
    <w:rsid w:val="364354F6"/>
    <w:rsid w:val="36EE59D9"/>
    <w:rsid w:val="383657B7"/>
    <w:rsid w:val="389C49C0"/>
    <w:rsid w:val="38B90269"/>
    <w:rsid w:val="39BC78F4"/>
    <w:rsid w:val="3A145A2A"/>
    <w:rsid w:val="3A225A50"/>
    <w:rsid w:val="3A2F4608"/>
    <w:rsid w:val="3B111C96"/>
    <w:rsid w:val="3B1B48C3"/>
    <w:rsid w:val="3BDE1E79"/>
    <w:rsid w:val="3C8A61A4"/>
    <w:rsid w:val="3D5F1032"/>
    <w:rsid w:val="3DC47494"/>
    <w:rsid w:val="3E4A5C08"/>
    <w:rsid w:val="3E4E31FF"/>
    <w:rsid w:val="3EF1250A"/>
    <w:rsid w:val="3F0B4C1C"/>
    <w:rsid w:val="3F512FA9"/>
    <w:rsid w:val="3FB7862D"/>
    <w:rsid w:val="3FFD0985"/>
    <w:rsid w:val="40567DB0"/>
    <w:rsid w:val="40FF5CD2"/>
    <w:rsid w:val="42444AD8"/>
    <w:rsid w:val="42DB40B0"/>
    <w:rsid w:val="43727992"/>
    <w:rsid w:val="43B71B0A"/>
    <w:rsid w:val="43F403A7"/>
    <w:rsid w:val="449851D6"/>
    <w:rsid w:val="44FA0589"/>
    <w:rsid w:val="456F4189"/>
    <w:rsid w:val="45A663E3"/>
    <w:rsid w:val="465A2F8B"/>
    <w:rsid w:val="4665558C"/>
    <w:rsid w:val="4682613E"/>
    <w:rsid w:val="469F09AF"/>
    <w:rsid w:val="46BA7686"/>
    <w:rsid w:val="47121270"/>
    <w:rsid w:val="472D7E58"/>
    <w:rsid w:val="47835EAB"/>
    <w:rsid w:val="47906638"/>
    <w:rsid w:val="47AB5C99"/>
    <w:rsid w:val="48C06A4A"/>
    <w:rsid w:val="498B6799"/>
    <w:rsid w:val="49FE5ADB"/>
    <w:rsid w:val="4A445BB8"/>
    <w:rsid w:val="4A9D7706"/>
    <w:rsid w:val="4B756271"/>
    <w:rsid w:val="4C1C1A73"/>
    <w:rsid w:val="4C8E1CA8"/>
    <w:rsid w:val="4CD74C68"/>
    <w:rsid w:val="4CE865CF"/>
    <w:rsid w:val="4D6D36A4"/>
    <w:rsid w:val="4EC55959"/>
    <w:rsid w:val="4FD70F36"/>
    <w:rsid w:val="50B67FB7"/>
    <w:rsid w:val="50CA5A8F"/>
    <w:rsid w:val="510903EF"/>
    <w:rsid w:val="52EA12F3"/>
    <w:rsid w:val="53327727"/>
    <w:rsid w:val="53A72D40"/>
    <w:rsid w:val="53DF072C"/>
    <w:rsid w:val="53F137F4"/>
    <w:rsid w:val="541C5459"/>
    <w:rsid w:val="54316AAD"/>
    <w:rsid w:val="543A6906"/>
    <w:rsid w:val="54B5148C"/>
    <w:rsid w:val="55AC288F"/>
    <w:rsid w:val="56680AA6"/>
    <w:rsid w:val="567B6D4A"/>
    <w:rsid w:val="56850CBB"/>
    <w:rsid w:val="56921A85"/>
    <w:rsid w:val="57623B4D"/>
    <w:rsid w:val="57DD1426"/>
    <w:rsid w:val="57EC5EE9"/>
    <w:rsid w:val="58381C29"/>
    <w:rsid w:val="58AB1173"/>
    <w:rsid w:val="595B0854"/>
    <w:rsid w:val="595F38FA"/>
    <w:rsid w:val="59A40218"/>
    <w:rsid w:val="5A666D76"/>
    <w:rsid w:val="5AA90E03"/>
    <w:rsid w:val="5AF70A51"/>
    <w:rsid w:val="5B2253C2"/>
    <w:rsid w:val="5B5163B3"/>
    <w:rsid w:val="5B9E24B5"/>
    <w:rsid w:val="5BE251E0"/>
    <w:rsid w:val="5C89415A"/>
    <w:rsid w:val="5E36363E"/>
    <w:rsid w:val="5E7922CB"/>
    <w:rsid w:val="5EAD2468"/>
    <w:rsid w:val="5EBD5B0D"/>
    <w:rsid w:val="5F105C3D"/>
    <w:rsid w:val="5F681F1D"/>
    <w:rsid w:val="5F9335B0"/>
    <w:rsid w:val="5FB46F10"/>
    <w:rsid w:val="60067040"/>
    <w:rsid w:val="603269D2"/>
    <w:rsid w:val="60762418"/>
    <w:rsid w:val="608368E3"/>
    <w:rsid w:val="61A52BCA"/>
    <w:rsid w:val="61FFE166"/>
    <w:rsid w:val="622930FA"/>
    <w:rsid w:val="62775FD3"/>
    <w:rsid w:val="62922E0D"/>
    <w:rsid w:val="62E775FD"/>
    <w:rsid w:val="63587FF4"/>
    <w:rsid w:val="64460353"/>
    <w:rsid w:val="646A4041"/>
    <w:rsid w:val="646C7CD0"/>
    <w:rsid w:val="648F28EE"/>
    <w:rsid w:val="65985B50"/>
    <w:rsid w:val="65A62C59"/>
    <w:rsid w:val="66E70103"/>
    <w:rsid w:val="67095496"/>
    <w:rsid w:val="67EC43D0"/>
    <w:rsid w:val="67ED7463"/>
    <w:rsid w:val="681A546A"/>
    <w:rsid w:val="686F7E78"/>
    <w:rsid w:val="692426B2"/>
    <w:rsid w:val="69AF24F6"/>
    <w:rsid w:val="69CB37D4"/>
    <w:rsid w:val="6A0D5B9B"/>
    <w:rsid w:val="6A3B23B1"/>
    <w:rsid w:val="6AEA32DC"/>
    <w:rsid w:val="6B8005EE"/>
    <w:rsid w:val="6C042FCD"/>
    <w:rsid w:val="6CC24AB5"/>
    <w:rsid w:val="6CD472E6"/>
    <w:rsid w:val="6D082649"/>
    <w:rsid w:val="6D094746"/>
    <w:rsid w:val="6D6D6950"/>
    <w:rsid w:val="6D9271B2"/>
    <w:rsid w:val="6DFD4599"/>
    <w:rsid w:val="6E0A1FF1"/>
    <w:rsid w:val="6E160D96"/>
    <w:rsid w:val="6E453CB7"/>
    <w:rsid w:val="6EC319C3"/>
    <w:rsid w:val="6F134790"/>
    <w:rsid w:val="6F5B73A8"/>
    <w:rsid w:val="6FB371C8"/>
    <w:rsid w:val="70030B0E"/>
    <w:rsid w:val="70AE50FA"/>
    <w:rsid w:val="71347EB1"/>
    <w:rsid w:val="713A4D9B"/>
    <w:rsid w:val="71842467"/>
    <w:rsid w:val="71B67774"/>
    <w:rsid w:val="72446028"/>
    <w:rsid w:val="72584610"/>
    <w:rsid w:val="72640322"/>
    <w:rsid w:val="73076EC0"/>
    <w:rsid w:val="730905A8"/>
    <w:rsid w:val="7399224D"/>
    <w:rsid w:val="73B14415"/>
    <w:rsid w:val="74210CA6"/>
    <w:rsid w:val="746E5488"/>
    <w:rsid w:val="74C432FA"/>
    <w:rsid w:val="750F58D3"/>
    <w:rsid w:val="753F10F6"/>
    <w:rsid w:val="758006EA"/>
    <w:rsid w:val="7606301F"/>
    <w:rsid w:val="760B2F52"/>
    <w:rsid w:val="76E71507"/>
    <w:rsid w:val="77101DD8"/>
    <w:rsid w:val="77E27A63"/>
    <w:rsid w:val="788C25F5"/>
    <w:rsid w:val="79D858ED"/>
    <w:rsid w:val="79F72AA9"/>
    <w:rsid w:val="7B7A4F7D"/>
    <w:rsid w:val="7BF02C26"/>
    <w:rsid w:val="7C596A1E"/>
    <w:rsid w:val="7C923B05"/>
    <w:rsid w:val="7D034BDB"/>
    <w:rsid w:val="7D2F59D0"/>
    <w:rsid w:val="7D3F20B7"/>
    <w:rsid w:val="7D690EE2"/>
    <w:rsid w:val="7DD37FAE"/>
    <w:rsid w:val="7E064983"/>
    <w:rsid w:val="7EB84583"/>
    <w:rsid w:val="7EE121A6"/>
    <w:rsid w:val="7F3D0160"/>
    <w:rsid w:val="7F3E1EFB"/>
    <w:rsid w:val="7FA77AA0"/>
    <w:rsid w:val="A2C5B819"/>
    <w:rsid w:val="DFADC93D"/>
    <w:rsid w:val="F75B84D5"/>
    <w:rsid w:val="FD7E5497"/>
    <w:rsid w:val="FFF39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4"/>
    <w:basedOn w:val="1"/>
    <w:next w:val="1"/>
    <w:unhideWhenUsed/>
    <w:qFormat/>
    <w:uiPriority w:val="0"/>
    <w:pPr>
      <w:keepNext/>
      <w:keepLines/>
      <w:widowControl/>
      <w:spacing w:line="360" w:lineRule="auto"/>
      <w:ind w:firstLine="200" w:firstLineChars="200"/>
      <w:outlineLvl w:val="3"/>
    </w:pPr>
    <w:rPr>
      <w:rFonts w:ascii="Times New Roman" w:hAnsi="Times New Roman" w:eastAsia="宋体" w:cs="Times New Roman (标题 CS)"/>
      <w:b/>
      <w:bCs/>
      <w:sz w:val="24"/>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style>
  <w:style w:type="paragraph" w:styleId="5">
    <w:name w:val="Body Text"/>
    <w:basedOn w:val="1"/>
    <w:qFormat/>
    <w:uiPriority w:val="1"/>
    <w:pPr>
      <w:ind w:left="220"/>
    </w:pPr>
    <w:rPr>
      <w:sz w:val="32"/>
      <w:szCs w:val="32"/>
    </w:rPr>
  </w:style>
  <w:style w:type="paragraph" w:styleId="6">
    <w:name w:val="Balloon Text"/>
    <w:basedOn w:val="1"/>
    <w:link w:val="19"/>
    <w:qFormat/>
    <w:uiPriority w:val="0"/>
    <w:rPr>
      <w:sz w:val="18"/>
      <w:szCs w:val="18"/>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Table Paragraph"/>
    <w:basedOn w:val="1"/>
    <w:qFormat/>
    <w:uiPriority w:val="1"/>
  </w:style>
  <w:style w:type="character" w:customStyle="1" w:styleId="15">
    <w:name w:val="页眉 字符"/>
    <w:basedOn w:val="12"/>
    <w:link w:val="8"/>
    <w:qFormat/>
    <w:uiPriority w:val="0"/>
    <w:rPr>
      <w:rFonts w:ascii="仿宋" w:hAnsi="仿宋" w:eastAsia="仿宋" w:cs="仿宋"/>
      <w:sz w:val="18"/>
      <w:szCs w:val="18"/>
      <w:lang w:val="zh-CN" w:bidi="zh-CN"/>
    </w:rPr>
  </w:style>
  <w:style w:type="character" w:customStyle="1" w:styleId="16">
    <w:name w:val="页脚 字符"/>
    <w:basedOn w:val="12"/>
    <w:link w:val="7"/>
    <w:qFormat/>
    <w:uiPriority w:val="0"/>
    <w:rPr>
      <w:rFonts w:ascii="仿宋" w:hAnsi="仿宋" w:eastAsia="仿宋" w:cs="仿宋"/>
      <w:sz w:val="18"/>
      <w:szCs w:val="18"/>
      <w:lang w:val="zh-CN" w:bidi="zh-CN"/>
    </w:rPr>
  </w:style>
  <w:style w:type="character" w:customStyle="1" w:styleId="17">
    <w:name w:val="批注文字 字符"/>
    <w:basedOn w:val="12"/>
    <w:link w:val="4"/>
    <w:qFormat/>
    <w:uiPriority w:val="0"/>
    <w:rPr>
      <w:rFonts w:ascii="仿宋" w:hAnsi="仿宋" w:eastAsia="仿宋" w:cs="仿宋"/>
      <w:sz w:val="22"/>
      <w:szCs w:val="22"/>
      <w:lang w:val="zh-CN" w:bidi="zh-CN"/>
    </w:rPr>
  </w:style>
  <w:style w:type="character" w:customStyle="1" w:styleId="18">
    <w:name w:val="批注主题 字符"/>
    <w:basedOn w:val="17"/>
    <w:link w:val="9"/>
    <w:qFormat/>
    <w:uiPriority w:val="0"/>
    <w:rPr>
      <w:rFonts w:ascii="仿宋" w:hAnsi="仿宋" w:eastAsia="仿宋" w:cs="仿宋"/>
      <w:b/>
      <w:bCs/>
      <w:sz w:val="22"/>
      <w:szCs w:val="22"/>
      <w:lang w:val="zh-CN" w:bidi="zh-CN"/>
    </w:rPr>
  </w:style>
  <w:style w:type="character" w:customStyle="1" w:styleId="19">
    <w:name w:val="批注框文本 字符"/>
    <w:basedOn w:val="12"/>
    <w:link w:val="6"/>
    <w:qFormat/>
    <w:uiPriority w:val="0"/>
    <w:rPr>
      <w:rFonts w:ascii="仿宋" w:hAnsi="仿宋" w:eastAsia="仿宋" w:cs="仿宋"/>
      <w:sz w:val="18"/>
      <w:szCs w:val="18"/>
      <w:lang w:val="zh-CN" w:bidi="zh-CN"/>
    </w:rPr>
  </w:style>
  <w:style w:type="paragraph" w:customStyle="1" w:styleId="20">
    <w:name w:val="修订1"/>
    <w:autoRedefine/>
    <w:hidden/>
    <w:semiHidden/>
    <w:qFormat/>
    <w:uiPriority w:val="99"/>
    <w:rPr>
      <w:rFonts w:ascii="仿宋" w:hAnsi="仿宋" w:eastAsia="仿宋" w:cs="仿宋"/>
      <w:sz w:val="22"/>
      <w:szCs w:val="22"/>
      <w:lang w:val="zh-CN" w:eastAsia="zh-CN" w:bidi="zh-CN"/>
    </w:rPr>
  </w:style>
  <w:style w:type="paragraph" w:customStyle="1" w:styleId="21">
    <w:name w:val="修订2"/>
    <w:hidden/>
    <w:semiHidden/>
    <w:qFormat/>
    <w:uiPriority w:val="99"/>
    <w:rPr>
      <w:rFonts w:ascii="仿宋" w:hAnsi="仿宋" w:eastAsia="仿宋" w:cs="仿宋"/>
      <w:sz w:val="22"/>
      <w:szCs w:val="22"/>
      <w:lang w:val="zh-CN" w:eastAsia="zh-CN" w:bidi="zh-CN"/>
    </w:rPr>
  </w:style>
  <w:style w:type="paragraph" w:customStyle="1" w:styleId="22">
    <w:name w:val="修订3"/>
    <w:hidden/>
    <w:semiHidden/>
    <w:qFormat/>
    <w:uiPriority w:val="99"/>
    <w:rPr>
      <w:rFonts w:ascii="仿宋" w:hAnsi="仿宋" w:eastAsia="仿宋" w:cs="仿宋"/>
      <w:sz w:val="22"/>
      <w:szCs w:val="22"/>
      <w:lang w:val="zh-CN" w:eastAsia="zh-CN" w:bidi="zh-CN"/>
    </w:rPr>
  </w:style>
  <w:style w:type="paragraph" w:customStyle="1" w:styleId="23">
    <w:name w:val="修订4"/>
    <w:autoRedefine/>
    <w:hidden/>
    <w:semiHidden/>
    <w:qFormat/>
    <w:uiPriority w:val="99"/>
    <w:rPr>
      <w:rFonts w:ascii="仿宋" w:hAnsi="仿宋" w:eastAsia="仿宋" w:cs="仿宋"/>
      <w:sz w:val="22"/>
      <w:szCs w:val="22"/>
      <w:lang w:val="zh-CN" w:eastAsia="zh-CN" w:bidi="zh-CN"/>
    </w:rPr>
  </w:style>
  <w:style w:type="paragraph" w:customStyle="1" w:styleId="24">
    <w:name w:val="修订5"/>
    <w:autoRedefine/>
    <w:hidden/>
    <w:semiHidden/>
    <w:qFormat/>
    <w:uiPriority w:val="99"/>
    <w:rPr>
      <w:rFonts w:ascii="仿宋" w:hAnsi="仿宋" w:eastAsia="仿宋" w:cs="仿宋"/>
      <w:sz w:val="22"/>
      <w:szCs w:val="22"/>
      <w:lang w:val="zh-CN" w:eastAsia="zh-CN" w:bidi="zh-CN"/>
    </w:rPr>
  </w:style>
  <w:style w:type="paragraph" w:customStyle="1" w:styleId="25">
    <w:name w:val="修订6"/>
    <w:autoRedefine/>
    <w:hidden/>
    <w:semiHidden/>
    <w:qFormat/>
    <w:uiPriority w:val="99"/>
    <w:rPr>
      <w:rFonts w:ascii="仿宋" w:hAnsi="仿宋" w:eastAsia="仿宋" w:cs="仿宋"/>
      <w:sz w:val="22"/>
      <w:szCs w:val="22"/>
      <w:lang w:val="zh-CN" w:eastAsia="zh-CN" w:bidi="zh-CN"/>
    </w:rPr>
  </w:style>
  <w:style w:type="paragraph" w:customStyle="1" w:styleId="26">
    <w:name w:val="修订7"/>
    <w:autoRedefine/>
    <w:hidden/>
    <w:semiHidden/>
    <w:qFormat/>
    <w:uiPriority w:val="99"/>
    <w:rPr>
      <w:rFonts w:ascii="仿宋" w:hAnsi="仿宋" w:eastAsia="仿宋" w:cs="仿宋"/>
      <w:sz w:val="22"/>
      <w:szCs w:val="22"/>
      <w:lang w:val="zh-CN" w:eastAsia="zh-CN" w:bidi="zh-CN"/>
    </w:rPr>
  </w:style>
  <w:style w:type="paragraph" w:customStyle="1" w:styleId="27">
    <w:name w:val="修订8"/>
    <w:autoRedefine/>
    <w:hidden/>
    <w:semiHidden/>
    <w:qFormat/>
    <w:uiPriority w:val="99"/>
    <w:rPr>
      <w:rFonts w:ascii="仿宋" w:hAnsi="仿宋" w:eastAsia="仿宋" w:cs="仿宋"/>
      <w:sz w:val="22"/>
      <w:szCs w:val="22"/>
      <w:lang w:val="zh-CN" w:eastAsia="zh-CN" w:bidi="zh-CN"/>
    </w:rPr>
  </w:style>
  <w:style w:type="paragraph" w:customStyle="1" w:styleId="28">
    <w:name w:val="修订9"/>
    <w:autoRedefine/>
    <w:hidden/>
    <w:semiHidden/>
    <w:qFormat/>
    <w:uiPriority w:val="99"/>
    <w:rPr>
      <w:rFonts w:ascii="仿宋" w:hAnsi="仿宋" w:eastAsia="仿宋" w:cs="仿宋"/>
      <w:sz w:val="22"/>
      <w:szCs w:val="22"/>
      <w:lang w:val="zh-CN" w:eastAsia="zh-CN" w:bidi="zh-CN"/>
    </w:rPr>
  </w:style>
  <w:style w:type="paragraph" w:customStyle="1" w:styleId="29">
    <w:name w:val="修订10"/>
    <w:autoRedefine/>
    <w:hidden/>
    <w:semiHidden/>
    <w:qFormat/>
    <w:uiPriority w:val="99"/>
    <w:rPr>
      <w:rFonts w:ascii="仿宋" w:hAnsi="仿宋" w:eastAsia="仿宋" w:cs="仿宋"/>
      <w:sz w:val="22"/>
      <w:szCs w:val="22"/>
      <w:lang w:val="zh-CN" w:eastAsia="zh-CN" w:bidi="zh-CN"/>
    </w:rPr>
  </w:style>
  <w:style w:type="paragraph" w:customStyle="1" w:styleId="30">
    <w:name w:val="修订11"/>
    <w:autoRedefine/>
    <w:hidden/>
    <w:semiHidden/>
    <w:qFormat/>
    <w:uiPriority w:val="99"/>
    <w:rPr>
      <w:rFonts w:ascii="仿宋" w:hAnsi="仿宋" w:eastAsia="仿宋" w:cs="仿宋"/>
      <w:sz w:val="22"/>
      <w:szCs w:val="22"/>
      <w:lang w:val="zh-CN" w:eastAsia="zh-CN" w:bidi="zh-CN"/>
    </w:rPr>
  </w:style>
  <w:style w:type="paragraph" w:customStyle="1" w:styleId="31">
    <w:name w:val="修订12"/>
    <w:autoRedefine/>
    <w:hidden/>
    <w:semiHidden/>
    <w:qFormat/>
    <w:uiPriority w:val="99"/>
    <w:rPr>
      <w:rFonts w:ascii="仿宋" w:hAnsi="仿宋" w:eastAsia="仿宋" w:cs="仿宋"/>
      <w:sz w:val="22"/>
      <w:szCs w:val="22"/>
      <w:lang w:val="zh-CN" w:eastAsia="zh-CN" w:bidi="zh-CN"/>
    </w:rPr>
  </w:style>
  <w:style w:type="paragraph" w:customStyle="1" w:styleId="32">
    <w:name w:val="修订13"/>
    <w:autoRedefine/>
    <w:hidden/>
    <w:semiHidden/>
    <w:qFormat/>
    <w:uiPriority w:val="99"/>
    <w:rPr>
      <w:rFonts w:ascii="仿宋" w:hAnsi="仿宋" w:eastAsia="仿宋" w:cs="仿宋"/>
      <w:sz w:val="22"/>
      <w:szCs w:val="22"/>
      <w:lang w:val="zh-CN" w:eastAsia="zh-CN" w:bidi="zh-CN"/>
    </w:rPr>
  </w:style>
  <w:style w:type="paragraph" w:customStyle="1" w:styleId="33">
    <w:name w:val="修订14"/>
    <w:autoRedefine/>
    <w:hidden/>
    <w:semiHidden/>
    <w:qFormat/>
    <w:uiPriority w:val="99"/>
    <w:rPr>
      <w:rFonts w:ascii="仿宋" w:hAnsi="仿宋" w:eastAsia="仿宋" w:cs="仿宋"/>
      <w:sz w:val="22"/>
      <w:szCs w:val="22"/>
      <w:lang w:val="zh-CN" w:eastAsia="zh-CN" w:bidi="zh-CN"/>
    </w:rPr>
  </w:style>
  <w:style w:type="paragraph" w:customStyle="1" w:styleId="34">
    <w:name w:val="修订15"/>
    <w:autoRedefine/>
    <w:hidden/>
    <w:semiHidden/>
    <w:qFormat/>
    <w:uiPriority w:val="99"/>
    <w:rPr>
      <w:rFonts w:ascii="仿宋" w:hAnsi="仿宋" w:eastAsia="仿宋" w:cs="仿宋"/>
      <w:sz w:val="22"/>
      <w:szCs w:val="22"/>
      <w:lang w:val="zh-CN" w:eastAsia="zh-CN" w:bidi="zh-CN"/>
    </w:rPr>
  </w:style>
  <w:style w:type="paragraph" w:customStyle="1" w:styleId="35">
    <w:name w:val="修订16"/>
    <w:autoRedefine/>
    <w:hidden/>
    <w:semiHidden/>
    <w:qFormat/>
    <w:uiPriority w:val="99"/>
    <w:rPr>
      <w:rFonts w:ascii="仿宋" w:hAnsi="仿宋" w:eastAsia="仿宋" w:cs="仿宋"/>
      <w:sz w:val="22"/>
      <w:szCs w:val="22"/>
      <w:lang w:val="zh-CN" w:eastAsia="zh-CN" w:bidi="zh-CN"/>
    </w:rPr>
  </w:style>
  <w:style w:type="paragraph" w:customStyle="1" w:styleId="36">
    <w:name w:val="修订17"/>
    <w:autoRedefine/>
    <w:hidden/>
    <w:semiHidden/>
    <w:qFormat/>
    <w:uiPriority w:val="99"/>
    <w:rPr>
      <w:rFonts w:ascii="仿宋" w:hAnsi="仿宋" w:eastAsia="仿宋" w:cs="仿宋"/>
      <w:sz w:val="22"/>
      <w:szCs w:val="22"/>
      <w:lang w:val="zh-CN" w:eastAsia="zh-CN" w:bidi="zh-CN"/>
    </w:rPr>
  </w:style>
  <w:style w:type="paragraph" w:customStyle="1" w:styleId="37">
    <w:name w:val="修订18"/>
    <w:autoRedefine/>
    <w:hidden/>
    <w:semiHidden/>
    <w:qFormat/>
    <w:uiPriority w:val="99"/>
    <w:rPr>
      <w:rFonts w:ascii="仿宋" w:hAnsi="仿宋" w:eastAsia="仿宋" w:cs="仿宋"/>
      <w:sz w:val="22"/>
      <w:szCs w:val="22"/>
      <w:lang w:val="zh-CN" w:eastAsia="zh-CN" w:bidi="zh-CN"/>
    </w:rPr>
  </w:style>
  <w:style w:type="paragraph" w:customStyle="1" w:styleId="38">
    <w:name w:val="修订19"/>
    <w:autoRedefine/>
    <w:hidden/>
    <w:semiHidden/>
    <w:qFormat/>
    <w:uiPriority w:val="99"/>
    <w:rPr>
      <w:rFonts w:ascii="仿宋" w:hAnsi="仿宋" w:eastAsia="仿宋" w:cs="仿宋"/>
      <w:sz w:val="22"/>
      <w:szCs w:val="22"/>
      <w:lang w:val="zh-CN" w:eastAsia="zh-CN" w:bidi="zh-CN"/>
    </w:rPr>
  </w:style>
  <w:style w:type="paragraph" w:customStyle="1" w:styleId="39">
    <w:name w:val="修订20"/>
    <w:autoRedefine/>
    <w:hidden/>
    <w:semiHidden/>
    <w:qFormat/>
    <w:uiPriority w:val="99"/>
    <w:rPr>
      <w:rFonts w:ascii="仿宋" w:hAnsi="仿宋" w:eastAsia="仿宋" w:cs="仿宋"/>
      <w:sz w:val="22"/>
      <w:szCs w:val="22"/>
      <w:lang w:val="zh-CN" w:eastAsia="zh-CN" w:bidi="zh-CN"/>
    </w:rPr>
  </w:style>
  <w:style w:type="paragraph" w:customStyle="1" w:styleId="40">
    <w:name w:val="修订21"/>
    <w:hidden/>
    <w:semiHidden/>
    <w:qFormat/>
    <w:uiPriority w:val="99"/>
    <w:rPr>
      <w:rFonts w:ascii="仿宋" w:hAnsi="仿宋" w:eastAsia="仿宋" w:cs="仿宋"/>
      <w:sz w:val="22"/>
      <w:szCs w:val="22"/>
      <w:lang w:val="zh-CN" w:eastAsia="zh-CN" w:bidi="zh-CN"/>
    </w:rPr>
  </w:style>
  <w:style w:type="paragraph" w:customStyle="1" w:styleId="41">
    <w:name w:val="修订22"/>
    <w:autoRedefine/>
    <w:hidden/>
    <w:unhideWhenUsed/>
    <w:qFormat/>
    <w:uiPriority w:val="99"/>
    <w:rPr>
      <w:rFonts w:ascii="仿宋" w:hAnsi="仿宋" w:eastAsia="仿宋" w:cs="仿宋"/>
      <w:sz w:val="22"/>
      <w:szCs w:val="22"/>
      <w:lang w:val="zh-CN" w:eastAsia="zh-CN" w:bidi="zh-CN"/>
    </w:rPr>
  </w:style>
  <w:style w:type="paragraph" w:customStyle="1" w:styleId="42">
    <w:name w:val="修订23"/>
    <w:autoRedefine/>
    <w:hidden/>
    <w:unhideWhenUsed/>
    <w:qFormat/>
    <w:uiPriority w:val="99"/>
    <w:rPr>
      <w:rFonts w:ascii="仿宋" w:hAnsi="仿宋" w:eastAsia="仿宋" w:cs="仿宋"/>
      <w:sz w:val="22"/>
      <w:szCs w:val="22"/>
      <w:lang w:val="zh-CN" w:eastAsia="zh-CN" w:bidi="zh-CN"/>
    </w:rPr>
  </w:style>
  <w:style w:type="paragraph" w:customStyle="1" w:styleId="43">
    <w:name w:val="修订24"/>
    <w:autoRedefine/>
    <w:hidden/>
    <w:unhideWhenUsed/>
    <w:qFormat/>
    <w:uiPriority w:val="99"/>
    <w:rPr>
      <w:rFonts w:ascii="仿宋" w:hAnsi="仿宋" w:eastAsia="仿宋" w:cs="仿宋"/>
      <w:sz w:val="22"/>
      <w:szCs w:val="22"/>
      <w:lang w:val="zh-CN" w:eastAsia="zh-CN" w:bidi="zh-CN"/>
    </w:rPr>
  </w:style>
  <w:style w:type="paragraph" w:customStyle="1" w:styleId="44">
    <w:name w:val="大象正文"/>
    <w:basedOn w:val="5"/>
    <w:autoRedefine/>
    <w:qFormat/>
    <w:uiPriority w:val="0"/>
    <w:pPr>
      <w:widowControl/>
      <w:spacing w:before="30" w:beforeLines="30" w:after="30" w:afterLines="30" w:line="360" w:lineRule="auto"/>
      <w:ind w:firstLine="420" w:firstLineChars="200"/>
    </w:pPr>
    <w:rPr>
      <w:rFonts w:hint="eastAsia" w:ascii="Times New Roman" w:hAnsi="Times New Roman" w:eastAsia="宋体" w:cs="Arial"/>
      <w:sz w:val="24"/>
      <w:szCs w:val="21"/>
    </w:rPr>
  </w:style>
  <w:style w:type="paragraph" w:customStyle="1" w:styleId="45">
    <w:name w:val="修订25"/>
    <w:autoRedefine/>
    <w:hidden/>
    <w:unhideWhenUsed/>
    <w:qFormat/>
    <w:uiPriority w:val="99"/>
    <w:rPr>
      <w:rFonts w:ascii="仿宋" w:hAnsi="仿宋" w:eastAsia="仿宋" w:cs="仿宋"/>
      <w:sz w:val="22"/>
      <w:szCs w:val="22"/>
      <w:lang w:val="zh-CN" w:eastAsia="zh-CN" w:bidi="zh-CN"/>
    </w:rPr>
  </w:style>
  <w:style w:type="paragraph" w:customStyle="1" w:styleId="46">
    <w:name w:val="修订26"/>
    <w:autoRedefine/>
    <w:hidden/>
    <w:unhideWhenUsed/>
    <w:qFormat/>
    <w:uiPriority w:val="99"/>
    <w:rPr>
      <w:rFonts w:ascii="仿宋" w:hAnsi="仿宋" w:eastAsia="仿宋" w:cs="仿宋"/>
      <w:sz w:val="22"/>
      <w:szCs w:val="22"/>
      <w:lang w:val="zh-CN" w:eastAsia="zh-CN" w:bidi="zh-CN"/>
    </w:rPr>
  </w:style>
  <w:style w:type="paragraph" w:customStyle="1" w:styleId="47">
    <w:name w:val="修订27"/>
    <w:autoRedefine/>
    <w:hidden/>
    <w:unhideWhenUsed/>
    <w:qFormat/>
    <w:uiPriority w:val="99"/>
    <w:rPr>
      <w:rFonts w:ascii="仿宋" w:hAnsi="仿宋" w:eastAsia="仿宋" w:cs="仿宋"/>
      <w:sz w:val="22"/>
      <w:szCs w:val="22"/>
      <w:lang w:val="zh-CN" w:eastAsia="zh-CN" w:bidi="zh-CN"/>
    </w:rPr>
  </w:style>
  <w:style w:type="paragraph" w:customStyle="1" w:styleId="48">
    <w:name w:val="修订28"/>
    <w:autoRedefine/>
    <w:hidden/>
    <w:unhideWhenUsed/>
    <w:qFormat/>
    <w:uiPriority w:val="99"/>
    <w:rPr>
      <w:rFonts w:ascii="仿宋" w:hAnsi="仿宋" w:eastAsia="仿宋" w:cs="仿宋"/>
      <w:sz w:val="22"/>
      <w:szCs w:val="22"/>
      <w:lang w:val="zh-CN" w:eastAsia="zh-CN" w:bidi="zh-CN"/>
    </w:rPr>
  </w:style>
  <w:style w:type="paragraph" w:customStyle="1" w:styleId="49">
    <w:name w:val="修订29"/>
    <w:autoRedefine/>
    <w:hidden/>
    <w:unhideWhenUsed/>
    <w:qFormat/>
    <w:uiPriority w:val="99"/>
    <w:rPr>
      <w:rFonts w:ascii="仿宋" w:hAnsi="仿宋" w:eastAsia="仿宋" w:cs="仿宋"/>
      <w:sz w:val="22"/>
      <w:szCs w:val="22"/>
      <w:lang w:val="zh-CN" w:eastAsia="zh-CN" w:bidi="zh-CN"/>
    </w:rPr>
  </w:style>
  <w:style w:type="paragraph" w:customStyle="1" w:styleId="50">
    <w:name w:val="修订30"/>
    <w:autoRedefine/>
    <w:hidden/>
    <w:unhideWhenUsed/>
    <w:qFormat/>
    <w:uiPriority w:val="99"/>
    <w:rPr>
      <w:rFonts w:ascii="仿宋" w:hAnsi="仿宋" w:eastAsia="仿宋" w:cs="仿宋"/>
      <w:sz w:val="22"/>
      <w:szCs w:val="22"/>
      <w:lang w:val="zh-CN" w:eastAsia="zh-CN" w:bidi="zh-CN"/>
    </w:rPr>
  </w:style>
  <w:style w:type="paragraph" w:customStyle="1" w:styleId="51">
    <w:name w:val="Revision"/>
    <w:autoRedefine/>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Library\Containers\com.kingsoft.wpsoffice.mac\Data\C:\Users\apple\Library\Containers\com.kingsoft.wpsoffice.mac\Data\C:\Users\apple\Library\Containers\com.kingsoft.wpsoffice.mac\Data\C:\Users\SR102096\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9108E572-ED15-43CC-9A40-7E04648EF2D3}">
  <ds:schemaRefs/>
</ds:datastoreItem>
</file>

<file path=docProps/app.xml><?xml version="1.0" encoding="utf-8"?>
<Properties xmlns="http://schemas.openxmlformats.org/officeDocument/2006/extended-properties" xmlns:vt="http://schemas.openxmlformats.org/officeDocument/2006/docPropsVTypes">
  <Template>SSEReport</Template>
  <Pages>4</Pages>
  <Words>2359</Words>
  <Characters>2536</Characters>
  <Lines>14</Lines>
  <Paragraphs>4</Paragraphs>
  <TotalTime>176</TotalTime>
  <ScaleCrop>false</ScaleCrop>
  <LinksUpToDate>false</LinksUpToDate>
  <CharactersWithSpaces>2602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2022-06-04T20:33:00Z</dcterms:created>
  <dc:creator>jie.huang</dc:creator>
  <cp:lastModifiedBy>_Ｔbing丶</cp:lastModifiedBy>
  <cp:lastPrinted>2024-05-25T08:57:00Z</cp:lastPrinted>
  <dcterms:modified xsi:type="dcterms:W3CDTF">2025-06-12T08:48:38Z</dcterms:modified>
  <cp:revision>471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97D85897F92F472A92D9C6C683E27893_13</vt:lpwstr>
  </property>
</Properties>
</file>