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FD4C0B8">
      <w:pPr>
        <w:spacing w:before="156" w:beforeLines="50" w:after="156" w:afterLines="50" w:line="400" w:lineRule="exact"/>
        <w:jc w:val="center"/>
        <w:rPr>
          <w:rFonts w:hint="eastAsia" w:ascii="宋体" w:hAnsi="宋体" w:cs="宋体"/>
          <w:b/>
          <w:bCs/>
          <w:iCs/>
          <w:sz w:val="36"/>
          <w:szCs w:val="36"/>
        </w:rPr>
      </w:pPr>
      <w:r>
        <w:rPr>
          <w:rFonts w:hint="eastAsia" w:ascii="宋体" w:hAnsi="宋体" w:cs="宋体"/>
          <w:b/>
          <w:bCs/>
          <w:iCs/>
          <w:sz w:val="36"/>
          <w:szCs w:val="36"/>
        </w:rPr>
        <w:t>广州市品高软件股份有限公司</w:t>
      </w:r>
    </w:p>
    <w:p w14:paraId="417D5600">
      <w:pPr>
        <w:spacing w:before="156" w:beforeLines="50" w:after="156" w:afterLines="50" w:line="400" w:lineRule="exact"/>
        <w:jc w:val="center"/>
        <w:rPr>
          <w:rFonts w:ascii="宋体" w:hAnsi="宋体" w:cs="宋体"/>
          <w:b/>
          <w:bCs/>
          <w:iCs/>
          <w:sz w:val="36"/>
          <w:szCs w:val="36"/>
        </w:rPr>
      </w:pPr>
      <w:r>
        <w:rPr>
          <w:rFonts w:hint="eastAsia" w:ascii="宋体" w:hAnsi="宋体" w:cs="宋体"/>
          <w:b/>
          <w:bCs/>
          <w:iCs/>
          <w:sz w:val="36"/>
          <w:szCs w:val="36"/>
        </w:rPr>
        <w:t>投资者关系活动记录表</w:t>
      </w:r>
    </w:p>
    <w:p w14:paraId="25E896F8">
      <w:pPr>
        <w:spacing w:before="156" w:beforeLines="50" w:after="156" w:afterLines="50" w:line="400" w:lineRule="exact"/>
        <w:jc w:val="center"/>
        <w:rPr>
          <w:rFonts w:hint="eastAsia" w:ascii="宋体" w:hAnsi="宋体" w:cs="宋体"/>
          <w:b/>
          <w:bCs/>
          <w:iCs/>
          <w:sz w:val="36"/>
          <w:szCs w:val="36"/>
        </w:rPr>
      </w:pPr>
      <w:r>
        <w:rPr>
          <w:rFonts w:hint="eastAsia" w:ascii="宋体" w:hAnsi="宋体" w:cs="宋体"/>
          <w:b/>
          <w:bCs/>
          <w:iCs/>
          <w:sz w:val="36"/>
          <w:szCs w:val="36"/>
        </w:rPr>
        <w:t>（202</w:t>
      </w:r>
      <w:r>
        <w:rPr>
          <w:rFonts w:hint="eastAsia" w:ascii="宋体" w:hAnsi="宋体" w:cs="宋体"/>
          <w:b/>
          <w:bCs/>
          <w:iCs/>
          <w:sz w:val="36"/>
          <w:szCs w:val="36"/>
          <w:lang w:val="en-US" w:eastAsia="zh-CN"/>
        </w:rPr>
        <w:t>5</w:t>
      </w:r>
      <w:r>
        <w:rPr>
          <w:rFonts w:hint="eastAsia" w:ascii="宋体" w:hAnsi="宋体" w:cs="宋体"/>
          <w:b/>
          <w:bCs/>
          <w:iCs/>
          <w:sz w:val="36"/>
          <w:szCs w:val="36"/>
        </w:rPr>
        <w:t>年</w:t>
      </w:r>
      <w:r>
        <w:rPr>
          <w:rFonts w:hint="default" w:ascii="宋体" w:hAnsi="宋体" w:cs="宋体"/>
          <w:b/>
          <w:bCs/>
          <w:iCs/>
          <w:sz w:val="36"/>
          <w:szCs w:val="36"/>
          <w:lang w:val="en-US"/>
        </w:rPr>
        <w:t>6</w:t>
      </w:r>
      <w:r>
        <w:rPr>
          <w:rFonts w:hint="eastAsia" w:ascii="宋体" w:hAnsi="宋体" w:cs="宋体"/>
          <w:b/>
          <w:bCs/>
          <w:iCs/>
          <w:sz w:val="36"/>
          <w:szCs w:val="36"/>
        </w:rPr>
        <w:t>月）</w:t>
      </w:r>
    </w:p>
    <w:p w14:paraId="067D9584">
      <w:pPr>
        <w:spacing w:before="156" w:beforeLines="50" w:after="156" w:afterLines="50" w:line="400" w:lineRule="exact"/>
        <w:rPr>
          <w:rFonts w:hint="default" w:ascii="宋体" w:hAnsi="宋体" w:eastAsia="宋体" w:cs="宋体"/>
          <w:bCs/>
          <w:iCs/>
          <w:lang w:val="en-US" w:eastAsia="zh-CN"/>
        </w:rPr>
      </w:pPr>
      <w:r>
        <w:rPr>
          <w:rFonts w:hint="eastAsia" w:ascii="宋体" w:hAnsi="宋体" w:cs="宋体"/>
          <w:bCs/>
          <w:iCs/>
        </w:rPr>
        <w:t xml:space="preserve">证券代码：688227          </w:t>
      </w:r>
      <w:r>
        <w:rPr>
          <w:rFonts w:hint="eastAsia" w:ascii="宋体" w:hAnsi="宋体" w:cs="宋体"/>
          <w:bCs/>
          <w:iCs/>
          <w:lang w:val="en-US" w:eastAsia="zh-CN"/>
        </w:rPr>
        <w:t xml:space="preserve">  </w:t>
      </w:r>
      <w:r>
        <w:rPr>
          <w:rFonts w:hint="eastAsia" w:ascii="宋体" w:hAnsi="宋体" w:cs="宋体"/>
          <w:bCs/>
          <w:iCs/>
        </w:rPr>
        <w:t xml:space="preserve">    证券简称：品高股份    </w:t>
      </w:r>
      <w:r>
        <w:rPr>
          <w:rFonts w:hint="eastAsia" w:ascii="宋体" w:hAnsi="宋体" w:cs="宋体"/>
          <w:bCs/>
          <w:iCs/>
          <w:lang w:val="en-US" w:eastAsia="zh-CN"/>
        </w:rPr>
        <w:t xml:space="preserve">  </w:t>
      </w:r>
      <w:r>
        <w:rPr>
          <w:rFonts w:hint="eastAsia" w:ascii="宋体" w:hAnsi="宋体" w:cs="宋体"/>
          <w:bCs/>
          <w:iCs/>
        </w:rPr>
        <w:t xml:space="preserve">         编号：202</w:t>
      </w:r>
      <w:r>
        <w:rPr>
          <w:rFonts w:hint="eastAsia" w:ascii="宋体" w:hAnsi="宋体" w:cs="宋体"/>
          <w:bCs/>
          <w:iCs/>
          <w:lang w:val="en-US" w:eastAsia="zh-CN"/>
        </w:rPr>
        <w:t>5</w:t>
      </w:r>
      <w:r>
        <w:rPr>
          <w:rFonts w:hint="eastAsia" w:ascii="宋体" w:hAnsi="宋体" w:cs="宋体"/>
          <w:bCs/>
          <w:iCs/>
        </w:rPr>
        <w:t>-</w:t>
      </w:r>
      <w:r>
        <w:rPr>
          <w:rFonts w:hint="eastAsia" w:ascii="宋体" w:hAnsi="宋体" w:cs="宋体"/>
          <w:bCs/>
          <w:iCs/>
          <w:lang w:val="en-US" w:eastAsia="zh-CN"/>
        </w:rPr>
        <w:t>0</w:t>
      </w:r>
      <w:r>
        <w:rPr>
          <w:rFonts w:hint="eastAsia" w:ascii="宋体" w:hAnsi="宋体" w:cs="宋体"/>
          <w:bCs/>
          <w:iCs/>
        </w:rPr>
        <w:t>0</w:t>
      </w:r>
      <w:r>
        <w:rPr>
          <w:rFonts w:hint="default" w:ascii="宋体" w:hAnsi="宋体" w:cs="宋体"/>
          <w:bCs/>
          <w:iCs/>
          <w:lang w:val="en-US"/>
        </w:rPr>
        <w:t>1</w:t>
      </w:r>
    </w:p>
    <w:tbl>
      <w:tblPr>
        <w:tblStyle w:val="8"/>
        <w:tblW w:w="9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906"/>
      </w:tblGrid>
      <w:tr w14:paraId="7132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center"/>
          </w:tcPr>
          <w:p w14:paraId="3A755AC4">
            <w:pPr>
              <w:rPr>
                <w:rFonts w:hint="eastAsia" w:ascii="宋体" w:hAnsi="宋体" w:cs="宋体"/>
                <w:b/>
                <w:bCs/>
                <w:iCs/>
              </w:rPr>
            </w:pPr>
            <w:r>
              <w:rPr>
                <w:rFonts w:hint="eastAsia" w:ascii="宋体" w:hAnsi="宋体" w:cs="宋体"/>
                <w:b/>
                <w:bCs/>
                <w:iCs/>
              </w:rPr>
              <w:t>投资者关系活动类别</w:t>
            </w:r>
          </w:p>
        </w:tc>
        <w:tc>
          <w:tcPr>
            <w:tcW w:w="7906" w:type="dxa"/>
            <w:noWrap w:val="0"/>
            <w:vAlign w:val="top"/>
          </w:tcPr>
          <w:p w14:paraId="7BE06659">
            <w:pPr>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 xml:space="preserve">特定对象调研        </w:t>
            </w:r>
            <w:r>
              <w:rPr>
                <w:rFonts w:hint="eastAsia" w:ascii="宋体" w:hAnsi="宋体" w:cs="宋体"/>
                <w:bCs/>
                <w:iCs/>
              </w:rPr>
              <w:sym w:font="Wingdings 2" w:char="00A3"/>
            </w:r>
            <w:r>
              <w:rPr>
                <w:rFonts w:hint="eastAsia" w:ascii="宋体" w:hAnsi="宋体" w:cs="宋体"/>
              </w:rPr>
              <w:t>分析师会议</w:t>
            </w:r>
          </w:p>
          <w:p w14:paraId="240010D1">
            <w:pPr>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 xml:space="preserve">媒体采访            </w:t>
            </w:r>
            <w:r>
              <w:rPr>
                <w:rFonts w:hint="eastAsia" w:ascii="宋体" w:hAnsi="宋体" w:cs="宋体"/>
                <w:bCs/>
                <w:iCs/>
              </w:rPr>
              <w:sym w:font="Wingdings 2" w:char="0052"/>
            </w:r>
            <w:r>
              <w:rPr>
                <w:rFonts w:hint="eastAsia" w:ascii="宋体" w:hAnsi="宋体" w:cs="宋体"/>
              </w:rPr>
              <w:t>业绩说明会</w:t>
            </w:r>
          </w:p>
          <w:p w14:paraId="48C0C4D8">
            <w:pPr>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 xml:space="preserve">新闻发布会          </w:t>
            </w:r>
            <w:r>
              <w:rPr>
                <w:rFonts w:hint="eastAsia" w:ascii="宋体" w:hAnsi="宋体" w:cs="宋体"/>
                <w:bCs/>
                <w:iCs/>
              </w:rPr>
              <w:sym w:font="Wingdings 2" w:char="00A3"/>
            </w:r>
            <w:r>
              <w:rPr>
                <w:rFonts w:hint="eastAsia" w:ascii="宋体" w:hAnsi="宋体" w:cs="宋体"/>
              </w:rPr>
              <w:t>路演活动</w:t>
            </w:r>
          </w:p>
          <w:p w14:paraId="65D1D5F7">
            <w:pPr>
              <w:tabs>
                <w:tab w:val="left" w:pos="3045"/>
                <w:tab w:val="center" w:pos="3199"/>
              </w:tabs>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现场参观</w:t>
            </w:r>
            <w:r>
              <w:rPr>
                <w:rFonts w:hint="eastAsia" w:ascii="宋体" w:hAnsi="宋体" w:cs="宋体"/>
                <w:bCs/>
                <w:iCs/>
              </w:rPr>
              <w:tab/>
            </w:r>
          </w:p>
          <w:p w14:paraId="191F668C">
            <w:pPr>
              <w:tabs>
                <w:tab w:val="center" w:pos="3199"/>
              </w:tabs>
              <w:spacing w:line="480" w:lineRule="atLeast"/>
              <w:rPr>
                <w:rFonts w:hint="eastAsia" w:ascii="宋体" w:hAnsi="宋体" w:cs="宋体"/>
                <w:bCs/>
                <w:iCs/>
              </w:rPr>
            </w:pPr>
            <w:r>
              <w:rPr>
                <w:rFonts w:hint="eastAsia" w:ascii="宋体" w:hAnsi="宋体" w:cs="宋体"/>
                <w:bCs/>
                <w:iCs/>
              </w:rPr>
              <w:sym w:font="Wingdings 2" w:char="00A3"/>
            </w:r>
            <w:r>
              <w:rPr>
                <w:rFonts w:hint="eastAsia" w:ascii="宋体" w:hAnsi="宋体" w:cs="宋体"/>
              </w:rPr>
              <w:t xml:space="preserve">其他 </w:t>
            </w:r>
          </w:p>
        </w:tc>
      </w:tr>
      <w:tr w14:paraId="26D4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top"/>
          </w:tcPr>
          <w:p w14:paraId="773BAB04">
            <w:pPr>
              <w:rPr>
                <w:rFonts w:hint="eastAsia" w:ascii="宋体" w:hAnsi="宋体" w:cs="宋体"/>
                <w:b/>
                <w:bCs/>
                <w:iCs/>
              </w:rPr>
            </w:pPr>
            <w:r>
              <w:rPr>
                <w:rFonts w:hint="eastAsia" w:ascii="宋体" w:hAnsi="宋体" w:cs="宋体"/>
                <w:b/>
                <w:bCs/>
                <w:iCs/>
              </w:rPr>
              <w:t>参与单位名称及人员姓名</w:t>
            </w:r>
          </w:p>
        </w:tc>
        <w:tc>
          <w:tcPr>
            <w:tcW w:w="7906" w:type="dxa"/>
            <w:noWrap w:val="0"/>
            <w:vAlign w:val="top"/>
          </w:tcPr>
          <w:p w14:paraId="0450E045">
            <w:pPr>
              <w:spacing w:line="480" w:lineRule="atLeast"/>
              <w:rPr>
                <w:rFonts w:hint="default" w:ascii="宋体" w:hAnsi="宋体" w:eastAsia="宋体" w:cs="宋体"/>
                <w:bCs/>
                <w:iCs/>
                <w:lang w:val="en-US" w:eastAsia="zh-CN"/>
              </w:rPr>
            </w:pPr>
            <w:r>
              <w:rPr>
                <w:rFonts w:hint="eastAsia" w:ascii="宋体" w:hAnsi="宋体" w:cs="宋体"/>
                <w:bCs/>
                <w:iCs/>
                <w:lang w:val="en-US" w:eastAsia="zh-CN"/>
              </w:rPr>
              <w:t>市场投资者</w:t>
            </w:r>
          </w:p>
        </w:tc>
      </w:tr>
      <w:tr w14:paraId="2AB5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5" w:type="dxa"/>
            <w:noWrap w:val="0"/>
            <w:vAlign w:val="top"/>
          </w:tcPr>
          <w:p w14:paraId="20ED656B">
            <w:pPr>
              <w:spacing w:line="480" w:lineRule="atLeast"/>
              <w:rPr>
                <w:rFonts w:hint="eastAsia" w:ascii="宋体" w:hAnsi="宋体" w:cs="宋体"/>
                <w:b/>
                <w:bCs/>
                <w:iCs/>
              </w:rPr>
            </w:pPr>
            <w:r>
              <w:rPr>
                <w:rFonts w:hint="eastAsia" w:ascii="宋体" w:hAnsi="宋体" w:cs="宋体"/>
                <w:b/>
                <w:bCs/>
                <w:iCs/>
              </w:rPr>
              <w:t>时间</w:t>
            </w:r>
          </w:p>
        </w:tc>
        <w:tc>
          <w:tcPr>
            <w:tcW w:w="7906" w:type="dxa"/>
            <w:noWrap w:val="0"/>
            <w:vAlign w:val="top"/>
          </w:tcPr>
          <w:p w14:paraId="7B5269F1">
            <w:pPr>
              <w:spacing w:line="480" w:lineRule="atLeast"/>
              <w:rPr>
                <w:rFonts w:ascii="宋体" w:hAnsi="宋体" w:cs="宋体"/>
                <w:bCs/>
                <w:iCs/>
              </w:rPr>
            </w:pPr>
            <w:r>
              <w:rPr>
                <w:rFonts w:hint="eastAsia" w:ascii="宋体" w:hAnsi="宋体" w:cs="宋体"/>
                <w:bCs/>
                <w:iCs/>
              </w:rPr>
              <w:t>202</w:t>
            </w:r>
            <w:r>
              <w:rPr>
                <w:rFonts w:hint="eastAsia" w:ascii="宋体" w:hAnsi="宋体" w:cs="宋体"/>
                <w:bCs/>
                <w:iCs/>
                <w:lang w:val="en-US" w:eastAsia="zh-CN"/>
              </w:rPr>
              <w:t>5</w:t>
            </w:r>
            <w:r>
              <w:rPr>
                <w:rFonts w:hint="eastAsia" w:ascii="宋体" w:hAnsi="宋体" w:cs="宋体"/>
                <w:bCs/>
                <w:iCs/>
              </w:rPr>
              <w:t>年</w:t>
            </w:r>
            <w:r>
              <w:rPr>
                <w:rFonts w:hint="default" w:ascii="宋体" w:hAnsi="宋体" w:cs="宋体"/>
                <w:bCs/>
                <w:iCs/>
                <w:lang w:val="en-US"/>
              </w:rPr>
              <w:t>6</w:t>
            </w:r>
            <w:r>
              <w:rPr>
                <w:rFonts w:hint="eastAsia" w:ascii="宋体" w:hAnsi="宋体" w:cs="宋体"/>
                <w:bCs/>
                <w:iCs/>
              </w:rPr>
              <w:t>月</w:t>
            </w:r>
            <w:r>
              <w:rPr>
                <w:rFonts w:hint="eastAsia" w:ascii="宋体" w:hAnsi="宋体" w:cs="宋体"/>
                <w:bCs/>
                <w:iCs/>
                <w:lang w:val="en-US" w:eastAsia="zh-CN"/>
              </w:rPr>
              <w:t>13</w:t>
            </w:r>
            <w:r>
              <w:rPr>
                <w:rFonts w:hint="eastAsia" w:ascii="宋体" w:hAnsi="宋体" w:cs="宋体"/>
                <w:bCs/>
                <w:iCs/>
              </w:rPr>
              <w:t>日下午1</w:t>
            </w:r>
            <w:r>
              <w:rPr>
                <w:rFonts w:hint="default" w:ascii="宋体" w:hAnsi="宋体" w:cs="宋体"/>
                <w:bCs/>
                <w:iCs/>
                <w:lang w:val="en-US"/>
              </w:rPr>
              <w:t>5</w:t>
            </w:r>
            <w:r>
              <w:rPr>
                <w:rFonts w:hint="eastAsia" w:ascii="宋体" w:hAnsi="宋体" w:cs="宋体"/>
                <w:bCs/>
                <w:iCs/>
              </w:rPr>
              <w:t>:00至1</w:t>
            </w:r>
            <w:r>
              <w:rPr>
                <w:rFonts w:hint="default" w:ascii="宋体" w:hAnsi="宋体" w:cs="宋体"/>
                <w:bCs/>
                <w:iCs/>
                <w:lang w:val="en-US"/>
              </w:rPr>
              <w:t>6</w:t>
            </w:r>
            <w:r>
              <w:rPr>
                <w:rFonts w:hint="eastAsia" w:ascii="宋体" w:hAnsi="宋体" w:cs="宋体"/>
                <w:bCs/>
                <w:iCs/>
              </w:rPr>
              <w:t>:00</w:t>
            </w:r>
          </w:p>
        </w:tc>
      </w:tr>
      <w:tr w14:paraId="523E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35" w:type="dxa"/>
            <w:noWrap w:val="0"/>
            <w:vAlign w:val="top"/>
          </w:tcPr>
          <w:p w14:paraId="0034CE74">
            <w:pPr>
              <w:spacing w:line="480" w:lineRule="atLeast"/>
              <w:rPr>
                <w:rFonts w:hint="eastAsia" w:ascii="宋体" w:hAnsi="宋体" w:cs="宋体"/>
                <w:b/>
                <w:bCs/>
                <w:iCs/>
              </w:rPr>
            </w:pPr>
            <w:r>
              <w:rPr>
                <w:rFonts w:hint="eastAsia" w:ascii="宋体" w:hAnsi="宋体" w:cs="宋体"/>
                <w:b/>
                <w:bCs/>
                <w:iCs/>
              </w:rPr>
              <w:t>地点</w:t>
            </w:r>
          </w:p>
        </w:tc>
        <w:tc>
          <w:tcPr>
            <w:tcW w:w="7906" w:type="dxa"/>
            <w:noWrap w:val="0"/>
            <w:vAlign w:val="top"/>
          </w:tcPr>
          <w:p w14:paraId="3151B6AF">
            <w:pPr>
              <w:spacing w:line="480" w:lineRule="atLeast"/>
              <w:rPr>
                <w:rFonts w:hint="default" w:ascii="宋体" w:hAnsi="宋体" w:eastAsia="宋体" w:cs="宋体"/>
                <w:bCs/>
                <w:iCs/>
                <w:lang w:val="en-US" w:eastAsia="zh-CN"/>
              </w:rPr>
            </w:pPr>
            <w:r>
              <w:rPr>
                <w:rFonts w:hint="eastAsia" w:ascii="宋体" w:hAnsi="宋体" w:cs="宋体"/>
                <w:bCs/>
                <w:iCs/>
                <w:lang w:val="en-US" w:eastAsia="zh-CN"/>
              </w:rPr>
              <w:t>上海证券交易所上证路演中心</w:t>
            </w:r>
          </w:p>
        </w:tc>
      </w:tr>
      <w:tr w14:paraId="6F9F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top"/>
          </w:tcPr>
          <w:p w14:paraId="2EC21CF4">
            <w:pPr>
              <w:spacing w:line="480" w:lineRule="atLeast"/>
              <w:rPr>
                <w:rFonts w:hint="eastAsia" w:ascii="宋体" w:hAnsi="宋体" w:cs="宋体"/>
                <w:b/>
                <w:bCs/>
                <w:iCs/>
              </w:rPr>
            </w:pPr>
            <w:r>
              <w:rPr>
                <w:rFonts w:hint="eastAsia" w:ascii="宋体" w:hAnsi="宋体" w:cs="宋体"/>
                <w:b/>
                <w:bCs/>
                <w:iCs/>
              </w:rPr>
              <w:t>公司接待人员姓名</w:t>
            </w:r>
          </w:p>
        </w:tc>
        <w:tc>
          <w:tcPr>
            <w:tcW w:w="7906" w:type="dxa"/>
            <w:noWrap w:val="0"/>
            <w:vAlign w:val="top"/>
          </w:tcPr>
          <w:p w14:paraId="2CE88503">
            <w:pPr>
              <w:spacing w:line="240" w:lineRule="auto"/>
              <w:rPr>
                <w:rFonts w:hint="eastAsia" w:ascii="宋体" w:hAnsi="宋体" w:cs="宋体"/>
                <w:bCs/>
                <w:iCs/>
                <w:lang w:val="en-US" w:eastAsia="zh-CN"/>
              </w:rPr>
            </w:pPr>
            <w:r>
              <w:rPr>
                <w:rFonts w:hint="eastAsia" w:ascii="宋体" w:hAnsi="宋体" w:cs="宋体"/>
                <w:bCs/>
                <w:iCs/>
                <w:lang w:val="en-US" w:eastAsia="zh-CN"/>
              </w:rPr>
              <w:t>董事长兼总经理：黄海先生</w:t>
            </w:r>
          </w:p>
          <w:p w14:paraId="246B3816">
            <w:pPr>
              <w:spacing w:line="240" w:lineRule="auto"/>
              <w:rPr>
                <w:rFonts w:hint="eastAsia" w:ascii="宋体" w:hAnsi="宋体" w:cs="宋体"/>
                <w:bCs/>
                <w:iCs/>
                <w:lang w:val="en-US" w:eastAsia="zh-CN"/>
              </w:rPr>
            </w:pPr>
            <w:r>
              <w:rPr>
                <w:rFonts w:hint="eastAsia" w:ascii="宋体" w:hAnsi="宋体" w:cs="宋体"/>
                <w:bCs/>
                <w:iCs/>
                <w:lang w:val="en-US" w:eastAsia="zh-CN"/>
              </w:rPr>
              <w:t>董事兼技术总监：刘忻先生</w:t>
            </w:r>
            <w:bookmarkStart w:id="0" w:name="_GoBack"/>
            <w:bookmarkEnd w:id="0"/>
          </w:p>
          <w:p w14:paraId="08339343">
            <w:pPr>
              <w:spacing w:line="240" w:lineRule="auto"/>
              <w:rPr>
                <w:rFonts w:hint="default" w:ascii="宋体" w:hAnsi="宋体" w:eastAsia="宋体" w:cs="宋体"/>
                <w:bCs/>
                <w:iCs/>
                <w:lang w:val="en-US" w:eastAsia="zh-CN"/>
              </w:rPr>
            </w:pPr>
            <w:r>
              <w:rPr>
                <w:rFonts w:hint="eastAsia" w:ascii="宋体" w:hAnsi="宋体" w:cs="宋体"/>
                <w:bCs/>
                <w:iCs/>
                <w:lang w:val="en-US" w:eastAsia="zh-CN"/>
              </w:rPr>
              <w:t>董事会秘书：李淼淼先生</w:t>
            </w:r>
          </w:p>
          <w:p w14:paraId="7C61B7F9">
            <w:pPr>
              <w:spacing w:line="240" w:lineRule="auto"/>
              <w:rPr>
                <w:rFonts w:hint="eastAsia" w:ascii="宋体" w:hAnsi="宋体" w:cs="宋体"/>
                <w:bCs/>
                <w:iCs/>
                <w:lang w:val="en-US" w:eastAsia="zh-CN"/>
              </w:rPr>
            </w:pPr>
            <w:r>
              <w:rPr>
                <w:rFonts w:hint="eastAsia" w:ascii="宋体" w:hAnsi="宋体" w:cs="宋体"/>
                <w:bCs/>
                <w:iCs/>
                <w:lang w:val="en-US" w:eastAsia="zh-CN"/>
              </w:rPr>
              <w:t>财务总监：汤茜女士</w:t>
            </w:r>
          </w:p>
          <w:p w14:paraId="417EB8A2">
            <w:pPr>
              <w:spacing w:line="240" w:lineRule="auto"/>
              <w:rPr>
                <w:rFonts w:hint="eastAsia" w:ascii="宋体" w:hAnsi="宋体" w:eastAsia="宋体" w:cs="宋体"/>
                <w:bCs/>
                <w:iCs/>
                <w:lang w:eastAsia="zh-CN"/>
              </w:rPr>
            </w:pPr>
            <w:r>
              <w:rPr>
                <w:rFonts w:hint="eastAsia" w:ascii="宋体" w:hAnsi="宋体" w:cs="宋体"/>
                <w:bCs/>
                <w:iCs/>
                <w:lang w:val="en-US" w:eastAsia="zh-CN"/>
              </w:rPr>
              <w:t xml:space="preserve">独立董事：刘澎先生 </w:t>
            </w:r>
          </w:p>
        </w:tc>
      </w:tr>
      <w:tr w14:paraId="79DE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35" w:type="dxa"/>
            <w:noWrap w:val="0"/>
            <w:vAlign w:val="center"/>
          </w:tcPr>
          <w:p w14:paraId="4B1AA872">
            <w:pPr>
              <w:rPr>
                <w:rFonts w:hint="eastAsia" w:ascii="宋体" w:hAnsi="宋体" w:cs="宋体"/>
                <w:b/>
                <w:bCs/>
                <w:iCs/>
              </w:rPr>
            </w:pPr>
            <w:r>
              <w:rPr>
                <w:rFonts w:hint="eastAsia" w:ascii="宋体" w:hAnsi="宋体" w:cs="宋体"/>
                <w:b/>
                <w:bCs/>
                <w:iCs/>
              </w:rPr>
              <w:t>投资者关系活动主要内容介绍</w:t>
            </w:r>
          </w:p>
          <w:p w14:paraId="75ECD679">
            <w:pPr>
              <w:spacing w:line="480" w:lineRule="atLeast"/>
              <w:rPr>
                <w:rFonts w:hint="eastAsia" w:ascii="宋体" w:hAnsi="宋体" w:cs="宋体"/>
                <w:b/>
                <w:bCs/>
                <w:iCs/>
              </w:rPr>
            </w:pPr>
          </w:p>
        </w:tc>
        <w:tc>
          <w:tcPr>
            <w:tcW w:w="7906" w:type="dxa"/>
            <w:noWrap w:val="0"/>
            <w:vAlign w:val="top"/>
          </w:tcPr>
          <w:p w14:paraId="65B58EA4">
            <w:pPr>
              <w:ind w:firstLine="420" w:firstLineChars="200"/>
              <w:rPr>
                <w:rFonts w:ascii="宋体" w:hAnsi="宋体" w:cs="宋体"/>
                <w:bCs/>
                <w:iCs/>
              </w:rPr>
            </w:pPr>
            <w:r>
              <w:rPr>
                <w:rFonts w:hint="eastAsia" w:ascii="宋体" w:hAnsi="宋体" w:cs="宋体"/>
                <w:bCs/>
                <w:iCs/>
              </w:rPr>
              <w:t>主要交流内容如下：</w:t>
            </w:r>
          </w:p>
          <w:p w14:paraId="7BB32521">
            <w:pPr>
              <w:ind w:firstLine="422" w:firstLineChars="200"/>
              <w:rPr>
                <w:rFonts w:hint="eastAsia" w:ascii="宋体" w:hAnsi="宋体" w:eastAsia="宋体" w:cs="宋体"/>
                <w:b/>
                <w:bCs/>
                <w:kern w:val="0"/>
              </w:rPr>
            </w:pPr>
            <w:r>
              <w:rPr>
                <w:rFonts w:hint="eastAsia" w:ascii="宋体" w:hAnsi="宋体" w:eastAsia="宋体" w:cs="宋体"/>
                <w:b/>
                <w:bCs/>
                <w:kern w:val="0"/>
              </w:rPr>
              <w:t>1、公司国产替代方面的产品都有哪些？优势如何？</w:t>
            </w:r>
          </w:p>
          <w:p w14:paraId="71ED2211">
            <w:pPr>
              <w:ind w:firstLine="420" w:firstLineChars="200"/>
              <w:rPr>
                <w:rFonts w:hint="eastAsia" w:ascii="Times New Roman" w:hAnsi="Times New Roman" w:eastAsia="宋体" w:cs="Times New Roman"/>
                <w:kern w:val="0"/>
              </w:rPr>
            </w:pPr>
            <w:r>
              <w:rPr>
                <w:rFonts w:hint="eastAsia" w:ascii="Times New Roman" w:hAnsi="Times New Roman" w:eastAsia="宋体" w:cs="Times New Roman"/>
                <w:kern w:val="0"/>
              </w:rPr>
              <w:t>答：尊敬的投资者，感谢您对公司的关注。公司针对VMware国产化替代，推出BingoCloudStack超融合云（品高云Stack平台）。品高云Stack平台功能具备安全可靠的迁移工具保障业务数据完整性、业务连续性和流程规范性，实现从VMware到云的无缝迁移。平台不仅支持VMware纳管和迁移，还在运维管理上提供批量部署、密码重置等便捷功能以及网络功能。同时公司还拥有多家国产自主可控的软件生态合作伙伴，可替代VMware生态，为用户提供稳定可靠的服务。公司目前已成功助力多位客户完成VMware业务迁移。</w:t>
            </w:r>
          </w:p>
          <w:p w14:paraId="21FFAF4A">
            <w:pPr>
              <w:ind w:firstLine="422" w:firstLineChars="200"/>
              <w:rPr>
                <w:rFonts w:hint="eastAsia"/>
                <w:b/>
                <w:bCs/>
                <w:kern w:val="0"/>
              </w:rPr>
            </w:pPr>
            <w:r>
              <w:rPr>
                <w:rFonts w:hint="eastAsia" w:ascii="宋体" w:hAnsi="宋体" w:cs="宋体"/>
                <w:b/>
                <w:bCs/>
                <w:kern w:val="0"/>
              </w:rPr>
              <w:t>2、公司 2024 年度亏损幅度扩大的原因是什么？</w:t>
            </w:r>
          </w:p>
          <w:p w14:paraId="0C6B7473">
            <w:pPr>
              <w:ind w:firstLine="420" w:firstLineChars="200"/>
              <w:rPr>
                <w:rFonts w:hint="eastAsia"/>
                <w:kern w:val="0"/>
              </w:rPr>
            </w:pPr>
            <w:r>
              <w:rPr>
                <w:rFonts w:hint="eastAsia"/>
                <w:kern w:val="0"/>
              </w:rPr>
              <w:t>答：尊敬的投资者，感谢您对公司的关注。主要原因是：1、客户资金紧张、公司项目回款逾期导致计提应收账款信用减值损失增加；2、受个别较大项目业务结构变化、部分项目实施周期拉长的因素影响导致毛利率下降，利润减少。</w:t>
            </w:r>
          </w:p>
          <w:p w14:paraId="0E90E8CD">
            <w:pPr>
              <w:ind w:firstLine="422" w:firstLineChars="200"/>
              <w:rPr>
                <w:rFonts w:hint="eastAsia" w:ascii="宋体" w:hAnsi="宋体" w:cs="宋体"/>
                <w:b/>
                <w:bCs/>
                <w:kern w:val="0"/>
              </w:rPr>
            </w:pPr>
            <w:r>
              <w:rPr>
                <w:rFonts w:hint="eastAsia" w:ascii="宋体" w:hAnsi="宋体" w:cs="宋体"/>
                <w:b/>
                <w:bCs/>
                <w:kern w:val="0"/>
              </w:rPr>
              <w:t>3、行业竞争加剧，公司如何在竞争中保持优势?</w:t>
            </w:r>
          </w:p>
          <w:p w14:paraId="085D1921">
            <w:pPr>
              <w:ind w:firstLine="420" w:firstLineChars="200"/>
              <w:rPr>
                <w:rFonts w:hint="eastAsia" w:ascii="宋体" w:hAnsi="宋体" w:cs="宋体"/>
                <w:kern w:val="0"/>
              </w:rPr>
            </w:pPr>
            <w:r>
              <w:rPr>
                <w:rFonts w:hint="eastAsia" w:ascii="宋体" w:hAnsi="宋体" w:cs="宋体"/>
                <w:kern w:val="0"/>
              </w:rPr>
              <w:t>答：尊敬的投资者，感谢您对公司的关注。公司深耕行业云业务、推动边缘云在更多边缘场景落地应用。公司的边缘云凭借其轻量、异构灵活、高可用、高抗毁等特性，经过与客户共同适配，试点了具备行业特色的边缘云应用实践方案，包括列车车载边缘云、无人值守边缘云和基于边缘云的发电机组状态检测及故障预警系统等，公司的边缘云一体解决方案也取得标杆性应用效果。公司将继续深耕边缘计算领域，充分发挥“行业+云”的战略优势，不断挖掘边缘云的应用前景，为公司在军工、城轨、公安、政府等关键行业带来更大的发展空间。</w:t>
            </w:r>
          </w:p>
          <w:p w14:paraId="6AA20BCC">
            <w:pPr>
              <w:ind w:firstLine="422" w:firstLineChars="200"/>
              <w:rPr>
                <w:rFonts w:hint="eastAsia" w:ascii="宋体" w:hAnsi="宋体" w:cs="宋体"/>
                <w:b/>
                <w:bCs/>
                <w:kern w:val="0"/>
              </w:rPr>
            </w:pPr>
            <w:r>
              <w:rPr>
                <w:rFonts w:hint="eastAsia" w:ascii="宋体" w:hAnsi="宋体" w:cs="宋体"/>
                <w:b/>
                <w:bCs/>
                <w:kern w:val="0"/>
                <w:lang w:val="en-US" w:eastAsia="zh-CN"/>
              </w:rPr>
              <w:t>4</w:t>
            </w:r>
            <w:r>
              <w:rPr>
                <w:rFonts w:hint="eastAsia" w:ascii="宋体" w:hAnsi="宋体" w:cs="宋体"/>
                <w:b/>
                <w:bCs/>
                <w:kern w:val="0"/>
              </w:rPr>
              <w:t>、公司股价自上市以来回撤幅度较大，公司有没有相应的维稳措施？</w:t>
            </w:r>
          </w:p>
          <w:p w14:paraId="7DBE5C95">
            <w:pPr>
              <w:ind w:firstLine="420" w:firstLineChars="200"/>
              <w:rPr>
                <w:rFonts w:hint="eastAsia" w:ascii="宋体" w:hAnsi="宋体" w:cs="宋体"/>
                <w:kern w:val="0"/>
              </w:rPr>
            </w:pPr>
            <w:r>
              <w:rPr>
                <w:rFonts w:hint="eastAsia" w:ascii="宋体" w:hAnsi="宋体" w:cs="宋体"/>
                <w:kern w:val="0"/>
              </w:rPr>
              <w:t>答：尊敬的投资者，感谢您对公司的关注。为提高公司经营质量，增强投资者回报，提升投资者的获得感，公司已制定“提质增效重回报”行动方案，将从聚焦主营业务、提升研发创新能力、持续推进人才培养与激励、完善公司治理、加强投资者沟通等方面，多举措提升公司价值。 为增强投资者信心和提升公司股票长期投资价值，构建稳定的投资者结构，促进公司可持续健康发展，基于对公司未来发展前景的信心和对公司价值的认可，公司综合考虑自身经营情况、财务状况、未来盈利能力等因素，公司持续开展了以自有资金通过集中竞价交易方式回购部分股份。</w:t>
            </w:r>
          </w:p>
          <w:p w14:paraId="58634668">
            <w:pPr>
              <w:ind w:firstLine="422" w:firstLineChars="200"/>
              <w:rPr>
                <w:rFonts w:hint="eastAsia" w:ascii="宋体" w:hAnsi="宋体" w:cs="宋体"/>
                <w:b/>
                <w:bCs/>
                <w:kern w:val="0"/>
              </w:rPr>
            </w:pPr>
            <w:r>
              <w:rPr>
                <w:rFonts w:hint="eastAsia" w:ascii="宋体" w:hAnsi="宋体" w:cs="宋体"/>
                <w:b/>
                <w:bCs/>
                <w:kern w:val="0"/>
                <w:lang w:val="en-US" w:eastAsia="zh-CN"/>
              </w:rPr>
              <w:t>5</w:t>
            </w:r>
            <w:r>
              <w:rPr>
                <w:rFonts w:hint="eastAsia" w:ascii="宋体" w:hAnsi="宋体" w:cs="宋体"/>
                <w:b/>
                <w:bCs/>
                <w:kern w:val="0"/>
              </w:rPr>
              <w:t>、公司在未来三大业务板块云计算、大数据和人工智能领域进行了哪些业务布局？</w:t>
            </w:r>
          </w:p>
          <w:p w14:paraId="5468AD5A">
            <w:pPr>
              <w:ind w:firstLine="420" w:firstLineChars="200"/>
              <w:rPr>
                <w:rFonts w:hint="eastAsia" w:ascii="宋体" w:hAnsi="宋体" w:cs="宋体"/>
                <w:kern w:val="0"/>
              </w:rPr>
            </w:pPr>
            <w:r>
              <w:rPr>
                <w:rFonts w:hint="eastAsia" w:ascii="宋体" w:hAnsi="宋体" w:cs="宋体"/>
                <w:kern w:val="0"/>
              </w:rPr>
              <w:t>答：尊敬的投资者，感谢您对公司的关注。（一）云计算方向。构建分布式基础云计算产品体系，推进“云边端”整体产品基座布局。公司将重点打造 BingoCloud 基础中心云、BingoHCI 超融合一体机、BingoIEF 智能边缘云、BingoKCP 容器云平台等“云边端”全智能化分布式云系列产品，实现“生态开放标准、统一协同调度”的云计算基座。公司在智能边缘云方向，结合公司投资的边缘云芯片企业，致力打造软硬一体化的边缘智能系统解决方案，并用于无人值守系统、无人机等行业应用。（二）大数据：构建基于云数据湖架构的大数据管理平台，激发数据要素潜能，推动行业数字化。公司将致力于打造一个高效、安全的大数据管理平台。以云数据湖架构为基础，整合数据处理技术和分析工具，实现数据的高效存储、处理和分析。通过深度挖掘和智能分析，激发数据要素的潜能，为行业数字化转型提供数据支持。（三）人工智能：公司一方面致力于打造一个集数据处理、模型训练与推理于一体的智能计算平台，优化大模型的调优和加速，实现智能分析和决策；另一方面，公司正在和公司投资的算力芯片企业开展深度合作，提供算力领域从软件到硬件的一体化解决方案。公司通过与行业专家的紧密合作，将不断优化 AI 解决方案，确保其能够精准满足市场需求，为用户提供更加智能、便捷的产品和服务,推动智能技术在实际应用中的广泛渗透和价值实现。</w:t>
            </w:r>
          </w:p>
          <w:p w14:paraId="19EE1843">
            <w:pPr>
              <w:ind w:firstLine="422" w:firstLineChars="200"/>
              <w:rPr>
                <w:rFonts w:hint="eastAsia" w:ascii="宋体" w:hAnsi="宋体" w:cs="宋体"/>
                <w:b/>
                <w:bCs/>
                <w:kern w:val="0"/>
              </w:rPr>
            </w:pPr>
            <w:r>
              <w:rPr>
                <w:rFonts w:hint="eastAsia" w:ascii="宋体" w:hAnsi="宋体" w:cs="宋体"/>
                <w:b/>
                <w:bCs/>
                <w:kern w:val="0"/>
                <w:lang w:val="en-US" w:eastAsia="zh-CN"/>
              </w:rPr>
              <w:t>6</w:t>
            </w:r>
            <w:r>
              <w:rPr>
                <w:rFonts w:hint="eastAsia" w:ascii="宋体" w:hAnsi="宋体" w:cs="宋体"/>
                <w:b/>
                <w:bCs/>
                <w:kern w:val="0"/>
              </w:rPr>
              <w:t>、请介绍一下2024年公司主营业务的总体经营情况？</w:t>
            </w:r>
          </w:p>
          <w:p w14:paraId="2DA41637">
            <w:pPr>
              <w:ind w:firstLine="420" w:firstLineChars="200"/>
              <w:rPr>
                <w:rFonts w:hint="eastAsia" w:ascii="宋体" w:hAnsi="宋体" w:cs="宋体"/>
                <w:kern w:val="0"/>
              </w:rPr>
            </w:pPr>
            <w:r>
              <w:rPr>
                <w:rFonts w:hint="eastAsia" w:ascii="宋体" w:hAnsi="宋体" w:cs="宋体"/>
                <w:kern w:val="0"/>
              </w:rPr>
              <w:t>答：尊敬的投资者，感谢您对公司的关注。2024年，公司继续以“云数基座平台”为核心战略，聚焦“垂直领域人工智能+国产算力生态”双轮驱动，基于“聚焦于云，覆盖于行业”的产品体系，以丰富的产品线、先进的自研底层代码，加速在已布局的政务、公安、军工、金融、轨交等行业的深度融合。报告期内，云计算收入达到约4.15 亿，占公司主营业务收入比例提升至79.74%。另一方面，公司深耕行业云业务、推动边缘云在更多边缘场景落地应用。</w:t>
            </w:r>
          </w:p>
          <w:p w14:paraId="782B2414">
            <w:pPr>
              <w:ind w:firstLine="422" w:firstLineChars="200"/>
              <w:rPr>
                <w:rFonts w:hint="eastAsia" w:ascii="宋体" w:hAnsi="宋体" w:cs="宋体"/>
                <w:b/>
                <w:bCs/>
                <w:kern w:val="0"/>
              </w:rPr>
            </w:pPr>
            <w:r>
              <w:rPr>
                <w:rFonts w:hint="eastAsia" w:ascii="宋体" w:hAnsi="宋体" w:cs="宋体"/>
                <w:b/>
                <w:bCs/>
                <w:kern w:val="0"/>
                <w:lang w:val="en-US" w:eastAsia="zh-CN"/>
              </w:rPr>
              <w:t>7</w:t>
            </w:r>
            <w:r>
              <w:rPr>
                <w:rFonts w:hint="eastAsia" w:ascii="宋体" w:hAnsi="宋体" w:cs="宋体"/>
                <w:b/>
                <w:bCs/>
                <w:kern w:val="0"/>
              </w:rPr>
              <w:t>、请简单介绍一下 2024 年及 2025 年一季度公司的业绩情况?</w:t>
            </w:r>
          </w:p>
          <w:p w14:paraId="75E4D543">
            <w:pPr>
              <w:ind w:firstLine="420" w:firstLineChars="200"/>
              <w:rPr>
                <w:rFonts w:hint="eastAsia" w:ascii="宋体" w:hAnsi="宋体" w:cs="宋体"/>
                <w:kern w:val="0"/>
              </w:rPr>
            </w:pPr>
            <w:r>
              <w:rPr>
                <w:rFonts w:hint="eastAsia" w:ascii="宋体" w:hAnsi="宋体" w:cs="宋体"/>
                <w:kern w:val="0"/>
              </w:rPr>
              <w:t>答：尊敬的投资者，感谢您对公司的关注。2024年度，受行业景气度下行、整体市场需求放缓等因素影响，公司实现营业收入为 52,000.78 万元，同比减少4.81%。此外，由于报告期内客户资金紧张、公司项目回款逾期导致计提应收账款信用减值损失增加以及受个别较大项目业务结构变化、部分项目实施周期拉长的因素影响，公司毛利率有所下降，利润减少，2024年归属于上市公司股东的净利润为-6,405.52 万元，同比亏损扩大 5,337.48 万元；归属上市公司股东的扣除非经常性损益的净利润为-7,188.47 万元，同比亏损扩大4,928.55 万元。 2025年一季度，公司实现营业收入为 8,714.08 万元，同比增加49.69%；归属于上市公司股东的净利润为-1,555.72 万元，同比增加24.07%，主要为公司完成多个较大规模的政府项目验收带来云计算业务收入增长。</w:t>
            </w:r>
          </w:p>
          <w:p w14:paraId="17808F2C">
            <w:pPr>
              <w:ind w:firstLine="422" w:firstLineChars="200"/>
              <w:rPr>
                <w:rFonts w:hint="eastAsia" w:ascii="宋体" w:hAnsi="宋体" w:cs="宋体"/>
                <w:b/>
                <w:bCs/>
                <w:kern w:val="0"/>
              </w:rPr>
            </w:pPr>
            <w:r>
              <w:rPr>
                <w:rFonts w:hint="eastAsia" w:ascii="宋体" w:hAnsi="宋体" w:cs="宋体"/>
                <w:b/>
                <w:bCs/>
                <w:kern w:val="0"/>
                <w:lang w:val="en-US" w:eastAsia="zh-CN"/>
              </w:rPr>
              <w:t>8</w:t>
            </w:r>
            <w:r>
              <w:rPr>
                <w:rFonts w:hint="eastAsia" w:ascii="宋体" w:hAnsi="宋体" w:cs="宋体"/>
                <w:b/>
                <w:bCs/>
                <w:kern w:val="0"/>
              </w:rPr>
              <w:t>、可以介绍一下公司募投项目研发进展情况吗？</w:t>
            </w:r>
          </w:p>
          <w:p w14:paraId="0EFDF328">
            <w:pPr>
              <w:ind w:firstLine="420" w:firstLineChars="200"/>
              <w:rPr>
                <w:rFonts w:hint="eastAsia" w:ascii="宋体" w:hAnsi="宋体" w:cs="宋体"/>
                <w:kern w:val="0"/>
              </w:rPr>
            </w:pPr>
            <w:r>
              <w:rPr>
                <w:rFonts w:hint="eastAsia" w:ascii="宋体" w:hAnsi="宋体" w:cs="宋体"/>
                <w:kern w:val="0"/>
              </w:rPr>
              <w:t>答：尊敬的投资者，感谢您对公司的关注。募投项目一信息技术创新云平台，围绕信创智能异构与行业深度融合的方向，以自主可控云计算核心技术为基础，推进核心技术、关键产品、应用融合等体系化创新；完成车载边缘云平台的研发，在轨道交通领域，实现列车PIS系统的硬件装备的国产化替代。参与完成特种装备的实时云平台和无人智能云平台研发，实现在特种行业装备的国产化替代。针对国产化替代、规模化运行的场景，融合国产芯片、整机和基础软件等生态厂商的产品优势，研发国产异构环境下高效可信云操作系统，实现一云多芯、多芯协同的能力，支持单云集群达万台规模级能力；针对开放应用场景，研发基于国产云原生、多数据形态的区块链及人工智能技术，支撑创新应用云服务。募投项目二专属信息化云服务平台的研发方向则聚焦行业化、属地化的发展特征，重点研发信息化云平台的规模化运行运营的核心技术及服务能力。研究多云管理的跨域协同管控技术、在离线混部架构技术、智能托管运维技术、跨域编排的部署技术等，为云平台运营的提质增效提供技术支撑。</w:t>
            </w:r>
          </w:p>
        </w:tc>
      </w:tr>
      <w:tr w14:paraId="204C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center"/>
          </w:tcPr>
          <w:p w14:paraId="6471554A">
            <w:pPr>
              <w:spacing w:line="480" w:lineRule="atLeast"/>
              <w:rPr>
                <w:rFonts w:hint="eastAsia" w:ascii="宋体" w:hAnsi="宋体" w:cs="宋体"/>
                <w:b/>
                <w:bCs/>
                <w:iCs/>
              </w:rPr>
            </w:pPr>
            <w:r>
              <w:rPr>
                <w:rFonts w:hint="eastAsia" w:ascii="宋体" w:hAnsi="宋体" w:cs="宋体"/>
                <w:b/>
                <w:bCs/>
                <w:iCs/>
              </w:rPr>
              <w:t>附件清单（如有）</w:t>
            </w:r>
          </w:p>
        </w:tc>
        <w:tc>
          <w:tcPr>
            <w:tcW w:w="7906" w:type="dxa"/>
            <w:noWrap w:val="0"/>
            <w:vAlign w:val="top"/>
          </w:tcPr>
          <w:p w14:paraId="4B3B20F6">
            <w:pPr>
              <w:spacing w:line="480" w:lineRule="atLeast"/>
              <w:rPr>
                <w:rFonts w:hint="eastAsia" w:ascii="宋体" w:hAnsi="宋体" w:cs="宋体"/>
                <w:bCs/>
                <w:iCs/>
              </w:rPr>
            </w:pPr>
            <w:r>
              <w:rPr>
                <w:rFonts w:hint="eastAsia" w:ascii="宋体" w:hAnsi="宋体" w:cs="宋体"/>
                <w:bCs/>
                <w:iCs/>
              </w:rPr>
              <w:t>无</w:t>
            </w:r>
          </w:p>
        </w:tc>
      </w:tr>
      <w:tr w14:paraId="4479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5" w:type="dxa"/>
            <w:noWrap w:val="0"/>
            <w:vAlign w:val="center"/>
          </w:tcPr>
          <w:p w14:paraId="15BEA831">
            <w:pPr>
              <w:spacing w:line="480" w:lineRule="atLeast"/>
              <w:rPr>
                <w:rFonts w:hint="eastAsia" w:ascii="宋体" w:hAnsi="宋体" w:cs="宋体"/>
                <w:b/>
                <w:bCs/>
                <w:iCs/>
              </w:rPr>
            </w:pPr>
            <w:r>
              <w:rPr>
                <w:rFonts w:hint="eastAsia" w:ascii="宋体" w:hAnsi="宋体" w:cs="宋体"/>
                <w:b/>
                <w:bCs/>
                <w:iCs/>
              </w:rPr>
              <w:t>日期</w:t>
            </w:r>
          </w:p>
        </w:tc>
        <w:tc>
          <w:tcPr>
            <w:tcW w:w="7906" w:type="dxa"/>
            <w:noWrap w:val="0"/>
            <w:vAlign w:val="top"/>
          </w:tcPr>
          <w:p w14:paraId="169B7C6E">
            <w:pPr>
              <w:spacing w:line="480" w:lineRule="atLeast"/>
              <w:rPr>
                <w:rFonts w:hint="eastAsia" w:ascii="宋体" w:hAnsi="宋体" w:cs="宋体"/>
                <w:bCs/>
                <w:iCs/>
              </w:rPr>
            </w:pPr>
            <w:r>
              <w:rPr>
                <w:rFonts w:hint="eastAsia" w:ascii="宋体" w:hAnsi="宋体" w:cs="宋体"/>
                <w:bCs/>
                <w:iCs/>
              </w:rPr>
              <w:t>202</w:t>
            </w:r>
            <w:r>
              <w:rPr>
                <w:rFonts w:hint="eastAsia" w:ascii="宋体" w:hAnsi="宋体" w:cs="宋体"/>
                <w:bCs/>
                <w:iCs/>
                <w:lang w:val="en-US" w:eastAsia="zh-CN"/>
              </w:rPr>
              <w:t>5</w:t>
            </w:r>
            <w:r>
              <w:rPr>
                <w:rFonts w:hint="eastAsia" w:ascii="宋体" w:hAnsi="宋体" w:cs="宋体"/>
                <w:bCs/>
                <w:iCs/>
              </w:rPr>
              <w:t>年</w:t>
            </w:r>
            <w:r>
              <w:rPr>
                <w:rFonts w:hint="eastAsia" w:ascii="宋体" w:hAnsi="宋体" w:cs="宋体"/>
                <w:bCs/>
                <w:iCs/>
                <w:lang w:val="en-US" w:eastAsia="zh-CN"/>
              </w:rPr>
              <w:t>6</w:t>
            </w:r>
            <w:r>
              <w:rPr>
                <w:rFonts w:hint="eastAsia" w:ascii="宋体" w:hAnsi="宋体" w:cs="宋体"/>
                <w:bCs/>
                <w:iCs/>
              </w:rPr>
              <w:t>月</w:t>
            </w:r>
            <w:r>
              <w:rPr>
                <w:rFonts w:hint="eastAsia" w:ascii="宋体" w:hAnsi="宋体" w:cs="宋体"/>
                <w:bCs/>
                <w:iCs/>
                <w:lang w:val="en-US" w:eastAsia="zh-CN"/>
              </w:rPr>
              <w:t>13</w:t>
            </w:r>
            <w:r>
              <w:rPr>
                <w:rFonts w:hint="eastAsia" w:ascii="宋体" w:hAnsi="宋体" w:cs="宋体"/>
                <w:bCs/>
                <w:iCs/>
              </w:rPr>
              <w:t>日</w:t>
            </w:r>
          </w:p>
        </w:tc>
      </w:tr>
    </w:tbl>
    <w:p w14:paraId="78B3FAD3">
      <w:pPr>
        <w:rPr>
          <w:rFonts w:hint="eastAsia" w:ascii="宋体" w:hAnsi="宋体" w:cs="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Wingdings 2">
    <w:panose1 w:val="05020102010507070707"/>
    <w:charset w:val="02"/>
    <w:family w:val="auto"/>
    <w:pitch w:val="default"/>
    <w:sig w:usb0="00000000" w:usb1="00000000" w:usb2="00000000" w:usb3="00000000" w:csb0="80000000"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172A27"/>
    <w:rsid w:val="00026EE6"/>
    <w:rsid w:val="00027EAD"/>
    <w:rsid w:val="000C1E77"/>
    <w:rsid w:val="0014365F"/>
    <w:rsid w:val="00146945"/>
    <w:rsid w:val="00213CFF"/>
    <w:rsid w:val="00231F66"/>
    <w:rsid w:val="00245D08"/>
    <w:rsid w:val="002F2CCD"/>
    <w:rsid w:val="00310DDF"/>
    <w:rsid w:val="003111DD"/>
    <w:rsid w:val="00325D4F"/>
    <w:rsid w:val="00372169"/>
    <w:rsid w:val="00374640"/>
    <w:rsid w:val="003A31D2"/>
    <w:rsid w:val="003E2476"/>
    <w:rsid w:val="00461FA8"/>
    <w:rsid w:val="004633BC"/>
    <w:rsid w:val="00470448"/>
    <w:rsid w:val="00472A13"/>
    <w:rsid w:val="00493020"/>
    <w:rsid w:val="004B129F"/>
    <w:rsid w:val="004F08D2"/>
    <w:rsid w:val="00522E9A"/>
    <w:rsid w:val="005464FB"/>
    <w:rsid w:val="0057302D"/>
    <w:rsid w:val="00587CF0"/>
    <w:rsid w:val="005C2708"/>
    <w:rsid w:val="005F75FC"/>
    <w:rsid w:val="0060262A"/>
    <w:rsid w:val="006047F9"/>
    <w:rsid w:val="00641EB9"/>
    <w:rsid w:val="006F71F3"/>
    <w:rsid w:val="007046CA"/>
    <w:rsid w:val="0073717B"/>
    <w:rsid w:val="00755C80"/>
    <w:rsid w:val="0078746E"/>
    <w:rsid w:val="00796F1F"/>
    <w:rsid w:val="007A6DB5"/>
    <w:rsid w:val="007B4419"/>
    <w:rsid w:val="00816A3D"/>
    <w:rsid w:val="00845AA9"/>
    <w:rsid w:val="008D1914"/>
    <w:rsid w:val="00927E0B"/>
    <w:rsid w:val="0097399F"/>
    <w:rsid w:val="00975CF0"/>
    <w:rsid w:val="009C7BB8"/>
    <w:rsid w:val="009F71AF"/>
    <w:rsid w:val="00A7011F"/>
    <w:rsid w:val="00AB3AF8"/>
    <w:rsid w:val="00AB3D93"/>
    <w:rsid w:val="00B12D58"/>
    <w:rsid w:val="00B25CE6"/>
    <w:rsid w:val="00B52E12"/>
    <w:rsid w:val="00B650BE"/>
    <w:rsid w:val="00B765E5"/>
    <w:rsid w:val="00B82040"/>
    <w:rsid w:val="00B92876"/>
    <w:rsid w:val="00BB3B96"/>
    <w:rsid w:val="00C531EA"/>
    <w:rsid w:val="00C876D0"/>
    <w:rsid w:val="00CE24F2"/>
    <w:rsid w:val="00CF2E1B"/>
    <w:rsid w:val="00E076B4"/>
    <w:rsid w:val="00E83B7D"/>
    <w:rsid w:val="00EA32FD"/>
    <w:rsid w:val="00EE18BC"/>
    <w:rsid w:val="00F4135D"/>
    <w:rsid w:val="00F46C27"/>
    <w:rsid w:val="00F8511C"/>
    <w:rsid w:val="00F87FAD"/>
    <w:rsid w:val="00FC43A1"/>
    <w:rsid w:val="00FC6D44"/>
    <w:rsid w:val="010C3DC8"/>
    <w:rsid w:val="012D0A79"/>
    <w:rsid w:val="01F178BE"/>
    <w:rsid w:val="02151334"/>
    <w:rsid w:val="02742095"/>
    <w:rsid w:val="02D97DA8"/>
    <w:rsid w:val="02F74BED"/>
    <w:rsid w:val="03820F4E"/>
    <w:rsid w:val="04590FB1"/>
    <w:rsid w:val="04730898"/>
    <w:rsid w:val="04A610B0"/>
    <w:rsid w:val="04D71E1F"/>
    <w:rsid w:val="051D4572"/>
    <w:rsid w:val="058A4BA6"/>
    <w:rsid w:val="06840641"/>
    <w:rsid w:val="086168CD"/>
    <w:rsid w:val="0885360A"/>
    <w:rsid w:val="09534A47"/>
    <w:rsid w:val="099224C2"/>
    <w:rsid w:val="0A0E4884"/>
    <w:rsid w:val="0AC55D37"/>
    <w:rsid w:val="0C483CB5"/>
    <w:rsid w:val="0F0B02DB"/>
    <w:rsid w:val="11257469"/>
    <w:rsid w:val="117400AF"/>
    <w:rsid w:val="12441DAC"/>
    <w:rsid w:val="13E236AC"/>
    <w:rsid w:val="154410F5"/>
    <w:rsid w:val="15DE21ED"/>
    <w:rsid w:val="167F55F9"/>
    <w:rsid w:val="168C360A"/>
    <w:rsid w:val="16DF554C"/>
    <w:rsid w:val="17AF2468"/>
    <w:rsid w:val="18435038"/>
    <w:rsid w:val="18F656A8"/>
    <w:rsid w:val="1950115D"/>
    <w:rsid w:val="19873A3C"/>
    <w:rsid w:val="1A320C5D"/>
    <w:rsid w:val="1AFA6AA4"/>
    <w:rsid w:val="1B3F26C4"/>
    <w:rsid w:val="1BA210E4"/>
    <w:rsid w:val="1BC81323"/>
    <w:rsid w:val="1C197E29"/>
    <w:rsid w:val="1C62620B"/>
    <w:rsid w:val="1CD65C5D"/>
    <w:rsid w:val="1D3D6906"/>
    <w:rsid w:val="1D6F382A"/>
    <w:rsid w:val="1EF76602"/>
    <w:rsid w:val="1FCD6C57"/>
    <w:rsid w:val="20201EC2"/>
    <w:rsid w:val="21077518"/>
    <w:rsid w:val="214F03B6"/>
    <w:rsid w:val="218B6F16"/>
    <w:rsid w:val="22551E62"/>
    <w:rsid w:val="229D003B"/>
    <w:rsid w:val="23906366"/>
    <w:rsid w:val="23F45616"/>
    <w:rsid w:val="24197969"/>
    <w:rsid w:val="25174EE8"/>
    <w:rsid w:val="25364057"/>
    <w:rsid w:val="255156EE"/>
    <w:rsid w:val="271F52BE"/>
    <w:rsid w:val="27952A4F"/>
    <w:rsid w:val="27D74A6C"/>
    <w:rsid w:val="27DC0EF4"/>
    <w:rsid w:val="2802389F"/>
    <w:rsid w:val="28F66DF5"/>
    <w:rsid w:val="298869B1"/>
    <w:rsid w:val="29AD12B0"/>
    <w:rsid w:val="29B57485"/>
    <w:rsid w:val="2A2D713F"/>
    <w:rsid w:val="2A480BFF"/>
    <w:rsid w:val="2A6C21F8"/>
    <w:rsid w:val="2AA45E84"/>
    <w:rsid w:val="2BB45CC1"/>
    <w:rsid w:val="2C2A7BE1"/>
    <w:rsid w:val="2C55584A"/>
    <w:rsid w:val="2C98683F"/>
    <w:rsid w:val="2C9D3A40"/>
    <w:rsid w:val="2CA27EC8"/>
    <w:rsid w:val="2DC77CAA"/>
    <w:rsid w:val="2E013307"/>
    <w:rsid w:val="2EA11B8C"/>
    <w:rsid w:val="2EF8259B"/>
    <w:rsid w:val="2F9B6714"/>
    <w:rsid w:val="2FAD0DC5"/>
    <w:rsid w:val="2FBD105F"/>
    <w:rsid w:val="2FE92733"/>
    <w:rsid w:val="306E4AC4"/>
    <w:rsid w:val="309E3BD0"/>
    <w:rsid w:val="312B28BA"/>
    <w:rsid w:val="327B7499"/>
    <w:rsid w:val="32BB2F2A"/>
    <w:rsid w:val="33BB6692"/>
    <w:rsid w:val="341F6E91"/>
    <w:rsid w:val="350E5A19"/>
    <w:rsid w:val="35494579"/>
    <w:rsid w:val="3569702C"/>
    <w:rsid w:val="35A64FBD"/>
    <w:rsid w:val="36291668"/>
    <w:rsid w:val="36C41867"/>
    <w:rsid w:val="370046CE"/>
    <w:rsid w:val="372258C1"/>
    <w:rsid w:val="372D5A13"/>
    <w:rsid w:val="3795237D"/>
    <w:rsid w:val="379C5AA8"/>
    <w:rsid w:val="37EC1C56"/>
    <w:rsid w:val="38284F1B"/>
    <w:rsid w:val="3830653A"/>
    <w:rsid w:val="38D608C9"/>
    <w:rsid w:val="38EA3D40"/>
    <w:rsid w:val="39075B05"/>
    <w:rsid w:val="3A9F2E3C"/>
    <w:rsid w:val="3B5D0C70"/>
    <w:rsid w:val="3D4C5F1D"/>
    <w:rsid w:val="3D54710F"/>
    <w:rsid w:val="3E037C4A"/>
    <w:rsid w:val="3E0456CC"/>
    <w:rsid w:val="3E510A59"/>
    <w:rsid w:val="3ED24E20"/>
    <w:rsid w:val="3FBB6F9C"/>
    <w:rsid w:val="402E72DA"/>
    <w:rsid w:val="40C355D0"/>
    <w:rsid w:val="40FE4130"/>
    <w:rsid w:val="414C1CB1"/>
    <w:rsid w:val="41B525D9"/>
    <w:rsid w:val="41EA08B5"/>
    <w:rsid w:val="428D00BE"/>
    <w:rsid w:val="42C97723"/>
    <w:rsid w:val="43143AD4"/>
    <w:rsid w:val="446B764F"/>
    <w:rsid w:val="448004EE"/>
    <w:rsid w:val="45040343"/>
    <w:rsid w:val="460573F1"/>
    <w:rsid w:val="463566E4"/>
    <w:rsid w:val="46A401F3"/>
    <w:rsid w:val="484808A4"/>
    <w:rsid w:val="489354A0"/>
    <w:rsid w:val="48B0655A"/>
    <w:rsid w:val="48FA6149"/>
    <w:rsid w:val="49714403"/>
    <w:rsid w:val="4A4F0FFA"/>
    <w:rsid w:val="4B120D37"/>
    <w:rsid w:val="4BAB34B4"/>
    <w:rsid w:val="4BBA6DC8"/>
    <w:rsid w:val="4CBD47F8"/>
    <w:rsid w:val="4D6C5E9F"/>
    <w:rsid w:val="4FC4026D"/>
    <w:rsid w:val="50D63849"/>
    <w:rsid w:val="51237D2E"/>
    <w:rsid w:val="5175356D"/>
    <w:rsid w:val="5381780D"/>
    <w:rsid w:val="53DF35F9"/>
    <w:rsid w:val="54085E92"/>
    <w:rsid w:val="55D810C6"/>
    <w:rsid w:val="56004D1E"/>
    <w:rsid w:val="56391F84"/>
    <w:rsid w:val="565B7F3A"/>
    <w:rsid w:val="565E4742"/>
    <w:rsid w:val="56D26C7F"/>
    <w:rsid w:val="58DF4B3E"/>
    <w:rsid w:val="59E81790"/>
    <w:rsid w:val="5A665C7C"/>
    <w:rsid w:val="5ACE7A76"/>
    <w:rsid w:val="5BDD2B45"/>
    <w:rsid w:val="5BE53F27"/>
    <w:rsid w:val="5C4A34F9"/>
    <w:rsid w:val="5C5C6C96"/>
    <w:rsid w:val="5C7A6246"/>
    <w:rsid w:val="5CB97030"/>
    <w:rsid w:val="5D2445C5"/>
    <w:rsid w:val="5E4010CF"/>
    <w:rsid w:val="5E685A72"/>
    <w:rsid w:val="5EAA3F5C"/>
    <w:rsid w:val="5F4A1E60"/>
    <w:rsid w:val="5FE44889"/>
    <w:rsid w:val="60474C82"/>
    <w:rsid w:val="61870E92"/>
    <w:rsid w:val="61953D13"/>
    <w:rsid w:val="639B0501"/>
    <w:rsid w:val="642751CA"/>
    <w:rsid w:val="677A5055"/>
    <w:rsid w:val="67AB1E1F"/>
    <w:rsid w:val="67E34238"/>
    <w:rsid w:val="67EC080C"/>
    <w:rsid w:val="686B6B5C"/>
    <w:rsid w:val="68806B01"/>
    <w:rsid w:val="699C2751"/>
    <w:rsid w:val="6A1D34CB"/>
    <w:rsid w:val="6A310A46"/>
    <w:rsid w:val="6BAE6CB9"/>
    <w:rsid w:val="6BDF20B2"/>
    <w:rsid w:val="6BFE4225"/>
    <w:rsid w:val="6C5C4853"/>
    <w:rsid w:val="6CBF405B"/>
    <w:rsid w:val="6D1A7EEA"/>
    <w:rsid w:val="6E442175"/>
    <w:rsid w:val="702D5518"/>
    <w:rsid w:val="708A296C"/>
    <w:rsid w:val="71BE49AA"/>
    <w:rsid w:val="72002E95"/>
    <w:rsid w:val="72A204A0"/>
    <w:rsid w:val="72B5398F"/>
    <w:rsid w:val="73303587"/>
    <w:rsid w:val="7388529A"/>
    <w:rsid w:val="7465302A"/>
    <w:rsid w:val="76F507BA"/>
    <w:rsid w:val="79A90CA8"/>
    <w:rsid w:val="7A815450"/>
    <w:rsid w:val="7B6E188D"/>
    <w:rsid w:val="7B74701A"/>
    <w:rsid w:val="7BA93D47"/>
    <w:rsid w:val="7C6543A4"/>
    <w:rsid w:val="7CDA1DE4"/>
    <w:rsid w:val="7DAA3D43"/>
    <w:rsid w:val="7DBD5C5A"/>
    <w:rsid w:val="7F75172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semiHidden="0" w:name="HTML Code"/>
    <w:lsdException w:qFormat="1" w:uiPriority="99" w:semiHidden="0" w:name="HTML Definition"/>
    <w:lsdException w:uiPriority="99" w:semiHidden="0" w:name="HTML Keyboard"/>
    <w:lsdException w:uiPriority="99" w:semiHidden="0" w:name="HTML Preformatted"/>
    <w:lsdException w:uiPriority="99" w:semiHidden="0"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qFormat/>
    <w:uiPriority w:val="0"/>
  </w:style>
  <w:style w:type="table" w:default="1" w:styleId="8">
    <w:name w:val="Normal Table"/>
    <w:unhideWhenUsed/>
    <w:uiPriority w:val="99"/>
    <w:tblPr>
      <w:tblCellMar>
        <w:top w:w="0" w:type="dxa"/>
        <w:left w:w="108" w:type="dxa"/>
        <w:bottom w:w="0" w:type="dxa"/>
        <w:right w:w="108" w:type="dxa"/>
      </w:tblCellMar>
    </w:tblPr>
  </w:style>
  <w:style w:type="paragraph" w:styleId="3">
    <w:name w:val="Balloon Text"/>
    <w:basedOn w:val="1"/>
    <w:link w:val="19"/>
    <w:unhideWhenUsed/>
    <w:uiPriority w:val="99"/>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HTML Preformatted"/>
    <w:basedOn w:val="1"/>
    <w:unhideWhenUsed/>
    <w:uiPriority w:val="99"/>
    <w:pPr>
      <w:pBdr>
        <w:top w:val="single" w:color="CCCCCC" w:sz="6" w:space="7"/>
        <w:left w:val="single" w:color="CCCCCC" w:sz="6" w:space="7"/>
        <w:bottom w:val="single" w:color="CCCCCC" w:sz="6" w:space="7"/>
        <w:right w:val="single" w:color="CCCCCC" w:sz="6" w:space="7"/>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after="150" w:afterAutospacing="0" w:line="21" w:lineRule="atLeast"/>
      <w:ind w:left="0" w:right="0"/>
      <w:jc w:val="left"/>
    </w:pPr>
    <w:rPr>
      <w:rFonts w:hint="default" w:ascii="Consolas" w:hAnsi="Consolas" w:eastAsia="Consolas" w:cs="Consolas"/>
      <w:color w:val="333333"/>
      <w:kern w:val="0"/>
      <w:sz w:val="19"/>
      <w:szCs w:val="19"/>
      <w:lang w:val="en-US" w:eastAsia="zh-CN" w:bidi="ar"/>
    </w:rPr>
  </w:style>
  <w:style w:type="paragraph" w:styleId="7">
    <w:name w:val="Normal (Web)"/>
    <w:basedOn w:val="1"/>
    <w:semiHidden/>
    <w:unhideWhenUsed/>
    <w:uiPriority w:val="99"/>
    <w:rPr>
      <w:sz w:val="24"/>
    </w:rPr>
  </w:style>
  <w:style w:type="character" w:styleId="10">
    <w:name w:val="Strong"/>
    <w:qFormat/>
    <w:uiPriority w:val="22"/>
    <w:rPr>
      <w:b/>
      <w:bCs/>
    </w:rPr>
  </w:style>
  <w:style w:type="character" w:styleId="11">
    <w:name w:val="page number"/>
    <w:unhideWhenUsed/>
    <w:uiPriority w:val="99"/>
  </w:style>
  <w:style w:type="character" w:styleId="12">
    <w:name w:val="FollowedHyperlink"/>
    <w:unhideWhenUsed/>
    <w:uiPriority w:val="99"/>
    <w:rPr>
      <w:color w:val="333333"/>
      <w:u w:val="none"/>
    </w:rPr>
  </w:style>
  <w:style w:type="character" w:styleId="13">
    <w:name w:val="HTML Definition"/>
    <w:unhideWhenUsed/>
    <w:qFormat/>
    <w:uiPriority w:val="99"/>
    <w:rPr>
      <w:i/>
      <w:iCs/>
    </w:rPr>
  </w:style>
  <w:style w:type="character" w:styleId="14">
    <w:name w:val="Hyperlink"/>
    <w:unhideWhenUsed/>
    <w:qFormat/>
    <w:uiPriority w:val="99"/>
    <w:rPr>
      <w:color w:val="333333"/>
      <w:u w:val="none"/>
    </w:rPr>
  </w:style>
  <w:style w:type="character" w:styleId="15">
    <w:name w:val="HTML Code"/>
    <w:unhideWhenUsed/>
    <w:uiPriority w:val="99"/>
    <w:rPr>
      <w:rFonts w:ascii="Consolas" w:hAnsi="Consolas" w:eastAsia="Consolas" w:cs="Consolas"/>
      <w:color w:val="C7254E"/>
      <w:sz w:val="21"/>
      <w:szCs w:val="21"/>
      <w:shd w:val="clear" w:color="auto" w:fill="F9F2F4"/>
    </w:rPr>
  </w:style>
  <w:style w:type="character" w:styleId="16">
    <w:name w:val="HTML Keyboard"/>
    <w:unhideWhenUsed/>
    <w:uiPriority w:val="99"/>
    <w:rPr>
      <w:rFonts w:hint="default" w:ascii="Consolas" w:hAnsi="Consolas" w:eastAsia="Consolas" w:cs="Consolas"/>
      <w:color w:val="FFFFFF"/>
      <w:sz w:val="21"/>
      <w:szCs w:val="21"/>
      <w:shd w:val="clear" w:color="auto" w:fill="333333"/>
    </w:rPr>
  </w:style>
  <w:style w:type="character" w:styleId="17">
    <w:name w:val="HTML Sample"/>
    <w:unhideWhenUsed/>
    <w:uiPriority w:val="99"/>
    <w:rPr>
      <w:rFonts w:hint="default" w:ascii="Consolas" w:hAnsi="Consolas" w:eastAsia="Consolas" w:cs="Consolas"/>
      <w:sz w:val="21"/>
      <w:szCs w:val="21"/>
    </w:rPr>
  </w:style>
  <w:style w:type="character" w:customStyle="1" w:styleId="18">
    <w:name w:val="标题 1 字符"/>
    <w:link w:val="2"/>
    <w:uiPriority w:val="9"/>
    <w:rPr>
      <w:rFonts w:ascii="Times New Roman" w:hAnsi="Times New Roman"/>
      <w:b/>
      <w:bCs/>
      <w:kern w:val="44"/>
      <w:sz w:val="44"/>
      <w:szCs w:val="44"/>
    </w:rPr>
  </w:style>
  <w:style w:type="character" w:customStyle="1" w:styleId="19">
    <w:name w:val="批注框文本 字符"/>
    <w:link w:val="3"/>
    <w:semiHidden/>
    <w:qFormat/>
    <w:uiPriority w:val="99"/>
    <w:rPr>
      <w:kern w:val="2"/>
      <w:sz w:val="18"/>
      <w:szCs w:val="18"/>
    </w:rPr>
  </w:style>
  <w:style w:type="paragraph" w:styleId="20">
    <w:name w:val="List Paragraph"/>
    <w:basedOn w:val="1"/>
    <w:qFormat/>
    <w:uiPriority w:val="34"/>
    <w:pPr>
      <w:ind w:firstLine="420" w:firstLineChars="200"/>
    </w:pPr>
  </w:style>
  <w:style w:type="paragraph" w:customStyle="1" w:styleId="21">
    <w:name w:val="_Style 19"/>
    <w:unhideWhenUsed/>
    <w:qFormat/>
    <w:uiPriority w:val="99"/>
    <w:rPr>
      <w:rFonts w:ascii="Times New Roman" w:hAnsi="Times New Roman" w:eastAsia="宋体" w:cs="Times New Roman"/>
      <w:kern w:val="2"/>
      <w:sz w:val="21"/>
      <w:szCs w:val="21"/>
      <w:lang w:val="en-US" w:eastAsia="zh-CN" w:bidi="ar-SA"/>
    </w:rPr>
  </w:style>
  <w:style w:type="character" w:customStyle="1" w:styleId="22">
    <w:name w:val="hover"/>
    <w:qFormat/>
    <w:uiPriority w:val="0"/>
    <w:rPr>
      <w:color w:val="FFFFFF"/>
    </w:rPr>
  </w:style>
  <w:style w:type="character" w:customStyle="1" w:styleId="23">
    <w:name w:val="hover1"/>
    <w:uiPriority w:val="0"/>
    <w:rPr>
      <w:color w:val="003780"/>
    </w:rPr>
  </w:style>
  <w:style w:type="character" w:customStyle="1" w:styleId="24">
    <w:name w:val="hover2"/>
    <w:qFormat/>
    <w:uiPriority w:val="0"/>
    <w:rPr>
      <w:color w:val="FFFFFF"/>
    </w:rPr>
  </w:style>
  <w:style w:type="character" w:customStyle="1" w:styleId="25">
    <w:name w:val="hover3"/>
    <w:qFormat/>
    <w:uiPriority w:val="0"/>
    <w:rPr>
      <w:color w:val="0037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2047</Words>
  <Characters>2151</Characters>
  <Lines>14</Lines>
  <Paragraphs>4</Paragraphs>
  <TotalTime>9</TotalTime>
  <ScaleCrop>false</ScaleCrop>
  <LinksUpToDate>false</LinksUpToDate>
  <CharactersWithSpaces>2216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2015-01-21T07:43:00Z</dcterms:created>
  <dc:creator>RDLY</dc:creator>
  <cp:lastModifiedBy>李品元</cp:lastModifiedBy>
  <dcterms:modified xsi:type="dcterms:W3CDTF">2025-06-13T09:49:47Z</dcterms:modified>
  <dc:title>证券代码：002192                            证券简称：路翔股份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92A06053E54946ED863C27A7D4DB3815_13</vt:lpwstr>
  </property>
  <property fmtid="{D5CDD505-2E9C-101B-9397-08002B2CF9AE}" pid="4" name="KSOTemplateDocerSaveRecord">
    <vt:lpwstr>eyJoZGlkIjoiMzEwNTM5NzYwMDRjMzkwZTVkZjY2ODkwMGIxNGU0OTUiLCJ1c2VySWQiOiIzMDkzNDI0MDgifQ==</vt:lpwstr>
  </property>
</Properties>
</file>