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4D1B9E" w:rsidRDefault="006A22C2" w:rsidP="00EC471D">
      <w:pPr>
        <w:spacing w:line="420" w:lineRule="exact"/>
        <w:rPr>
          <w:rFonts w:ascii="宋体" w:hAnsi="宋体"/>
          <w:b/>
          <w:iCs/>
          <w:szCs w:val="21"/>
        </w:rPr>
      </w:pPr>
      <w:r>
        <w:rPr>
          <w:rFonts w:ascii="宋体" w:hAnsi="宋体"/>
          <w:b/>
          <w:iCs/>
          <w:szCs w:val="21"/>
        </w:rPr>
        <w:t>证券代码：688100                                            证券简称：</w:t>
      </w:r>
      <w:r>
        <w:rPr>
          <w:rFonts w:ascii="宋体" w:hAnsi="宋体" w:hint="eastAsia"/>
          <w:b/>
          <w:iCs/>
          <w:szCs w:val="21"/>
        </w:rPr>
        <w:t>威胜信息</w:t>
      </w:r>
    </w:p>
    <w:p w14:paraId="6B18BC72" w14:textId="77777777" w:rsidR="004D1B9E" w:rsidRDefault="006A22C2" w:rsidP="00EC471D">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4A8C1760" w:rsidR="004D1B9E" w:rsidRDefault="006A22C2" w:rsidP="00EC471D">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sidR="00EB5C43">
        <w:rPr>
          <w:rFonts w:ascii="宋体" w:hAnsi="宋体"/>
          <w:b/>
          <w:bCs/>
          <w:iCs/>
          <w:sz w:val="32"/>
          <w:szCs w:val="32"/>
        </w:rPr>
        <w:t>6</w:t>
      </w:r>
      <w:r>
        <w:rPr>
          <w:rFonts w:ascii="宋体" w:hAnsi="宋体" w:hint="eastAsia"/>
          <w:b/>
          <w:bCs/>
          <w:iCs/>
          <w:sz w:val="32"/>
          <w:szCs w:val="32"/>
        </w:rPr>
        <w:t>月</w:t>
      </w:r>
      <w:r w:rsidR="00FE4C21">
        <w:rPr>
          <w:rFonts w:ascii="宋体" w:hAnsi="宋体"/>
          <w:b/>
          <w:bCs/>
          <w:iCs/>
          <w:sz w:val="32"/>
          <w:szCs w:val="32"/>
        </w:rPr>
        <w:t>12</w:t>
      </w:r>
      <w:r>
        <w:rPr>
          <w:rFonts w:ascii="宋体" w:hAnsi="宋体"/>
          <w:b/>
          <w:bCs/>
          <w:iCs/>
          <w:sz w:val="32"/>
          <w:szCs w:val="32"/>
        </w:rPr>
        <w:t>日</w:t>
      </w:r>
      <w:r w:rsidR="00C664AD">
        <w:rPr>
          <w:rFonts w:ascii="宋体" w:hAnsi="宋体" w:hint="eastAsia"/>
          <w:b/>
          <w:bCs/>
          <w:iCs/>
          <w:sz w:val="32"/>
          <w:szCs w:val="32"/>
        </w:rPr>
        <w:t>-</w:t>
      </w:r>
      <w:r w:rsidR="00FE4C21">
        <w:rPr>
          <w:rFonts w:ascii="宋体" w:hAnsi="宋体"/>
          <w:b/>
          <w:bCs/>
          <w:iCs/>
          <w:sz w:val="32"/>
          <w:szCs w:val="32"/>
        </w:rPr>
        <w:t>13</w:t>
      </w:r>
      <w:r w:rsidR="00C664AD">
        <w:rPr>
          <w:rFonts w:ascii="宋体" w:hAnsi="宋体"/>
          <w:b/>
          <w:bCs/>
          <w:iCs/>
          <w:sz w:val="32"/>
          <w:szCs w:val="32"/>
        </w:rPr>
        <w:t>日</w:t>
      </w:r>
      <w:r w:rsidR="00EC471D">
        <w:rPr>
          <w:rFonts w:ascii="宋体" w:hAnsi="宋体" w:hint="eastAsia"/>
          <w:b/>
          <w:bCs/>
          <w:iCs/>
          <w:sz w:val="32"/>
          <w:szCs w:val="32"/>
        </w:rPr>
        <w:t>投资者交流会</w:t>
      </w:r>
      <w:r w:rsidR="00BE4F40">
        <w:rPr>
          <w:rFonts w:ascii="宋体" w:hAnsi="宋体"/>
          <w:b/>
          <w:bCs/>
          <w:iCs/>
          <w:sz w:val="32"/>
          <w:szCs w:val="32"/>
        </w:rPr>
        <w:t>会议记录</w:t>
      </w:r>
      <w:bookmarkStart w:id="0" w:name="_GoBack"/>
      <w:bookmarkEnd w:id="0"/>
    </w:p>
    <w:p w14:paraId="7FC29C83" w14:textId="3DF1781F" w:rsidR="004D1B9E" w:rsidRDefault="006A22C2" w:rsidP="00EC471D">
      <w:pPr>
        <w:spacing w:line="420" w:lineRule="exact"/>
        <w:ind w:firstLineChars="177" w:firstLine="425"/>
        <w:rPr>
          <w:rFonts w:ascii="宋体" w:hAnsi="宋体"/>
          <w:sz w:val="24"/>
        </w:rPr>
      </w:pPr>
      <w:r>
        <w:rPr>
          <w:rFonts w:ascii="宋体" w:hAnsi="宋体" w:hint="eastAsia"/>
          <w:sz w:val="24"/>
        </w:rPr>
        <w:t>威胜信息技术股份有限公司（以下简称“公司”）2</w:t>
      </w:r>
      <w:r>
        <w:rPr>
          <w:rFonts w:ascii="宋体" w:hAnsi="宋体"/>
          <w:sz w:val="24"/>
        </w:rPr>
        <w:t>024</w:t>
      </w:r>
      <w:r>
        <w:rPr>
          <w:rFonts w:ascii="宋体" w:hAnsi="宋体" w:hint="eastAsia"/>
          <w:sz w:val="24"/>
        </w:rPr>
        <w:t>年</w:t>
      </w:r>
      <w:r w:rsidR="00EB5C43">
        <w:rPr>
          <w:rFonts w:ascii="宋体" w:hAnsi="宋体"/>
          <w:sz w:val="24"/>
        </w:rPr>
        <w:t>6</w:t>
      </w:r>
      <w:r>
        <w:rPr>
          <w:rFonts w:ascii="宋体" w:hAnsi="宋体" w:hint="eastAsia"/>
          <w:sz w:val="24"/>
        </w:rPr>
        <w:t>月</w:t>
      </w:r>
      <w:r w:rsidR="00FE4C21">
        <w:rPr>
          <w:rFonts w:ascii="宋体" w:hAnsi="宋体"/>
          <w:sz w:val="24"/>
        </w:rPr>
        <w:t>12</w:t>
      </w:r>
      <w:r>
        <w:rPr>
          <w:rFonts w:ascii="宋体" w:hAnsi="宋体"/>
          <w:sz w:val="24"/>
        </w:rPr>
        <w:t>日</w:t>
      </w:r>
      <w:r w:rsidR="00225A6D">
        <w:rPr>
          <w:rFonts w:ascii="宋体" w:hAnsi="宋体" w:hint="eastAsia"/>
          <w:sz w:val="24"/>
        </w:rPr>
        <w:t>-</w:t>
      </w:r>
      <w:r w:rsidR="00FE4C21">
        <w:rPr>
          <w:rFonts w:ascii="宋体" w:hAnsi="宋体"/>
          <w:sz w:val="24"/>
        </w:rPr>
        <w:t>13</w:t>
      </w:r>
      <w:r w:rsidR="00225A6D">
        <w:rPr>
          <w:rFonts w:ascii="宋体" w:hAnsi="宋体"/>
          <w:sz w:val="24"/>
        </w:rPr>
        <w:t>日</w:t>
      </w:r>
      <w:r>
        <w:rPr>
          <w:rFonts w:ascii="宋体" w:hAnsi="宋体" w:hint="eastAsia"/>
          <w:sz w:val="24"/>
        </w:rPr>
        <w:t>交流情况如下：</w:t>
      </w:r>
    </w:p>
    <w:p w14:paraId="6C076469" w14:textId="77777777" w:rsidR="004D1B9E" w:rsidRDefault="006A22C2" w:rsidP="00EC471D">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64ADBD2E" w14:textId="77777777" w:rsidR="00EB5C43" w:rsidRDefault="00EB5C43" w:rsidP="00EB5C43">
      <w:pPr>
        <w:pStyle w:val="a5"/>
        <w:spacing w:line="420" w:lineRule="exact"/>
        <w:ind w:firstLineChars="200" w:firstLine="480"/>
        <w:rPr>
          <w:rFonts w:hAnsi="宋体"/>
          <w:sz w:val="24"/>
        </w:rPr>
      </w:pPr>
      <w:r>
        <w:rPr>
          <w:rFonts w:hAnsi="宋体" w:hint="eastAsia"/>
          <w:sz w:val="24"/>
        </w:rPr>
        <w:t>副总裁、董事会秘书兼财务总监：</w:t>
      </w:r>
      <w:proofErr w:type="gramStart"/>
      <w:r>
        <w:rPr>
          <w:rFonts w:hAnsi="宋体" w:hint="eastAsia"/>
          <w:sz w:val="24"/>
        </w:rPr>
        <w:t>钟喜玉女</w:t>
      </w:r>
      <w:proofErr w:type="gramEnd"/>
      <w:r>
        <w:rPr>
          <w:rFonts w:hAnsi="宋体" w:hint="eastAsia"/>
          <w:sz w:val="24"/>
        </w:rPr>
        <w:t>士；</w:t>
      </w:r>
    </w:p>
    <w:p w14:paraId="74099301" w14:textId="77777777" w:rsidR="00FE4C21" w:rsidRDefault="00EB5C43" w:rsidP="00EB5C43">
      <w:pPr>
        <w:pStyle w:val="a5"/>
        <w:spacing w:line="420" w:lineRule="exact"/>
        <w:ind w:firstLineChars="200" w:firstLine="480"/>
        <w:rPr>
          <w:rFonts w:hAnsi="宋体"/>
          <w:sz w:val="24"/>
        </w:rPr>
      </w:pPr>
      <w:r>
        <w:rPr>
          <w:rFonts w:hAnsi="宋体" w:hint="eastAsia"/>
          <w:sz w:val="24"/>
        </w:rPr>
        <w:t>战略发展总监：吴浩先生；</w:t>
      </w:r>
    </w:p>
    <w:p w14:paraId="3A769DFF" w14:textId="77777777" w:rsidR="00FE4C21" w:rsidRDefault="00FE4C21" w:rsidP="00FE4C21">
      <w:pPr>
        <w:pStyle w:val="a5"/>
        <w:spacing w:line="420" w:lineRule="exact"/>
        <w:ind w:firstLineChars="200" w:firstLine="480"/>
        <w:rPr>
          <w:rFonts w:hAnsi="宋体"/>
          <w:sz w:val="24"/>
        </w:rPr>
      </w:pPr>
      <w:r>
        <w:rPr>
          <w:rFonts w:hAnsi="宋体" w:hint="eastAsia"/>
          <w:sz w:val="24"/>
        </w:rPr>
        <w:t>证券事务代表：余萱女士；</w:t>
      </w:r>
    </w:p>
    <w:p w14:paraId="17CF5348" w14:textId="2E597F55" w:rsidR="00F0216A" w:rsidRDefault="00EB5C43" w:rsidP="00EB5C43">
      <w:pPr>
        <w:pStyle w:val="a5"/>
        <w:spacing w:line="420" w:lineRule="exact"/>
        <w:ind w:firstLineChars="200" w:firstLine="480"/>
        <w:rPr>
          <w:rFonts w:hAnsi="宋体"/>
          <w:sz w:val="24"/>
        </w:rPr>
      </w:pPr>
      <w:r>
        <w:rPr>
          <w:rFonts w:hAnsi="宋体" w:hint="eastAsia"/>
          <w:sz w:val="24"/>
        </w:rPr>
        <w:t>投资者关系经理：张乐维先生</w:t>
      </w:r>
    </w:p>
    <w:p w14:paraId="0D6DC3E7" w14:textId="77777777" w:rsidR="00592D9A" w:rsidRDefault="00592D9A" w:rsidP="00EC471D">
      <w:pPr>
        <w:pStyle w:val="a5"/>
        <w:spacing w:line="420" w:lineRule="exact"/>
        <w:ind w:firstLineChars="200" w:firstLine="480"/>
        <w:rPr>
          <w:rFonts w:hAnsi="宋体"/>
          <w:sz w:val="24"/>
        </w:rPr>
      </w:pPr>
    </w:p>
    <w:p w14:paraId="5A29377F" w14:textId="77777777" w:rsidR="004D1B9E" w:rsidRDefault="006A22C2" w:rsidP="00EC471D">
      <w:pPr>
        <w:pStyle w:val="a5"/>
        <w:spacing w:line="420" w:lineRule="exact"/>
        <w:ind w:firstLineChars="200" w:firstLine="480"/>
        <w:rPr>
          <w:rFonts w:hAnsi="宋体"/>
          <w:sz w:val="24"/>
        </w:rPr>
      </w:pPr>
      <w:r>
        <w:rPr>
          <w:rFonts w:hAnsi="宋体" w:hint="eastAsia"/>
          <w:sz w:val="24"/>
        </w:rPr>
        <w:t>机构参会：</w:t>
      </w:r>
    </w:p>
    <w:p w14:paraId="465DFB56" w14:textId="77777777" w:rsidR="00FE4C21" w:rsidRDefault="00FE4C21" w:rsidP="00FE4C21">
      <w:pPr>
        <w:pStyle w:val="a5"/>
        <w:spacing w:line="420" w:lineRule="exact"/>
        <w:ind w:firstLineChars="200" w:firstLine="480"/>
        <w:rPr>
          <w:rFonts w:hAnsi="宋体"/>
          <w:sz w:val="24"/>
        </w:rPr>
      </w:pPr>
      <w:r>
        <w:rPr>
          <w:rFonts w:hAnsi="宋体" w:hint="eastAsia"/>
          <w:sz w:val="24"/>
        </w:rPr>
        <w:t>2</w:t>
      </w:r>
      <w:r>
        <w:rPr>
          <w:rFonts w:hAnsi="宋体"/>
          <w:sz w:val="24"/>
        </w:rPr>
        <w:t>025年6</w:t>
      </w:r>
      <w:r>
        <w:rPr>
          <w:rFonts w:hAnsi="宋体" w:hint="eastAsia"/>
          <w:sz w:val="24"/>
        </w:rPr>
        <w:t>月</w:t>
      </w:r>
      <w:r>
        <w:rPr>
          <w:rFonts w:hAnsi="宋体"/>
          <w:sz w:val="24"/>
        </w:rPr>
        <w:t>12日</w:t>
      </w:r>
      <w:r>
        <w:rPr>
          <w:rFonts w:hAnsi="宋体" w:hint="eastAsia"/>
          <w:sz w:val="24"/>
        </w:rPr>
        <w:t xml:space="preserve"> </w:t>
      </w:r>
      <w:r>
        <w:rPr>
          <w:rFonts w:hAnsi="宋体"/>
          <w:sz w:val="24"/>
        </w:rPr>
        <w:t xml:space="preserve"> </w:t>
      </w:r>
      <w:r>
        <w:rPr>
          <w:rFonts w:hAnsi="宋体" w:hint="eastAsia"/>
          <w:sz w:val="24"/>
        </w:rPr>
        <w:t>华夏基金、西部证券、中小投资者、金元证券</w:t>
      </w:r>
    </w:p>
    <w:p w14:paraId="441F8FB3" w14:textId="1E7FEEA2" w:rsidR="00EB5C43" w:rsidRDefault="00FE4C21" w:rsidP="00FE4C21">
      <w:pPr>
        <w:pStyle w:val="a5"/>
        <w:spacing w:line="420" w:lineRule="exact"/>
        <w:ind w:firstLineChars="200" w:firstLine="480"/>
        <w:rPr>
          <w:rFonts w:hAnsi="宋体"/>
          <w:sz w:val="24"/>
        </w:rPr>
      </w:pPr>
      <w:r>
        <w:rPr>
          <w:rFonts w:hAnsi="宋体" w:hint="eastAsia"/>
          <w:sz w:val="24"/>
        </w:rPr>
        <w:t>2</w:t>
      </w:r>
      <w:r>
        <w:rPr>
          <w:rFonts w:hAnsi="宋体"/>
          <w:sz w:val="24"/>
        </w:rPr>
        <w:t>025年6</w:t>
      </w:r>
      <w:r>
        <w:rPr>
          <w:rFonts w:hAnsi="宋体" w:hint="eastAsia"/>
          <w:sz w:val="24"/>
        </w:rPr>
        <w:t>月</w:t>
      </w:r>
      <w:r>
        <w:rPr>
          <w:rFonts w:hAnsi="宋体"/>
          <w:sz w:val="24"/>
        </w:rPr>
        <w:t>13日</w:t>
      </w:r>
      <w:r>
        <w:rPr>
          <w:rFonts w:hAnsi="宋体" w:hint="eastAsia"/>
          <w:sz w:val="24"/>
        </w:rPr>
        <w:t xml:space="preserve"> </w:t>
      </w:r>
      <w:r>
        <w:rPr>
          <w:rFonts w:hAnsi="宋体"/>
          <w:sz w:val="24"/>
        </w:rPr>
        <w:t xml:space="preserve"> </w:t>
      </w:r>
      <w:r>
        <w:rPr>
          <w:rFonts w:hAnsi="宋体" w:hint="eastAsia"/>
          <w:sz w:val="24"/>
        </w:rPr>
        <w:t>汇</w:t>
      </w:r>
      <w:proofErr w:type="gramStart"/>
      <w:r>
        <w:rPr>
          <w:rFonts w:hAnsi="宋体" w:hint="eastAsia"/>
          <w:sz w:val="24"/>
        </w:rPr>
        <w:t>丰晋信、</w:t>
      </w:r>
      <w:r w:rsidRPr="00284F45">
        <w:rPr>
          <w:rFonts w:hAnsi="宋体" w:hint="eastAsia"/>
          <w:sz w:val="24"/>
        </w:rPr>
        <w:t>睿</w:t>
      </w:r>
      <w:proofErr w:type="gramEnd"/>
      <w:r w:rsidRPr="00284F45">
        <w:rPr>
          <w:rFonts w:hAnsi="宋体" w:hint="eastAsia"/>
          <w:sz w:val="24"/>
        </w:rPr>
        <w:t>郡</w:t>
      </w:r>
      <w:r>
        <w:rPr>
          <w:rFonts w:hAnsi="宋体" w:hint="eastAsia"/>
          <w:sz w:val="24"/>
        </w:rPr>
        <w:t>投资、香港弘鼎、杭州</w:t>
      </w:r>
      <w:proofErr w:type="gramStart"/>
      <w:r>
        <w:rPr>
          <w:rFonts w:hAnsi="宋体" w:hint="eastAsia"/>
          <w:sz w:val="24"/>
        </w:rPr>
        <w:t>凯</w:t>
      </w:r>
      <w:proofErr w:type="gramEnd"/>
      <w:r>
        <w:rPr>
          <w:rFonts w:hAnsi="宋体" w:hint="eastAsia"/>
          <w:sz w:val="24"/>
        </w:rPr>
        <w:t>岩、唯德投资、泰合资本、中邮创业、果行育德、</w:t>
      </w:r>
      <w:r w:rsidRPr="004422E2">
        <w:rPr>
          <w:rFonts w:hAnsi="宋体" w:hint="eastAsia"/>
          <w:sz w:val="24"/>
        </w:rPr>
        <w:t>新加坡丰益</w:t>
      </w:r>
      <w:r>
        <w:rPr>
          <w:rFonts w:hAnsi="宋体" w:hint="eastAsia"/>
          <w:sz w:val="24"/>
        </w:rPr>
        <w:t>、德</w:t>
      </w:r>
      <w:proofErr w:type="gramStart"/>
      <w:r>
        <w:rPr>
          <w:rFonts w:hAnsi="宋体" w:hint="eastAsia"/>
          <w:sz w:val="24"/>
        </w:rPr>
        <w:t>邦</w:t>
      </w:r>
      <w:proofErr w:type="gramEnd"/>
      <w:r>
        <w:rPr>
          <w:rFonts w:hAnsi="宋体" w:hint="eastAsia"/>
          <w:sz w:val="24"/>
        </w:rPr>
        <w:t>证券、中金公司</w:t>
      </w:r>
    </w:p>
    <w:p w14:paraId="2CF26EE8" w14:textId="77777777" w:rsidR="00FE4C21" w:rsidRPr="00091447" w:rsidRDefault="00FE4C21" w:rsidP="00FE4C21">
      <w:pPr>
        <w:pStyle w:val="a5"/>
        <w:spacing w:line="420" w:lineRule="exact"/>
        <w:ind w:firstLineChars="200" w:firstLine="480"/>
        <w:rPr>
          <w:rFonts w:hAnsi="宋体"/>
          <w:sz w:val="24"/>
        </w:rPr>
      </w:pPr>
    </w:p>
    <w:p w14:paraId="6C0B40FD" w14:textId="026A4438" w:rsidR="004D1B9E" w:rsidRDefault="008F0BD9" w:rsidP="00EC471D">
      <w:pPr>
        <w:pStyle w:val="ad"/>
        <w:numPr>
          <w:ilvl w:val="0"/>
          <w:numId w:val="1"/>
        </w:numPr>
        <w:spacing w:line="420" w:lineRule="exact"/>
        <w:ind w:left="709" w:firstLineChars="0"/>
        <w:rPr>
          <w:rFonts w:hAnsi="宋体"/>
          <w:b/>
          <w:bCs/>
          <w:sz w:val="24"/>
        </w:rPr>
      </w:pPr>
      <w:r>
        <w:rPr>
          <w:rFonts w:hAnsi="宋体" w:hint="eastAsia"/>
          <w:b/>
          <w:bCs/>
          <w:sz w:val="24"/>
        </w:rPr>
        <w:t>202</w:t>
      </w:r>
      <w:r>
        <w:rPr>
          <w:rFonts w:hAnsi="宋体"/>
          <w:b/>
          <w:bCs/>
          <w:sz w:val="24"/>
        </w:rPr>
        <w:t>5</w:t>
      </w:r>
      <w:r>
        <w:rPr>
          <w:rFonts w:hAnsi="宋体"/>
          <w:b/>
          <w:bCs/>
          <w:sz w:val="24"/>
        </w:rPr>
        <w:t>年</w:t>
      </w:r>
      <w:proofErr w:type="gramStart"/>
      <w:r>
        <w:rPr>
          <w:rFonts w:hAnsi="宋体"/>
          <w:b/>
          <w:bCs/>
          <w:sz w:val="24"/>
        </w:rPr>
        <w:t>一</w:t>
      </w:r>
      <w:proofErr w:type="gramEnd"/>
      <w:r>
        <w:rPr>
          <w:rFonts w:hAnsi="宋体"/>
          <w:b/>
          <w:bCs/>
          <w:sz w:val="24"/>
        </w:rPr>
        <w:t>季</w:t>
      </w:r>
      <w:r w:rsidR="006A22C2">
        <w:rPr>
          <w:rFonts w:hAnsi="宋体" w:hint="eastAsia"/>
          <w:b/>
          <w:bCs/>
          <w:sz w:val="24"/>
        </w:rPr>
        <w:t>报主要情况介绍</w:t>
      </w:r>
    </w:p>
    <w:p w14:paraId="2D2DFA9B" w14:textId="1E0F2E24" w:rsidR="00091447" w:rsidRDefault="00091447" w:rsidP="00FA08E3">
      <w:pPr>
        <w:widowControl/>
        <w:wordWrap w:val="0"/>
        <w:spacing w:line="420" w:lineRule="exact"/>
        <w:ind w:firstLineChars="200" w:firstLine="480"/>
        <w:jc w:val="left"/>
        <w:rPr>
          <w:rFonts w:ascii="宋体" w:hAnsi="宋体"/>
          <w:bCs/>
          <w:sz w:val="24"/>
        </w:rPr>
      </w:pPr>
      <w:r>
        <w:rPr>
          <w:rFonts w:ascii="宋体" w:hAnsi="宋体"/>
          <w:bCs/>
          <w:sz w:val="24"/>
        </w:rPr>
        <w:t>营业收入达 5.55 亿元，同比增长 24%；净利润 1.39 亿元，同比增长 25%，延续上市以来定期报告收入和净利润双增长态势。一季度经营现金净流入 7986 万元，同比增长 38%</w:t>
      </w:r>
      <w:r w:rsidR="00FA08E3">
        <w:rPr>
          <w:rFonts w:ascii="宋体" w:hAnsi="宋体"/>
          <w:bCs/>
          <w:sz w:val="24"/>
        </w:rPr>
        <w:t>，</w:t>
      </w:r>
      <w:r>
        <w:rPr>
          <w:rFonts w:ascii="宋体" w:hAnsi="宋体"/>
          <w:bCs/>
          <w:sz w:val="24"/>
        </w:rPr>
        <w:t>新签合同 7.77 亿元，同比增长 30%；季末在手订单结余 41 亿元，为后续业绩提升奠定基础。</w:t>
      </w:r>
    </w:p>
    <w:p w14:paraId="57F3DAE8" w14:textId="08EA6E4A" w:rsidR="00091447" w:rsidRDefault="00091447" w:rsidP="00091447">
      <w:pPr>
        <w:widowControl/>
        <w:wordWrap w:val="0"/>
        <w:spacing w:line="420" w:lineRule="exact"/>
        <w:ind w:firstLineChars="200" w:firstLine="480"/>
        <w:jc w:val="left"/>
        <w:rPr>
          <w:rFonts w:ascii="宋体" w:hAnsi="宋体"/>
          <w:bCs/>
          <w:sz w:val="24"/>
        </w:rPr>
      </w:pPr>
      <w:r>
        <w:rPr>
          <w:rFonts w:ascii="宋体" w:hAnsi="宋体"/>
          <w:bCs/>
          <w:sz w:val="24"/>
        </w:rPr>
        <w:t>国内市场营收 4.55 亿元，同比增长 22.6%；海外市场营收 9692 万元，同比增长 31%。海外市场聚焦 “一带一路” 沿线，已设立超十家境外子公司和销售代表处，4 月 10 日印尼首家境外工厂投产，具备全工序先进制造能力，沙特工厂也在有序推进。</w:t>
      </w:r>
    </w:p>
    <w:p w14:paraId="4A6F9968" w14:textId="2495C9CD" w:rsidR="00091447" w:rsidRDefault="00091447" w:rsidP="00091447">
      <w:pPr>
        <w:widowControl/>
        <w:wordWrap w:val="0"/>
        <w:spacing w:line="420" w:lineRule="exact"/>
        <w:ind w:firstLineChars="200" w:firstLine="480"/>
        <w:jc w:val="left"/>
        <w:rPr>
          <w:rFonts w:ascii="宋体" w:hAnsi="宋体"/>
          <w:bCs/>
          <w:sz w:val="24"/>
        </w:rPr>
      </w:pPr>
      <w:r>
        <w:rPr>
          <w:rFonts w:ascii="宋体" w:hAnsi="宋体"/>
          <w:bCs/>
          <w:sz w:val="24"/>
        </w:rPr>
        <w:t xml:space="preserve">已完成 2024 年度分红派息，每 10 股派发现金红利 0.52 元，上市至今累计派发现金红利 9.58 亿元，回购注销股份约 2 亿元，两者累计达 11.6 亿元，远超募集资金 6.1 亿元。2025 年 1 </w:t>
      </w:r>
      <w:proofErr w:type="gramStart"/>
      <w:r>
        <w:rPr>
          <w:rFonts w:ascii="宋体" w:hAnsi="宋体"/>
          <w:bCs/>
          <w:sz w:val="24"/>
        </w:rPr>
        <w:t>月推出</w:t>
      </w:r>
      <w:proofErr w:type="gramEnd"/>
      <w:r>
        <w:rPr>
          <w:rFonts w:ascii="宋体" w:hAnsi="宋体"/>
          <w:bCs/>
          <w:sz w:val="24"/>
        </w:rPr>
        <w:t>第二次回购计划，一季度末已回购 214.65 万股，金额 7880 万元，上市以来累计回购 1446 万股，金额 3.8 亿元。公司还承诺未来五年保持 40% 基准现金分红派息率。</w:t>
      </w:r>
    </w:p>
    <w:p w14:paraId="3A1307D6" w14:textId="77777777" w:rsidR="00394C3B" w:rsidRPr="00091447" w:rsidRDefault="00394C3B" w:rsidP="00091447">
      <w:pPr>
        <w:widowControl/>
        <w:wordWrap w:val="0"/>
        <w:spacing w:line="420" w:lineRule="exact"/>
        <w:ind w:firstLineChars="200" w:firstLine="480"/>
        <w:jc w:val="left"/>
        <w:rPr>
          <w:rFonts w:ascii="宋体" w:hAnsi="宋体"/>
          <w:bCs/>
          <w:sz w:val="24"/>
        </w:rPr>
      </w:pPr>
    </w:p>
    <w:p w14:paraId="16A40F16" w14:textId="5B1EFD9D" w:rsidR="00637F8C" w:rsidRPr="00FE4C21" w:rsidRDefault="006A22C2" w:rsidP="00FE4C21">
      <w:pPr>
        <w:pStyle w:val="ad"/>
        <w:numPr>
          <w:ilvl w:val="0"/>
          <w:numId w:val="1"/>
        </w:numPr>
        <w:spacing w:line="420" w:lineRule="exact"/>
        <w:ind w:left="709" w:firstLineChars="0"/>
        <w:rPr>
          <w:rFonts w:hAnsi="宋体"/>
          <w:b/>
          <w:sz w:val="24"/>
        </w:rPr>
      </w:pPr>
      <w:r>
        <w:rPr>
          <w:rFonts w:hAnsi="宋体" w:hint="eastAsia"/>
          <w:b/>
          <w:sz w:val="24"/>
        </w:rPr>
        <w:t>投资者问答</w:t>
      </w:r>
    </w:p>
    <w:p w14:paraId="0238E704" w14:textId="77777777" w:rsidR="00FE4C21" w:rsidRPr="00FE4C21" w:rsidRDefault="00FE4C21" w:rsidP="00FE4C21">
      <w:pPr>
        <w:spacing w:line="360" w:lineRule="auto"/>
        <w:ind w:firstLineChars="200" w:firstLine="482"/>
        <w:rPr>
          <w:rFonts w:ascii="宋体" w:hAnsi="宋体"/>
          <w:b/>
          <w:bCs/>
          <w:sz w:val="24"/>
        </w:rPr>
      </w:pPr>
      <w:r w:rsidRPr="00FE4C21">
        <w:rPr>
          <w:rFonts w:ascii="宋体" w:hAnsi="宋体"/>
          <w:b/>
          <w:bCs/>
          <w:sz w:val="24"/>
        </w:rPr>
        <w:t>Q:贵公司每年的研发投入是否有逐年增加</w:t>
      </w:r>
      <w:r w:rsidRPr="00FE4C21">
        <w:rPr>
          <w:rFonts w:ascii="宋体" w:hAnsi="宋体" w:hint="eastAsia"/>
          <w:b/>
          <w:bCs/>
          <w:sz w:val="24"/>
        </w:rPr>
        <w:t>,</w:t>
      </w:r>
      <w:r w:rsidRPr="00FE4C21">
        <w:rPr>
          <w:rFonts w:ascii="宋体" w:hAnsi="宋体"/>
          <w:b/>
          <w:sz w:val="24"/>
        </w:rPr>
        <w:t>如何确保这些投入能够切实转化为企业在市场中的核心竞争力？</w:t>
      </w:r>
    </w:p>
    <w:p w14:paraId="5C03365B"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hint="eastAsia"/>
          <w:bCs/>
          <w:sz w:val="24"/>
        </w:rPr>
        <w:t>A</w:t>
      </w:r>
      <w:r w:rsidRPr="00FE4C21">
        <w:rPr>
          <w:rFonts w:ascii="宋体" w:hAnsi="宋体"/>
          <w:bCs/>
          <w:sz w:val="24"/>
        </w:rPr>
        <w:t>:公司深耕能源行业20年，</w:t>
      </w:r>
      <w:proofErr w:type="gramStart"/>
      <w:r w:rsidRPr="00FE4C21">
        <w:rPr>
          <w:rFonts w:ascii="宋体" w:hAnsi="宋体"/>
          <w:bCs/>
          <w:sz w:val="24"/>
        </w:rPr>
        <w:t>坚守科创</w:t>
      </w:r>
      <w:proofErr w:type="gramEnd"/>
      <w:r w:rsidRPr="00FE4C21">
        <w:rPr>
          <w:rFonts w:ascii="宋体" w:hAnsi="宋体"/>
          <w:bCs/>
          <w:sz w:val="24"/>
        </w:rPr>
        <w:t>定位，在产品研发中，我们坚持以市场需求为导向开展创新，服务国家重大需求、科技前沿和经济主战场。公司近三年将年均 9% 的营收投入研发，研发人员占比超 51% 。</w:t>
      </w:r>
    </w:p>
    <w:p w14:paraId="024919DB"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bCs/>
          <w:sz w:val="24"/>
        </w:rPr>
        <w:t>从新品研发过程看，新品研发前期，以行业需求为导向，与战略客户紧密沟通，精准把握客户需求，与客户一同定义具有全生命周期的创新产品。过程中，研发团队与市场、销售团队协同，确保产品特性契合市场。例如：正在电网应用电力鸿蒙智能终端，分布式光伏有序接入解决方案等，就是基于新型能源体系下市场对电网安全和分布式光伏有序管理的需求而推出。产品上市后，还持续收集反馈，迭代优化，以此保障新产品契合市场，为公司稳定增收和</w:t>
      </w:r>
      <w:proofErr w:type="gramStart"/>
      <w:r w:rsidRPr="00FE4C21">
        <w:rPr>
          <w:rFonts w:ascii="宋体" w:hAnsi="宋体"/>
          <w:bCs/>
          <w:sz w:val="24"/>
        </w:rPr>
        <w:t>保持市占率</w:t>
      </w:r>
      <w:proofErr w:type="gramEnd"/>
      <w:r w:rsidRPr="00FE4C21">
        <w:rPr>
          <w:rFonts w:ascii="宋体" w:hAnsi="宋体"/>
          <w:bCs/>
          <w:sz w:val="24"/>
        </w:rPr>
        <w:t xml:space="preserve">高份额。高效地帮助客户目的实现作为公司研发创新的成功。 </w:t>
      </w:r>
    </w:p>
    <w:p w14:paraId="4971940A" w14:textId="77777777" w:rsidR="00FE4C21" w:rsidRPr="00FE4C21" w:rsidRDefault="00FE4C21" w:rsidP="00FE4C21">
      <w:pPr>
        <w:spacing w:line="360" w:lineRule="auto"/>
        <w:ind w:firstLineChars="200" w:firstLine="480"/>
        <w:rPr>
          <w:rFonts w:ascii="宋体" w:hAnsi="宋体"/>
          <w:bCs/>
          <w:sz w:val="24"/>
        </w:rPr>
      </w:pPr>
      <w:r w:rsidRPr="00FE4C21">
        <w:rPr>
          <w:rFonts w:ascii="宋体" w:hAnsi="宋体"/>
          <w:bCs/>
          <w:sz w:val="24"/>
        </w:rPr>
        <w:t>从新品和技术研发储备看，分为三级：（碗里的）创新产品，主要是当期创新产品，</w:t>
      </w:r>
      <w:proofErr w:type="gramStart"/>
      <w:r w:rsidRPr="00FE4C21">
        <w:rPr>
          <w:rFonts w:ascii="宋体" w:hAnsi="宋体"/>
          <w:bCs/>
          <w:sz w:val="24"/>
        </w:rPr>
        <w:t>满足近</w:t>
      </w:r>
      <w:proofErr w:type="gramEnd"/>
      <w:r w:rsidRPr="00FE4C21">
        <w:rPr>
          <w:rFonts w:ascii="宋体" w:hAnsi="宋体"/>
          <w:bCs/>
          <w:sz w:val="24"/>
        </w:rPr>
        <w:t>1-2年的客户主要需要交付产品。（锅里的）创新平台，主要是指产品新技术平台化，引领未来市场2-4年的技术发展趋势，可根据客户需求快速转化成不同形态的应用新品。（田里的）迭代标准，主要是指预研的未来创新技术和标准，保持未来公司在行业的技术发展趋势，满足新一代技术标准的迭代。</w:t>
      </w:r>
    </w:p>
    <w:p w14:paraId="2549274B" w14:textId="77777777" w:rsidR="00FE4C21" w:rsidRPr="00FE4C21" w:rsidRDefault="00FE4C21" w:rsidP="00FE4C21">
      <w:pPr>
        <w:spacing w:line="360" w:lineRule="auto"/>
        <w:ind w:firstLineChars="200" w:firstLine="482"/>
        <w:rPr>
          <w:rFonts w:ascii="宋体" w:hAnsi="宋体"/>
          <w:b/>
          <w:sz w:val="24"/>
        </w:rPr>
      </w:pPr>
    </w:p>
    <w:p w14:paraId="027522B2" w14:textId="77777777" w:rsidR="00FE4C21" w:rsidRPr="00FE4C21" w:rsidRDefault="00FE4C21" w:rsidP="00FE4C21">
      <w:pPr>
        <w:spacing w:line="360" w:lineRule="auto"/>
        <w:ind w:firstLineChars="200" w:firstLine="482"/>
        <w:rPr>
          <w:rFonts w:ascii="宋体" w:hAnsi="宋体"/>
          <w:b/>
          <w:sz w:val="24"/>
        </w:rPr>
      </w:pPr>
      <w:r w:rsidRPr="00FE4C21">
        <w:rPr>
          <w:rFonts w:ascii="宋体" w:hAnsi="宋体" w:hint="eastAsia"/>
          <w:b/>
          <w:sz w:val="24"/>
        </w:rPr>
        <w:t>Q：公司从</w:t>
      </w:r>
      <w:r w:rsidRPr="00FE4C21">
        <w:rPr>
          <w:rFonts w:ascii="宋体" w:hAnsi="宋体"/>
          <w:b/>
          <w:sz w:val="24"/>
        </w:rPr>
        <w:t>业务场景方面来看有哪些增长机会？</w:t>
      </w:r>
    </w:p>
    <w:p w14:paraId="62C0ADDA" w14:textId="77777777" w:rsidR="00FE4C21" w:rsidRPr="00FE4C21" w:rsidRDefault="00FE4C21" w:rsidP="00FE4C21">
      <w:pPr>
        <w:spacing w:line="360" w:lineRule="auto"/>
        <w:ind w:firstLineChars="200" w:firstLine="480"/>
        <w:rPr>
          <w:rFonts w:ascii="宋体" w:hAnsi="宋体"/>
          <w:sz w:val="24"/>
        </w:rPr>
      </w:pPr>
      <w:r w:rsidRPr="00FE4C21">
        <w:rPr>
          <w:rFonts w:ascii="宋体" w:hAnsi="宋体" w:hint="eastAsia"/>
          <w:sz w:val="24"/>
        </w:rPr>
        <w:t>A</w:t>
      </w:r>
      <w:r w:rsidRPr="00FE4C21">
        <w:rPr>
          <w:rFonts w:ascii="宋体" w:hAnsi="宋体"/>
          <w:sz w:val="24"/>
        </w:rPr>
        <w:t>:公司以“物联网+芯片+AI”为核心竞争力，2024年推出近50款创新产品，其中AI垂直应用新产品收入超4 亿元（占新品收入30%），涵盖负荷预测、故障识别等场景。自</w:t>
      </w:r>
      <w:proofErr w:type="gramStart"/>
      <w:r w:rsidRPr="00FE4C21">
        <w:rPr>
          <w:rFonts w:ascii="宋体" w:hAnsi="宋体"/>
          <w:sz w:val="24"/>
        </w:rPr>
        <w:t>研</w:t>
      </w:r>
      <w:proofErr w:type="gramEnd"/>
      <w:r w:rsidRPr="00FE4C21">
        <w:rPr>
          <w:rFonts w:ascii="宋体" w:hAnsi="宋体"/>
          <w:sz w:val="24"/>
        </w:rPr>
        <w:t>的 HPLC/Wi-SUN双模通信芯片通过国家电网认证，市场占有率持续提升；与国家实验室合作研发的内嵌NPU的新型</w:t>
      </w:r>
      <w:proofErr w:type="spellStart"/>
      <w:r w:rsidRPr="00FE4C21">
        <w:rPr>
          <w:rFonts w:ascii="宋体" w:hAnsi="宋体"/>
          <w:sz w:val="24"/>
        </w:rPr>
        <w:t>SoC</w:t>
      </w:r>
      <w:proofErr w:type="spellEnd"/>
      <w:r w:rsidRPr="00FE4C21">
        <w:rPr>
          <w:rFonts w:ascii="宋体" w:hAnsi="宋体"/>
          <w:sz w:val="24"/>
        </w:rPr>
        <w:t xml:space="preserve">芯片，将适用于智慧配电、透明电网等场景升级。2025年一季度末在手订单结余41亿元，为后续业绩提升也提供了基础。 </w:t>
      </w:r>
    </w:p>
    <w:p w14:paraId="14DA5DF7" w14:textId="77777777" w:rsidR="00FE4C21" w:rsidRPr="00FE4C21" w:rsidRDefault="00FE4C21" w:rsidP="00FE4C21">
      <w:pPr>
        <w:spacing w:line="360" w:lineRule="auto"/>
        <w:ind w:firstLineChars="200" w:firstLine="480"/>
        <w:rPr>
          <w:rFonts w:ascii="宋体" w:hAnsi="宋体"/>
          <w:sz w:val="24"/>
        </w:rPr>
      </w:pPr>
      <w:r w:rsidRPr="00FE4C21">
        <w:rPr>
          <w:rFonts w:ascii="宋体" w:hAnsi="宋体"/>
          <w:sz w:val="24"/>
        </w:rPr>
        <w:t>在数字电网领域，公司依托电力物联网技术储备和经验，聚焦关键核心技术，为电力系统数字化转型提供多元化解决方案，以“物联网+芯片+人工智能”构建完备的国内国际标准、技术平台、产品体系，助力全球电网数字化与智能化转型，帮助客户实现可持续发展。作为国家电网、南方电网核心供应商，公司在用电信</w:t>
      </w:r>
      <w:r w:rsidRPr="00FE4C21">
        <w:rPr>
          <w:rFonts w:ascii="宋体" w:hAnsi="宋体"/>
          <w:sz w:val="24"/>
        </w:rPr>
        <w:lastRenderedPageBreak/>
        <w:t xml:space="preserve">息采集设备领域中标份额稳居行业第一。 </w:t>
      </w:r>
    </w:p>
    <w:p w14:paraId="18538814" w14:textId="77777777" w:rsidR="00FE4C21" w:rsidRPr="00FE4C21" w:rsidRDefault="00FE4C21" w:rsidP="00FE4C21">
      <w:pPr>
        <w:spacing w:line="360" w:lineRule="auto"/>
        <w:ind w:firstLineChars="200" w:firstLine="480"/>
        <w:rPr>
          <w:rFonts w:ascii="宋体" w:hAnsi="宋体"/>
          <w:sz w:val="24"/>
        </w:rPr>
      </w:pPr>
      <w:r w:rsidRPr="00FE4C21">
        <w:rPr>
          <w:rFonts w:ascii="宋体" w:hAnsi="宋体"/>
          <w:sz w:val="24"/>
        </w:rPr>
        <w:t>在数</w:t>
      </w:r>
      <w:proofErr w:type="gramStart"/>
      <w:r w:rsidRPr="00FE4C21">
        <w:rPr>
          <w:rFonts w:ascii="宋体" w:hAnsi="宋体"/>
          <w:sz w:val="24"/>
        </w:rPr>
        <w:t>智城市</w:t>
      </w:r>
      <w:proofErr w:type="gramEnd"/>
      <w:r w:rsidRPr="00FE4C21">
        <w:rPr>
          <w:rFonts w:ascii="宋体" w:hAnsi="宋体"/>
          <w:sz w:val="24"/>
        </w:rPr>
        <w:t>领域，威</w:t>
      </w:r>
      <w:proofErr w:type="gramStart"/>
      <w:r w:rsidRPr="00FE4C21">
        <w:rPr>
          <w:rFonts w:ascii="宋体" w:hAnsi="宋体"/>
          <w:sz w:val="24"/>
        </w:rPr>
        <w:t>胜信息</w:t>
      </w:r>
      <w:proofErr w:type="gramEnd"/>
      <w:r w:rsidRPr="00FE4C21">
        <w:rPr>
          <w:rFonts w:ascii="宋体" w:hAnsi="宋体"/>
          <w:sz w:val="24"/>
        </w:rPr>
        <w:t xml:space="preserve">以物联网技术重塑能源高效管理，提供综合能源、智慧消防、智慧园区等综合解决方案，服务“双碳”目标，如研发的AI边缘计算网关和智慧安防管理平台，提升了边缘计算与安全管理能力。 </w:t>
      </w:r>
    </w:p>
    <w:p w14:paraId="57981558" w14:textId="77777777" w:rsidR="00FE4C21" w:rsidRPr="00FE4C21" w:rsidRDefault="00FE4C21" w:rsidP="00FE4C21">
      <w:pPr>
        <w:spacing w:line="360" w:lineRule="auto"/>
        <w:ind w:firstLineChars="200" w:firstLine="480"/>
        <w:rPr>
          <w:rFonts w:ascii="宋体" w:hAnsi="宋体"/>
          <w:sz w:val="24"/>
        </w:rPr>
      </w:pPr>
      <w:r w:rsidRPr="00FE4C21">
        <w:rPr>
          <w:rFonts w:ascii="宋体" w:hAnsi="宋体"/>
          <w:sz w:val="24"/>
        </w:rPr>
        <w:t>在国际市场拓展方面，公司重点布局东盟十国、中东海湾六国和非洲政治稳定经济活跃的新兴市场国家。受全球能源短缺和制造业重构的影响，这些新兴国家在</w:t>
      </w:r>
      <w:proofErr w:type="gramStart"/>
      <w:r w:rsidRPr="00FE4C21">
        <w:rPr>
          <w:rFonts w:ascii="宋体" w:hAnsi="宋体"/>
          <w:sz w:val="24"/>
        </w:rPr>
        <w:t>能源电水气</w:t>
      </w:r>
      <w:proofErr w:type="gramEnd"/>
      <w:r w:rsidRPr="00FE4C21">
        <w:rPr>
          <w:rFonts w:ascii="宋体" w:hAnsi="宋体"/>
          <w:sz w:val="24"/>
        </w:rPr>
        <w:t>基础设施的数字化和智能化是趋势和刚需，对此，公司有丰富而成熟的解决方案，技术路线和产品成熟齐备，技术团队完成少量本地化优化即可满足海外业务发展。</w:t>
      </w:r>
    </w:p>
    <w:p w14:paraId="0077C603" w14:textId="77777777" w:rsidR="00FE4C21" w:rsidRPr="00FE4C21" w:rsidRDefault="00FE4C21" w:rsidP="00FE4C21">
      <w:pPr>
        <w:spacing w:line="360" w:lineRule="auto"/>
        <w:ind w:firstLineChars="200" w:firstLine="482"/>
        <w:rPr>
          <w:rFonts w:ascii="宋体" w:hAnsi="宋体"/>
          <w:b/>
          <w:bCs/>
          <w:sz w:val="24"/>
        </w:rPr>
      </w:pPr>
    </w:p>
    <w:p w14:paraId="0DF409EE" w14:textId="77777777" w:rsidR="00FE4C21" w:rsidRPr="00FE4C21" w:rsidRDefault="00FE4C21" w:rsidP="00FE4C21">
      <w:pPr>
        <w:spacing w:line="360" w:lineRule="auto"/>
        <w:ind w:firstLineChars="200" w:firstLine="482"/>
        <w:rPr>
          <w:rFonts w:ascii="宋体" w:hAnsi="宋体"/>
          <w:b/>
          <w:bCs/>
          <w:sz w:val="24"/>
        </w:rPr>
      </w:pPr>
      <w:r w:rsidRPr="00FE4C21">
        <w:rPr>
          <w:rFonts w:ascii="宋体" w:hAnsi="宋体" w:hint="eastAsia"/>
          <w:b/>
          <w:bCs/>
          <w:sz w:val="24"/>
        </w:rPr>
        <w:t>Q</w:t>
      </w:r>
      <w:r w:rsidRPr="00FE4C21">
        <w:rPr>
          <w:rFonts w:ascii="宋体" w:hAnsi="宋体"/>
          <w:b/>
          <w:bCs/>
          <w:sz w:val="24"/>
        </w:rPr>
        <w:t>:</w:t>
      </w:r>
      <w:r w:rsidRPr="00FE4C21">
        <w:rPr>
          <w:rFonts w:ascii="宋体" w:hAnsi="宋体" w:hint="eastAsia"/>
          <w:b/>
          <w:bCs/>
          <w:sz w:val="24"/>
        </w:rPr>
        <w:t>配用电侧是指什么？目前配电网有哪些亟待解决的问题？</w:t>
      </w:r>
    </w:p>
    <w:p w14:paraId="662DA2B6"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hint="eastAsia"/>
          <w:bCs/>
          <w:sz w:val="24"/>
        </w:rPr>
        <w:t>A: 电网可分为发、输、配、用等环节。发电厂生产出电能，经变电、输电及配电等环节配送到用户，从而完成电能从生产到消费的整个过程，发电环节与用户环节之间的网络及设备即为电网。其中输电主要用于电力输送，通常为</w:t>
      </w:r>
      <w:r w:rsidRPr="00FE4C21">
        <w:rPr>
          <w:rFonts w:ascii="宋体" w:hAnsi="宋体"/>
          <w:bCs/>
          <w:sz w:val="24"/>
        </w:rPr>
        <w:t xml:space="preserve"> 220kV 以上的高</w:t>
      </w:r>
      <w:r w:rsidRPr="00FE4C21">
        <w:rPr>
          <w:rFonts w:ascii="宋体" w:hAnsi="宋体" w:hint="eastAsia"/>
          <w:bCs/>
          <w:sz w:val="24"/>
        </w:rPr>
        <w:t>压；配电主要用于电力分配，配电网按电压等级的不同，可又分为高压配电网</w:t>
      </w:r>
      <w:r w:rsidRPr="00FE4C21">
        <w:rPr>
          <w:rFonts w:ascii="宋体" w:hAnsi="宋体"/>
          <w:bCs/>
          <w:sz w:val="24"/>
        </w:rPr>
        <w:t>(110kV、35kV)、中压配电网(20kV、10kV、6kV、3kV)和低压配电网(220V/380V)。</w:t>
      </w:r>
      <w:r w:rsidRPr="00FE4C21">
        <w:rPr>
          <w:rFonts w:ascii="宋体" w:hAnsi="宋体" w:hint="eastAsia"/>
          <w:bCs/>
          <w:sz w:val="24"/>
        </w:rPr>
        <w:t>智能配用电业务即为公司的优势及深耕业务。</w:t>
      </w:r>
    </w:p>
    <w:p w14:paraId="7FC80EBF"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hint="eastAsia"/>
          <w:bCs/>
          <w:sz w:val="24"/>
        </w:rPr>
        <w:t>当下随着</w:t>
      </w:r>
      <w:r w:rsidRPr="00FE4C21">
        <w:rPr>
          <w:rFonts w:ascii="宋体" w:hAnsi="宋体"/>
          <w:bCs/>
          <w:sz w:val="24"/>
        </w:rPr>
        <w:t>新型电力系统建设推进下</w:t>
      </w:r>
      <w:r w:rsidRPr="00FE4C21">
        <w:rPr>
          <w:rFonts w:ascii="宋体" w:hAnsi="宋体" w:hint="eastAsia"/>
          <w:bCs/>
          <w:sz w:val="24"/>
        </w:rPr>
        <w:t>，</w:t>
      </w:r>
      <w:r w:rsidRPr="00FE4C21">
        <w:rPr>
          <w:rFonts w:ascii="宋体" w:hAnsi="宋体"/>
          <w:bCs/>
          <w:sz w:val="24"/>
        </w:rPr>
        <w:t>我国配电网还存在以下现状</w:t>
      </w:r>
      <w:r w:rsidRPr="00FE4C21">
        <w:rPr>
          <w:rFonts w:ascii="宋体" w:hAnsi="宋体" w:hint="eastAsia"/>
          <w:bCs/>
          <w:sz w:val="24"/>
        </w:rPr>
        <w:t>：1</w:t>
      </w:r>
      <w:r w:rsidRPr="00FE4C21">
        <w:rPr>
          <w:rFonts w:ascii="宋体" w:hAnsi="宋体"/>
          <w:bCs/>
          <w:sz w:val="24"/>
        </w:rPr>
        <w:t>）从电源侧来说，随着新能源大量增加，微电网、有源配电网</w:t>
      </w:r>
      <w:r w:rsidRPr="00FE4C21">
        <w:rPr>
          <w:rFonts w:ascii="宋体" w:hAnsi="宋体" w:hint="eastAsia"/>
          <w:bCs/>
          <w:sz w:val="24"/>
        </w:rPr>
        <w:t>等新形态电网与大电网协同发展有利于新能源消纳，同时对配电网发展提出了新的要求；2</w:t>
      </w:r>
      <w:r w:rsidRPr="00FE4C21">
        <w:rPr>
          <w:rFonts w:ascii="宋体" w:hAnsi="宋体"/>
          <w:bCs/>
          <w:sz w:val="24"/>
        </w:rPr>
        <w:t>）从负荷侧来说，新型电力系统下充电桩、用户侧储能等新型负荷大量</w:t>
      </w:r>
      <w:r w:rsidRPr="00FE4C21">
        <w:rPr>
          <w:rFonts w:ascii="宋体" w:hAnsi="宋体" w:hint="eastAsia"/>
          <w:bCs/>
          <w:sz w:val="24"/>
        </w:rPr>
        <w:t>增加，控制复杂度大幅上升，需要加强配用电侧智能化、信息化提出更高要求；3）</w:t>
      </w:r>
      <w:r w:rsidRPr="00FE4C21">
        <w:rPr>
          <w:rFonts w:ascii="宋体" w:hAnsi="宋体"/>
          <w:bCs/>
          <w:sz w:val="24"/>
        </w:rPr>
        <w:t>建设坚强电网，提高用电可靠性，尤其是针对偏远地区和农村配电网还有</w:t>
      </w:r>
      <w:r w:rsidRPr="00FE4C21">
        <w:rPr>
          <w:rFonts w:ascii="宋体" w:hAnsi="宋体" w:hint="eastAsia"/>
          <w:bCs/>
          <w:sz w:val="24"/>
        </w:rPr>
        <w:t xml:space="preserve">较大提升空间。   </w:t>
      </w:r>
    </w:p>
    <w:p w14:paraId="38EAA9D3"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hint="eastAsia"/>
          <w:bCs/>
          <w:sz w:val="24"/>
        </w:rPr>
        <w:t>公司业务与新型电力系统建设趋势是相互契合的，重点布局配电网和负荷侧，通过能源物联网应用技术、芯片设计与通信技术、A</w:t>
      </w:r>
      <w:r w:rsidRPr="00FE4C21">
        <w:rPr>
          <w:rFonts w:ascii="宋体" w:hAnsi="宋体"/>
          <w:bCs/>
          <w:sz w:val="24"/>
        </w:rPr>
        <w:t>I</w:t>
      </w:r>
      <w:r w:rsidRPr="00FE4C21">
        <w:rPr>
          <w:rFonts w:ascii="宋体" w:hAnsi="宋体" w:hint="eastAsia"/>
          <w:bCs/>
          <w:sz w:val="24"/>
        </w:rPr>
        <w:t>技术为客户提供各类电力应用场景的综合解决方案。</w:t>
      </w:r>
    </w:p>
    <w:p w14:paraId="1D81E7FC" w14:textId="77777777" w:rsidR="00FE4C21" w:rsidRPr="00FE4C21" w:rsidRDefault="00FE4C21" w:rsidP="00FE4C21">
      <w:pPr>
        <w:widowControl/>
        <w:wordWrap w:val="0"/>
        <w:spacing w:line="420" w:lineRule="exact"/>
        <w:ind w:firstLineChars="200" w:firstLine="480"/>
        <w:jc w:val="left"/>
        <w:rPr>
          <w:rFonts w:ascii="宋体" w:hAnsi="宋体"/>
          <w:bCs/>
          <w:sz w:val="24"/>
        </w:rPr>
      </w:pPr>
    </w:p>
    <w:p w14:paraId="1BAD6A58" w14:textId="77777777" w:rsidR="00FE4C21" w:rsidRPr="00FE4C21" w:rsidRDefault="00FE4C21" w:rsidP="00FE4C21">
      <w:pPr>
        <w:widowControl/>
        <w:wordWrap w:val="0"/>
        <w:spacing w:line="420" w:lineRule="exact"/>
        <w:ind w:firstLineChars="200" w:firstLine="482"/>
        <w:jc w:val="left"/>
        <w:rPr>
          <w:rFonts w:ascii="宋体" w:hAnsi="宋体"/>
          <w:b/>
          <w:bCs/>
          <w:sz w:val="24"/>
        </w:rPr>
      </w:pPr>
      <w:r w:rsidRPr="00FE4C21">
        <w:rPr>
          <w:rFonts w:ascii="宋体" w:hAnsi="宋体" w:hint="eastAsia"/>
          <w:b/>
          <w:bCs/>
          <w:sz w:val="24"/>
        </w:rPr>
        <w:t>Q</w:t>
      </w:r>
      <w:r w:rsidRPr="00FE4C21">
        <w:rPr>
          <w:rFonts w:ascii="宋体" w:hAnsi="宋体"/>
          <w:b/>
          <w:bCs/>
          <w:sz w:val="24"/>
        </w:rPr>
        <w:t>:双模相比单模的优势是什么，能解决什么问题</w:t>
      </w:r>
      <w:r w:rsidRPr="00FE4C21">
        <w:rPr>
          <w:rFonts w:ascii="宋体" w:hAnsi="宋体" w:hint="eastAsia"/>
          <w:b/>
          <w:bCs/>
          <w:sz w:val="24"/>
        </w:rPr>
        <w:t>？</w:t>
      </w:r>
    </w:p>
    <w:p w14:paraId="66D5637F"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hint="eastAsia"/>
          <w:bCs/>
          <w:sz w:val="24"/>
        </w:rPr>
        <w:t>A: 新型电力系统建设对通信带宽、速率和可靠性均提出了更高的要求，公司基于自</w:t>
      </w:r>
      <w:proofErr w:type="gramStart"/>
      <w:r w:rsidRPr="00FE4C21">
        <w:rPr>
          <w:rFonts w:ascii="宋体" w:hAnsi="宋体" w:hint="eastAsia"/>
          <w:bCs/>
          <w:sz w:val="24"/>
        </w:rPr>
        <w:t>研</w:t>
      </w:r>
      <w:proofErr w:type="gramEnd"/>
      <w:r w:rsidRPr="00FE4C21">
        <w:rPr>
          <w:rFonts w:ascii="宋体" w:hAnsi="宋体" w:hint="eastAsia"/>
          <w:bCs/>
          <w:sz w:val="24"/>
        </w:rPr>
        <w:t>的全系列双模通信产品，同时具备高速载波和高速无线“双通道”，</w:t>
      </w:r>
      <w:r w:rsidRPr="00FE4C21">
        <w:rPr>
          <w:rFonts w:ascii="宋体" w:hAnsi="宋体"/>
          <w:bCs/>
          <w:sz w:val="24"/>
        </w:rPr>
        <w:lastRenderedPageBreak/>
        <w:t>双模借助两种传输介质，载波通信通过电力线传导信号可以避免穿墙打洞的施工难题，解决大部分电表数据采集需求；高速无线适用于老旧电力线路上的强干扰、地埋线等不利载波通信的场合，两种传输模式根据实时评估自主切换，实现低</w:t>
      </w:r>
      <w:proofErr w:type="gramStart"/>
      <w:r w:rsidRPr="00FE4C21">
        <w:rPr>
          <w:rFonts w:ascii="宋体" w:hAnsi="宋体"/>
          <w:bCs/>
          <w:sz w:val="24"/>
        </w:rPr>
        <w:t>压台区</w:t>
      </w:r>
      <w:proofErr w:type="gramEnd"/>
      <w:r w:rsidRPr="00FE4C21">
        <w:rPr>
          <w:rFonts w:ascii="宋体" w:hAnsi="宋体"/>
          <w:bCs/>
          <w:sz w:val="24"/>
        </w:rPr>
        <w:t>的深度通信覆盖效果</w:t>
      </w:r>
      <w:r w:rsidRPr="00FE4C21">
        <w:rPr>
          <w:rFonts w:ascii="宋体" w:hAnsi="宋体" w:hint="eastAsia"/>
          <w:bCs/>
          <w:sz w:val="24"/>
        </w:rPr>
        <w:t>。</w:t>
      </w:r>
    </w:p>
    <w:p w14:paraId="2356DB73"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hint="eastAsia"/>
          <w:bCs/>
          <w:sz w:val="24"/>
        </w:rPr>
        <w:t>双模通信具备连接更广：可以支持在智能电表接入的基础上，增加智能开关等设备的接入，</w:t>
      </w:r>
      <w:proofErr w:type="gramStart"/>
      <w:r w:rsidRPr="00FE4C21">
        <w:rPr>
          <w:rFonts w:ascii="宋体" w:hAnsi="宋体" w:hint="eastAsia"/>
          <w:bCs/>
          <w:sz w:val="24"/>
        </w:rPr>
        <w:t>为营配一体化</w:t>
      </w:r>
      <w:proofErr w:type="gramEnd"/>
      <w:r w:rsidRPr="00FE4C21">
        <w:rPr>
          <w:rFonts w:ascii="宋体" w:hAnsi="宋体" w:hint="eastAsia"/>
          <w:bCs/>
          <w:sz w:val="24"/>
        </w:rPr>
        <w:t>、数字化和智能化奠定基础；更加安全：能够有效抵抗网络攻击和信息泄露等风险；深化应用：HRF信道可以在停电时电力线信道断开情况下，保障设备停电信息及时准确上报，对</w:t>
      </w:r>
      <w:proofErr w:type="gramStart"/>
      <w:r w:rsidRPr="00FE4C21">
        <w:rPr>
          <w:rFonts w:ascii="宋体" w:hAnsi="宋体" w:hint="eastAsia"/>
          <w:bCs/>
          <w:sz w:val="24"/>
        </w:rPr>
        <w:t>台区户变识别</w:t>
      </w:r>
      <w:proofErr w:type="gramEnd"/>
      <w:r w:rsidRPr="00FE4C21">
        <w:rPr>
          <w:rFonts w:ascii="宋体" w:hAnsi="宋体" w:hint="eastAsia"/>
          <w:bCs/>
          <w:sz w:val="24"/>
        </w:rPr>
        <w:t>、分支和电气拓扑识别及线路故障预警和告警准确率达99%+，为源、网、荷、储实时数据传输互动提供基础保障。</w:t>
      </w:r>
    </w:p>
    <w:p w14:paraId="562D9C39" w14:textId="77777777" w:rsidR="00FE4C21" w:rsidRPr="00FE4C21" w:rsidRDefault="00FE4C21" w:rsidP="00FE4C21">
      <w:pPr>
        <w:widowControl/>
        <w:wordWrap w:val="0"/>
        <w:spacing w:line="420" w:lineRule="exact"/>
        <w:ind w:firstLineChars="200" w:firstLine="482"/>
        <w:jc w:val="left"/>
        <w:rPr>
          <w:rFonts w:ascii="宋体" w:hAnsi="宋体"/>
          <w:b/>
          <w:sz w:val="24"/>
        </w:rPr>
      </w:pPr>
    </w:p>
    <w:p w14:paraId="2ECF218E" w14:textId="77777777" w:rsidR="00FE4C21" w:rsidRPr="00FE4C21" w:rsidRDefault="00FE4C21" w:rsidP="00FE4C21">
      <w:pPr>
        <w:spacing w:line="360" w:lineRule="auto"/>
        <w:ind w:firstLineChars="200" w:firstLine="482"/>
        <w:rPr>
          <w:rFonts w:ascii="宋体" w:hAnsi="宋体"/>
          <w:b/>
          <w:sz w:val="24"/>
        </w:rPr>
      </w:pPr>
      <w:r w:rsidRPr="00FE4C21">
        <w:rPr>
          <w:rFonts w:ascii="宋体" w:hAnsi="宋体" w:hint="eastAsia"/>
          <w:b/>
          <w:sz w:val="24"/>
        </w:rPr>
        <w:t>Q</w:t>
      </w:r>
      <w:r w:rsidRPr="00FE4C21">
        <w:rPr>
          <w:rFonts w:ascii="宋体" w:hAnsi="宋体"/>
          <w:b/>
          <w:sz w:val="24"/>
        </w:rPr>
        <w:t xml:space="preserve">:贵公司是获取回购授信额度吗?获取了多少额度?  </w:t>
      </w:r>
    </w:p>
    <w:p w14:paraId="5B471F2C" w14:textId="77777777" w:rsidR="00FE4C21" w:rsidRPr="00FE4C21" w:rsidRDefault="00FE4C21" w:rsidP="00FE4C21">
      <w:pPr>
        <w:spacing w:line="360" w:lineRule="auto"/>
        <w:ind w:firstLineChars="200" w:firstLine="480"/>
        <w:rPr>
          <w:rFonts w:ascii="宋体" w:hAnsi="宋体"/>
          <w:sz w:val="24"/>
        </w:rPr>
      </w:pPr>
      <w:r w:rsidRPr="00FE4C21">
        <w:rPr>
          <w:rFonts w:ascii="宋体" w:hAnsi="宋体"/>
          <w:sz w:val="24"/>
        </w:rPr>
        <w:t>A:2025年1月，公司推出第二次回购计划，拟回购1-1.5亿元股份，用于员工持股计划或股权激励。截至5月30日，公司已回购327万股，回购金额1.17亿元。公司的回购全部是使用的自有资金。</w:t>
      </w:r>
    </w:p>
    <w:p w14:paraId="5283CBFA" w14:textId="77777777" w:rsidR="00FE4C21" w:rsidRPr="00FE4C21" w:rsidRDefault="00FE4C21" w:rsidP="00FE4C21">
      <w:pPr>
        <w:widowControl/>
        <w:wordWrap w:val="0"/>
        <w:spacing w:line="420" w:lineRule="exact"/>
        <w:ind w:firstLineChars="200" w:firstLine="482"/>
        <w:jc w:val="left"/>
        <w:rPr>
          <w:rFonts w:ascii="宋体" w:hAnsi="宋体"/>
          <w:b/>
          <w:sz w:val="24"/>
        </w:rPr>
      </w:pPr>
    </w:p>
    <w:p w14:paraId="25350C5D" w14:textId="77777777" w:rsidR="00FE4C21" w:rsidRPr="00FE4C21" w:rsidRDefault="00FE4C21" w:rsidP="00FE4C21">
      <w:pPr>
        <w:spacing w:line="420" w:lineRule="exact"/>
        <w:ind w:firstLineChars="200" w:firstLine="482"/>
        <w:rPr>
          <w:rFonts w:ascii="宋体" w:hAnsi="宋体"/>
          <w:b/>
          <w:sz w:val="24"/>
        </w:rPr>
      </w:pPr>
      <w:r w:rsidRPr="00FE4C21">
        <w:rPr>
          <w:rFonts w:ascii="宋体" w:hAnsi="宋体" w:hint="eastAsia"/>
          <w:b/>
          <w:bCs/>
          <w:sz w:val="24"/>
        </w:rPr>
        <w:t>Q</w:t>
      </w:r>
      <w:r w:rsidRPr="00FE4C21">
        <w:rPr>
          <w:rFonts w:ascii="宋体" w:hAnsi="宋体"/>
          <w:b/>
          <w:bCs/>
          <w:sz w:val="24"/>
        </w:rPr>
        <w:t>:</w:t>
      </w:r>
      <w:r w:rsidRPr="00FE4C21">
        <w:rPr>
          <w:rFonts w:ascii="宋体" w:hAnsi="宋体"/>
          <w:b/>
          <w:sz w:val="24"/>
        </w:rPr>
        <w:t>公司海外业务是否收到美国加征关税影响</w:t>
      </w:r>
      <w:r w:rsidRPr="00FE4C21">
        <w:rPr>
          <w:rFonts w:ascii="宋体" w:hAnsi="宋体" w:hint="eastAsia"/>
          <w:b/>
          <w:sz w:val="24"/>
        </w:rPr>
        <w:t>，</w:t>
      </w:r>
      <w:r w:rsidRPr="00FE4C21">
        <w:rPr>
          <w:rFonts w:ascii="宋体" w:hAnsi="宋体"/>
          <w:b/>
          <w:sz w:val="24"/>
        </w:rPr>
        <w:t>同时当前关税下</w:t>
      </w:r>
      <w:r w:rsidRPr="00FE4C21">
        <w:rPr>
          <w:rFonts w:ascii="宋体" w:hAnsi="宋体" w:hint="eastAsia"/>
          <w:b/>
          <w:sz w:val="24"/>
        </w:rPr>
        <w:t>，</w:t>
      </w:r>
      <w:r w:rsidRPr="00FE4C21">
        <w:rPr>
          <w:rFonts w:ascii="宋体" w:hAnsi="宋体"/>
          <w:b/>
          <w:sz w:val="24"/>
        </w:rPr>
        <w:t>对公司的原材料采购是否</w:t>
      </w:r>
      <w:r w:rsidRPr="00FE4C21">
        <w:rPr>
          <w:rFonts w:ascii="宋体" w:hAnsi="宋体" w:hint="eastAsia"/>
          <w:b/>
          <w:sz w:val="24"/>
        </w:rPr>
        <w:t>有所影响？</w:t>
      </w:r>
    </w:p>
    <w:p w14:paraId="7F281DC1" w14:textId="77777777" w:rsidR="00FE4C21" w:rsidRPr="00FE4C21" w:rsidRDefault="00FE4C21" w:rsidP="00FE4C21">
      <w:pPr>
        <w:widowControl/>
        <w:wordWrap w:val="0"/>
        <w:spacing w:line="420" w:lineRule="exact"/>
        <w:ind w:firstLineChars="200" w:firstLine="480"/>
        <w:jc w:val="left"/>
        <w:rPr>
          <w:rFonts w:ascii="宋体" w:hAnsi="宋体"/>
          <w:bCs/>
          <w:sz w:val="24"/>
        </w:rPr>
      </w:pPr>
      <w:r w:rsidRPr="00FE4C21">
        <w:rPr>
          <w:rFonts w:ascii="宋体" w:hAnsi="宋体"/>
          <w:bCs/>
          <w:sz w:val="24"/>
        </w:rPr>
        <w:t>A:</w:t>
      </w:r>
      <w:r w:rsidRPr="00FE4C21">
        <w:rPr>
          <w:rFonts w:ascii="宋体" w:hAnsi="宋体" w:hint="eastAsia"/>
          <w:bCs/>
          <w:sz w:val="24"/>
        </w:rPr>
        <w:t>目前海外业务主要集中在中东、东南亚等地区，不涉及美国市场，加征关税目前对我们没有影响。同时，原材料大部分为国产，原料、器件采购供应多元，供应链稳定，不受国际关税政策波动影响。</w:t>
      </w:r>
    </w:p>
    <w:p w14:paraId="410A6A60" w14:textId="77777777" w:rsidR="00FE4C21" w:rsidRPr="00FE4C21" w:rsidRDefault="00FE4C21" w:rsidP="00FE4C21">
      <w:pPr>
        <w:spacing w:line="360" w:lineRule="auto"/>
        <w:rPr>
          <w:rFonts w:ascii="宋体" w:hAnsi="宋体"/>
          <w:bCs/>
          <w:sz w:val="24"/>
        </w:rPr>
      </w:pPr>
    </w:p>
    <w:p w14:paraId="479FC90E" w14:textId="77777777" w:rsidR="00FE4C21" w:rsidRPr="00FE4C21" w:rsidRDefault="00FE4C21" w:rsidP="00FE4C21">
      <w:pPr>
        <w:widowControl/>
        <w:wordWrap w:val="0"/>
        <w:spacing w:line="420" w:lineRule="exact"/>
        <w:ind w:firstLineChars="200" w:firstLine="482"/>
        <w:jc w:val="left"/>
        <w:rPr>
          <w:rFonts w:ascii="宋体" w:hAnsi="宋体"/>
          <w:bCs/>
          <w:sz w:val="24"/>
        </w:rPr>
      </w:pPr>
      <w:r w:rsidRPr="00FE4C21">
        <w:rPr>
          <w:rFonts w:ascii="宋体" w:hAnsi="宋体" w:hint="eastAsia"/>
          <w:b/>
          <w:bCs/>
          <w:sz w:val="24"/>
        </w:rPr>
        <w:t>Q</w:t>
      </w:r>
      <w:r w:rsidRPr="00FE4C21">
        <w:rPr>
          <w:rFonts w:ascii="宋体" w:hAnsi="宋体"/>
          <w:b/>
          <w:bCs/>
          <w:sz w:val="24"/>
        </w:rPr>
        <w:t>：公司对于海外业务</w:t>
      </w:r>
      <w:r w:rsidRPr="00FE4C21">
        <w:rPr>
          <w:rFonts w:ascii="宋体" w:hAnsi="宋体" w:hint="eastAsia"/>
          <w:b/>
          <w:bCs/>
          <w:sz w:val="24"/>
        </w:rPr>
        <w:t>战略</w:t>
      </w:r>
      <w:r w:rsidRPr="00FE4C21">
        <w:rPr>
          <w:rFonts w:ascii="宋体" w:hAnsi="宋体"/>
          <w:b/>
          <w:bCs/>
          <w:sz w:val="24"/>
        </w:rPr>
        <w:t>和</w:t>
      </w:r>
      <w:r w:rsidRPr="00FE4C21">
        <w:rPr>
          <w:rFonts w:ascii="宋体" w:hAnsi="宋体" w:hint="eastAsia"/>
          <w:b/>
          <w:bCs/>
          <w:sz w:val="24"/>
        </w:rPr>
        <w:t>布局考虑？</w:t>
      </w:r>
    </w:p>
    <w:p w14:paraId="57F0F24E" w14:textId="77777777" w:rsidR="00FE4C21" w:rsidRPr="00FE4C21" w:rsidRDefault="00FE4C21" w:rsidP="00FE4C21">
      <w:pPr>
        <w:spacing w:line="360" w:lineRule="auto"/>
        <w:ind w:firstLineChars="200" w:firstLine="480"/>
        <w:rPr>
          <w:rFonts w:ascii="宋体" w:hAnsi="宋体"/>
          <w:sz w:val="24"/>
        </w:rPr>
      </w:pPr>
      <w:r w:rsidRPr="00FE4C21">
        <w:rPr>
          <w:rFonts w:ascii="宋体" w:hAnsi="宋体"/>
          <w:bCs/>
          <w:sz w:val="24"/>
        </w:rPr>
        <w:t>A</w:t>
      </w:r>
      <w:r w:rsidRPr="00FE4C21">
        <w:rPr>
          <w:rFonts w:ascii="宋体" w:hAnsi="宋体"/>
          <w:sz w:val="24"/>
        </w:rPr>
        <w:t>：公司的海外业务战略是 “出正确的海</w:t>
      </w:r>
      <w:r w:rsidRPr="00FE4C21">
        <w:rPr>
          <w:rFonts w:ascii="宋体" w:hAnsi="宋体" w:hint="eastAsia"/>
          <w:sz w:val="24"/>
        </w:rPr>
        <w:t xml:space="preserve"> </w:t>
      </w:r>
      <w:r w:rsidRPr="00FE4C21">
        <w:rPr>
          <w:rFonts w:ascii="宋体" w:hAnsi="宋体"/>
          <w:sz w:val="24"/>
        </w:rPr>
        <w:t>入正确的局”。海外市场公司重点布局东盟十国、中东海湾六国和非洲政治稳定经济活跃的新兴市场国家。受全球能源短缺和制造业重构的影响，这些新兴国家在</w:t>
      </w:r>
      <w:proofErr w:type="gramStart"/>
      <w:r w:rsidRPr="00FE4C21">
        <w:rPr>
          <w:rFonts w:ascii="宋体" w:hAnsi="宋体"/>
          <w:sz w:val="24"/>
        </w:rPr>
        <w:t>能源电水气</w:t>
      </w:r>
      <w:proofErr w:type="gramEnd"/>
      <w:r w:rsidRPr="00FE4C21">
        <w:rPr>
          <w:rFonts w:ascii="宋体" w:hAnsi="宋体"/>
          <w:sz w:val="24"/>
        </w:rPr>
        <w:t>基础设施的数字化和智能化是趋势和刚需，对此，公司有丰富而成熟的解决方案，技术路线和产品成熟齐备，技术团队完成少量本地化优化即可满足海外业务发展。</w:t>
      </w:r>
    </w:p>
    <w:p w14:paraId="518C7A78" w14:textId="77777777" w:rsidR="00FE4C21" w:rsidRPr="00FE4C21" w:rsidRDefault="00FE4C21" w:rsidP="00FE4C21">
      <w:pPr>
        <w:spacing w:line="360" w:lineRule="auto"/>
        <w:ind w:firstLineChars="200" w:firstLine="480"/>
        <w:rPr>
          <w:rFonts w:ascii="宋体" w:hAnsi="宋体"/>
          <w:sz w:val="24"/>
        </w:rPr>
      </w:pPr>
      <w:r w:rsidRPr="00FE4C21">
        <w:rPr>
          <w:rFonts w:ascii="宋体" w:hAnsi="宋体"/>
          <w:sz w:val="24"/>
        </w:rPr>
        <w:t>公司在国内市场领先的同时，仍在不断创新，拥有下一代新技术的储备，满足下一代新标准需求。公司每年持续投入新技术研发，产生了业绩和技术积累的积极效应。公司的组织架构与时俱进，跟随国内和海外战略客户的需求导向进行</w:t>
      </w:r>
      <w:r w:rsidRPr="00FE4C21">
        <w:rPr>
          <w:rFonts w:ascii="宋体" w:hAnsi="宋体"/>
          <w:sz w:val="24"/>
        </w:rPr>
        <w:lastRenderedPageBreak/>
        <w:t>适应和创新发展，整体上使公司的核心竞争力侧重在“物联网+芯片+人工智能”的技术领先和技术输出，以综合解决方案的能力保持国内领先的同时，不断提升海外业务的占比，由国际主流向国际领先地位看齐。</w:t>
      </w:r>
    </w:p>
    <w:p w14:paraId="329E6942" w14:textId="77777777" w:rsidR="00FE4C21" w:rsidRPr="00FE4C21" w:rsidRDefault="00FE4C21" w:rsidP="00F354B6">
      <w:pPr>
        <w:widowControl/>
        <w:wordWrap w:val="0"/>
        <w:spacing w:line="420" w:lineRule="exact"/>
        <w:jc w:val="left"/>
        <w:rPr>
          <w:rFonts w:ascii="宋体" w:hAnsi="宋体"/>
          <w:bCs/>
          <w:sz w:val="24"/>
        </w:rPr>
      </w:pPr>
    </w:p>
    <w:sectPr w:rsidR="00FE4C21" w:rsidRPr="00FE4C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7CF22" w14:textId="77777777" w:rsidR="00D55691" w:rsidRDefault="00D55691">
      <w:r>
        <w:separator/>
      </w:r>
    </w:p>
  </w:endnote>
  <w:endnote w:type="continuationSeparator" w:id="0">
    <w:p w14:paraId="50921AE0" w14:textId="77777777" w:rsidR="00D55691" w:rsidRDefault="00D5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5AA821A7" w14:textId="77777777" w:rsidR="004D1B9E" w:rsidRDefault="006A22C2">
        <w:pPr>
          <w:pStyle w:val="a7"/>
          <w:jc w:val="center"/>
        </w:pPr>
        <w:r>
          <w:fldChar w:fldCharType="begin"/>
        </w:r>
        <w:r>
          <w:instrText xml:space="preserve"> PAGE   \* MERGEFORMAT </w:instrText>
        </w:r>
        <w:r>
          <w:fldChar w:fldCharType="separate"/>
        </w:r>
        <w:r w:rsidR="00BE4F40" w:rsidRPr="00BE4F40">
          <w:rPr>
            <w:noProof/>
            <w:lang w:val="zh-CN"/>
          </w:rPr>
          <w:t>5</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CAB74" w14:textId="77777777" w:rsidR="00D55691" w:rsidRDefault="00D55691">
      <w:r>
        <w:separator/>
      </w:r>
    </w:p>
  </w:footnote>
  <w:footnote w:type="continuationSeparator" w:id="0">
    <w:p w14:paraId="47ED1250" w14:textId="77777777" w:rsidR="00D55691" w:rsidRDefault="00D55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5EE2"/>
    <w:multiLevelType w:val="multilevel"/>
    <w:tmpl w:val="BDF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A340F"/>
    <w:multiLevelType w:val="hybridMultilevel"/>
    <w:tmpl w:val="B5006330"/>
    <w:lvl w:ilvl="0" w:tplc="AB0444A6">
      <w:start w:val="1"/>
      <w:numFmt w:val="bullet"/>
      <w:lvlText w:val="•"/>
      <w:lvlJc w:val="left"/>
      <w:pPr>
        <w:tabs>
          <w:tab w:val="num" w:pos="720"/>
        </w:tabs>
        <w:ind w:left="720" w:hanging="360"/>
      </w:pPr>
      <w:rPr>
        <w:rFonts w:ascii="宋体" w:hAnsi="宋体" w:hint="default"/>
      </w:rPr>
    </w:lvl>
    <w:lvl w:ilvl="1" w:tplc="E9B2FFDC" w:tentative="1">
      <w:start w:val="1"/>
      <w:numFmt w:val="bullet"/>
      <w:lvlText w:val="•"/>
      <w:lvlJc w:val="left"/>
      <w:pPr>
        <w:tabs>
          <w:tab w:val="num" w:pos="1440"/>
        </w:tabs>
        <w:ind w:left="1440" w:hanging="360"/>
      </w:pPr>
      <w:rPr>
        <w:rFonts w:ascii="宋体" w:hAnsi="宋体" w:hint="default"/>
      </w:rPr>
    </w:lvl>
    <w:lvl w:ilvl="2" w:tplc="47EEE9EC" w:tentative="1">
      <w:start w:val="1"/>
      <w:numFmt w:val="bullet"/>
      <w:lvlText w:val="•"/>
      <w:lvlJc w:val="left"/>
      <w:pPr>
        <w:tabs>
          <w:tab w:val="num" w:pos="2160"/>
        </w:tabs>
        <w:ind w:left="2160" w:hanging="360"/>
      </w:pPr>
      <w:rPr>
        <w:rFonts w:ascii="宋体" w:hAnsi="宋体" w:hint="default"/>
      </w:rPr>
    </w:lvl>
    <w:lvl w:ilvl="3" w:tplc="B0A09518" w:tentative="1">
      <w:start w:val="1"/>
      <w:numFmt w:val="bullet"/>
      <w:lvlText w:val="•"/>
      <w:lvlJc w:val="left"/>
      <w:pPr>
        <w:tabs>
          <w:tab w:val="num" w:pos="2880"/>
        </w:tabs>
        <w:ind w:left="2880" w:hanging="360"/>
      </w:pPr>
      <w:rPr>
        <w:rFonts w:ascii="宋体" w:hAnsi="宋体" w:hint="default"/>
      </w:rPr>
    </w:lvl>
    <w:lvl w:ilvl="4" w:tplc="5D004B44" w:tentative="1">
      <w:start w:val="1"/>
      <w:numFmt w:val="bullet"/>
      <w:lvlText w:val="•"/>
      <w:lvlJc w:val="left"/>
      <w:pPr>
        <w:tabs>
          <w:tab w:val="num" w:pos="3600"/>
        </w:tabs>
        <w:ind w:left="3600" w:hanging="360"/>
      </w:pPr>
      <w:rPr>
        <w:rFonts w:ascii="宋体" w:hAnsi="宋体" w:hint="default"/>
      </w:rPr>
    </w:lvl>
    <w:lvl w:ilvl="5" w:tplc="DE90D890" w:tentative="1">
      <w:start w:val="1"/>
      <w:numFmt w:val="bullet"/>
      <w:lvlText w:val="•"/>
      <w:lvlJc w:val="left"/>
      <w:pPr>
        <w:tabs>
          <w:tab w:val="num" w:pos="4320"/>
        </w:tabs>
        <w:ind w:left="4320" w:hanging="360"/>
      </w:pPr>
      <w:rPr>
        <w:rFonts w:ascii="宋体" w:hAnsi="宋体" w:hint="default"/>
      </w:rPr>
    </w:lvl>
    <w:lvl w:ilvl="6" w:tplc="A54ABC32" w:tentative="1">
      <w:start w:val="1"/>
      <w:numFmt w:val="bullet"/>
      <w:lvlText w:val="•"/>
      <w:lvlJc w:val="left"/>
      <w:pPr>
        <w:tabs>
          <w:tab w:val="num" w:pos="5040"/>
        </w:tabs>
        <w:ind w:left="5040" w:hanging="360"/>
      </w:pPr>
      <w:rPr>
        <w:rFonts w:ascii="宋体" w:hAnsi="宋体" w:hint="default"/>
      </w:rPr>
    </w:lvl>
    <w:lvl w:ilvl="7" w:tplc="794256F0" w:tentative="1">
      <w:start w:val="1"/>
      <w:numFmt w:val="bullet"/>
      <w:lvlText w:val="•"/>
      <w:lvlJc w:val="left"/>
      <w:pPr>
        <w:tabs>
          <w:tab w:val="num" w:pos="5760"/>
        </w:tabs>
        <w:ind w:left="5760" w:hanging="360"/>
      </w:pPr>
      <w:rPr>
        <w:rFonts w:ascii="宋体" w:hAnsi="宋体" w:hint="default"/>
      </w:rPr>
    </w:lvl>
    <w:lvl w:ilvl="8" w:tplc="9BC2E978"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14D01757"/>
    <w:multiLevelType w:val="multilevel"/>
    <w:tmpl w:val="376C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21210"/>
    <w:multiLevelType w:val="hybridMultilevel"/>
    <w:tmpl w:val="30162328"/>
    <w:lvl w:ilvl="0" w:tplc="386CD144">
      <w:start w:val="1"/>
      <w:numFmt w:val="bullet"/>
      <w:lvlText w:val="•"/>
      <w:lvlJc w:val="left"/>
      <w:pPr>
        <w:tabs>
          <w:tab w:val="num" w:pos="720"/>
        </w:tabs>
        <w:ind w:left="720" w:hanging="360"/>
      </w:pPr>
      <w:rPr>
        <w:rFonts w:ascii="宋体" w:hAnsi="宋体" w:hint="default"/>
      </w:rPr>
    </w:lvl>
    <w:lvl w:ilvl="1" w:tplc="A8B0EFAE" w:tentative="1">
      <w:start w:val="1"/>
      <w:numFmt w:val="bullet"/>
      <w:lvlText w:val="•"/>
      <w:lvlJc w:val="left"/>
      <w:pPr>
        <w:tabs>
          <w:tab w:val="num" w:pos="1440"/>
        </w:tabs>
        <w:ind w:left="1440" w:hanging="360"/>
      </w:pPr>
      <w:rPr>
        <w:rFonts w:ascii="宋体" w:hAnsi="宋体" w:hint="default"/>
      </w:rPr>
    </w:lvl>
    <w:lvl w:ilvl="2" w:tplc="82E4D6B4" w:tentative="1">
      <w:start w:val="1"/>
      <w:numFmt w:val="bullet"/>
      <w:lvlText w:val="•"/>
      <w:lvlJc w:val="left"/>
      <w:pPr>
        <w:tabs>
          <w:tab w:val="num" w:pos="2160"/>
        </w:tabs>
        <w:ind w:left="2160" w:hanging="360"/>
      </w:pPr>
      <w:rPr>
        <w:rFonts w:ascii="宋体" w:hAnsi="宋体" w:hint="default"/>
      </w:rPr>
    </w:lvl>
    <w:lvl w:ilvl="3" w:tplc="498CEBCC" w:tentative="1">
      <w:start w:val="1"/>
      <w:numFmt w:val="bullet"/>
      <w:lvlText w:val="•"/>
      <w:lvlJc w:val="left"/>
      <w:pPr>
        <w:tabs>
          <w:tab w:val="num" w:pos="2880"/>
        </w:tabs>
        <w:ind w:left="2880" w:hanging="360"/>
      </w:pPr>
      <w:rPr>
        <w:rFonts w:ascii="宋体" w:hAnsi="宋体" w:hint="default"/>
      </w:rPr>
    </w:lvl>
    <w:lvl w:ilvl="4" w:tplc="909C2C70" w:tentative="1">
      <w:start w:val="1"/>
      <w:numFmt w:val="bullet"/>
      <w:lvlText w:val="•"/>
      <w:lvlJc w:val="left"/>
      <w:pPr>
        <w:tabs>
          <w:tab w:val="num" w:pos="3600"/>
        </w:tabs>
        <w:ind w:left="3600" w:hanging="360"/>
      </w:pPr>
      <w:rPr>
        <w:rFonts w:ascii="宋体" w:hAnsi="宋体" w:hint="default"/>
      </w:rPr>
    </w:lvl>
    <w:lvl w:ilvl="5" w:tplc="35BE1D1C" w:tentative="1">
      <w:start w:val="1"/>
      <w:numFmt w:val="bullet"/>
      <w:lvlText w:val="•"/>
      <w:lvlJc w:val="left"/>
      <w:pPr>
        <w:tabs>
          <w:tab w:val="num" w:pos="4320"/>
        </w:tabs>
        <w:ind w:left="4320" w:hanging="360"/>
      </w:pPr>
      <w:rPr>
        <w:rFonts w:ascii="宋体" w:hAnsi="宋体" w:hint="default"/>
      </w:rPr>
    </w:lvl>
    <w:lvl w:ilvl="6" w:tplc="33A6CA90" w:tentative="1">
      <w:start w:val="1"/>
      <w:numFmt w:val="bullet"/>
      <w:lvlText w:val="•"/>
      <w:lvlJc w:val="left"/>
      <w:pPr>
        <w:tabs>
          <w:tab w:val="num" w:pos="5040"/>
        </w:tabs>
        <w:ind w:left="5040" w:hanging="360"/>
      </w:pPr>
      <w:rPr>
        <w:rFonts w:ascii="宋体" w:hAnsi="宋体" w:hint="default"/>
      </w:rPr>
    </w:lvl>
    <w:lvl w:ilvl="7" w:tplc="72AA7C04" w:tentative="1">
      <w:start w:val="1"/>
      <w:numFmt w:val="bullet"/>
      <w:lvlText w:val="•"/>
      <w:lvlJc w:val="left"/>
      <w:pPr>
        <w:tabs>
          <w:tab w:val="num" w:pos="5760"/>
        </w:tabs>
        <w:ind w:left="5760" w:hanging="360"/>
      </w:pPr>
      <w:rPr>
        <w:rFonts w:ascii="宋体" w:hAnsi="宋体" w:hint="default"/>
      </w:rPr>
    </w:lvl>
    <w:lvl w:ilvl="8" w:tplc="45682F76" w:tentative="1">
      <w:start w:val="1"/>
      <w:numFmt w:val="bullet"/>
      <w:lvlText w:val="•"/>
      <w:lvlJc w:val="left"/>
      <w:pPr>
        <w:tabs>
          <w:tab w:val="num" w:pos="6480"/>
        </w:tabs>
        <w:ind w:left="6480" w:hanging="360"/>
      </w:pPr>
      <w:rPr>
        <w:rFonts w:ascii="宋体" w:hAnsi="宋体" w:hint="default"/>
      </w:rPr>
    </w:lvl>
  </w:abstractNum>
  <w:abstractNum w:abstractNumId="4" w15:restartNumberingAfterBreak="0">
    <w:nsid w:val="42267698"/>
    <w:multiLevelType w:val="hybridMultilevel"/>
    <w:tmpl w:val="233E7F02"/>
    <w:lvl w:ilvl="0" w:tplc="217E56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96027E8"/>
    <w:multiLevelType w:val="multilevel"/>
    <w:tmpl w:val="585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D5E79"/>
    <w:multiLevelType w:val="multilevel"/>
    <w:tmpl w:val="1CAE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219E0"/>
    <w:multiLevelType w:val="multilevel"/>
    <w:tmpl w:val="DCF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3D0A09"/>
    <w:multiLevelType w:val="multilevel"/>
    <w:tmpl w:val="6812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2258C"/>
    <w:multiLevelType w:val="hybridMultilevel"/>
    <w:tmpl w:val="613C9B98"/>
    <w:lvl w:ilvl="0" w:tplc="C52C9EBE">
      <w:start w:val="1"/>
      <w:numFmt w:val="bullet"/>
      <w:lvlText w:val="•"/>
      <w:lvlJc w:val="left"/>
      <w:pPr>
        <w:tabs>
          <w:tab w:val="num" w:pos="720"/>
        </w:tabs>
        <w:ind w:left="720" w:hanging="360"/>
      </w:pPr>
      <w:rPr>
        <w:rFonts w:ascii="Arial" w:hAnsi="Arial" w:hint="default"/>
      </w:rPr>
    </w:lvl>
    <w:lvl w:ilvl="1" w:tplc="58F65294" w:tentative="1">
      <w:start w:val="1"/>
      <w:numFmt w:val="bullet"/>
      <w:lvlText w:val="•"/>
      <w:lvlJc w:val="left"/>
      <w:pPr>
        <w:tabs>
          <w:tab w:val="num" w:pos="1440"/>
        </w:tabs>
        <w:ind w:left="1440" w:hanging="360"/>
      </w:pPr>
      <w:rPr>
        <w:rFonts w:ascii="Arial" w:hAnsi="Arial" w:hint="default"/>
      </w:rPr>
    </w:lvl>
    <w:lvl w:ilvl="2" w:tplc="80048982" w:tentative="1">
      <w:start w:val="1"/>
      <w:numFmt w:val="bullet"/>
      <w:lvlText w:val="•"/>
      <w:lvlJc w:val="left"/>
      <w:pPr>
        <w:tabs>
          <w:tab w:val="num" w:pos="2160"/>
        </w:tabs>
        <w:ind w:left="2160" w:hanging="360"/>
      </w:pPr>
      <w:rPr>
        <w:rFonts w:ascii="Arial" w:hAnsi="Arial" w:hint="default"/>
      </w:rPr>
    </w:lvl>
    <w:lvl w:ilvl="3" w:tplc="CA34B2FC" w:tentative="1">
      <w:start w:val="1"/>
      <w:numFmt w:val="bullet"/>
      <w:lvlText w:val="•"/>
      <w:lvlJc w:val="left"/>
      <w:pPr>
        <w:tabs>
          <w:tab w:val="num" w:pos="2880"/>
        </w:tabs>
        <w:ind w:left="2880" w:hanging="360"/>
      </w:pPr>
      <w:rPr>
        <w:rFonts w:ascii="Arial" w:hAnsi="Arial" w:hint="default"/>
      </w:rPr>
    </w:lvl>
    <w:lvl w:ilvl="4" w:tplc="E8E4FC7A" w:tentative="1">
      <w:start w:val="1"/>
      <w:numFmt w:val="bullet"/>
      <w:lvlText w:val="•"/>
      <w:lvlJc w:val="left"/>
      <w:pPr>
        <w:tabs>
          <w:tab w:val="num" w:pos="3600"/>
        </w:tabs>
        <w:ind w:left="3600" w:hanging="360"/>
      </w:pPr>
      <w:rPr>
        <w:rFonts w:ascii="Arial" w:hAnsi="Arial" w:hint="default"/>
      </w:rPr>
    </w:lvl>
    <w:lvl w:ilvl="5" w:tplc="72E64ED0" w:tentative="1">
      <w:start w:val="1"/>
      <w:numFmt w:val="bullet"/>
      <w:lvlText w:val="•"/>
      <w:lvlJc w:val="left"/>
      <w:pPr>
        <w:tabs>
          <w:tab w:val="num" w:pos="4320"/>
        </w:tabs>
        <w:ind w:left="4320" w:hanging="360"/>
      </w:pPr>
      <w:rPr>
        <w:rFonts w:ascii="Arial" w:hAnsi="Arial" w:hint="default"/>
      </w:rPr>
    </w:lvl>
    <w:lvl w:ilvl="6" w:tplc="D558470C" w:tentative="1">
      <w:start w:val="1"/>
      <w:numFmt w:val="bullet"/>
      <w:lvlText w:val="•"/>
      <w:lvlJc w:val="left"/>
      <w:pPr>
        <w:tabs>
          <w:tab w:val="num" w:pos="5040"/>
        </w:tabs>
        <w:ind w:left="5040" w:hanging="360"/>
      </w:pPr>
      <w:rPr>
        <w:rFonts w:ascii="Arial" w:hAnsi="Arial" w:hint="default"/>
      </w:rPr>
    </w:lvl>
    <w:lvl w:ilvl="7" w:tplc="F7DC3FB2" w:tentative="1">
      <w:start w:val="1"/>
      <w:numFmt w:val="bullet"/>
      <w:lvlText w:val="•"/>
      <w:lvlJc w:val="left"/>
      <w:pPr>
        <w:tabs>
          <w:tab w:val="num" w:pos="5760"/>
        </w:tabs>
        <w:ind w:left="5760" w:hanging="360"/>
      </w:pPr>
      <w:rPr>
        <w:rFonts w:ascii="Arial" w:hAnsi="Arial" w:hint="default"/>
      </w:rPr>
    </w:lvl>
    <w:lvl w:ilvl="8" w:tplc="DDA82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3567BF"/>
    <w:multiLevelType w:val="multilevel"/>
    <w:tmpl w:val="BBB2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AE719B"/>
    <w:multiLevelType w:val="multilevel"/>
    <w:tmpl w:val="C6E82A16"/>
    <w:lvl w:ilvl="0">
      <w:start w:val="1"/>
      <w:numFmt w:val="japaneseCounting"/>
      <w:lvlText w:val="%1、"/>
      <w:lvlJc w:val="left"/>
      <w:pPr>
        <w:ind w:left="1216" w:hanging="720"/>
      </w:pPr>
      <w:rPr>
        <w:rFonts w:hint="default"/>
        <w:lang w:val="en-US"/>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2" w15:restartNumberingAfterBreak="0">
    <w:nsid w:val="71C323C4"/>
    <w:multiLevelType w:val="multilevel"/>
    <w:tmpl w:val="7FDE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96FCE"/>
    <w:multiLevelType w:val="multilevel"/>
    <w:tmpl w:val="074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50BEC"/>
    <w:multiLevelType w:val="hybridMultilevel"/>
    <w:tmpl w:val="F9245C26"/>
    <w:lvl w:ilvl="0" w:tplc="A530BEAE">
      <w:start w:val="1"/>
      <w:numFmt w:val="bullet"/>
      <w:lvlText w:val="•"/>
      <w:lvlJc w:val="left"/>
      <w:pPr>
        <w:tabs>
          <w:tab w:val="num" w:pos="720"/>
        </w:tabs>
        <w:ind w:left="720" w:hanging="360"/>
      </w:pPr>
      <w:rPr>
        <w:rFonts w:ascii="宋体" w:hAnsi="宋体" w:hint="default"/>
      </w:rPr>
    </w:lvl>
    <w:lvl w:ilvl="1" w:tplc="A09E3CBC" w:tentative="1">
      <w:start w:val="1"/>
      <w:numFmt w:val="bullet"/>
      <w:lvlText w:val="•"/>
      <w:lvlJc w:val="left"/>
      <w:pPr>
        <w:tabs>
          <w:tab w:val="num" w:pos="1440"/>
        </w:tabs>
        <w:ind w:left="1440" w:hanging="360"/>
      </w:pPr>
      <w:rPr>
        <w:rFonts w:ascii="宋体" w:hAnsi="宋体" w:hint="default"/>
      </w:rPr>
    </w:lvl>
    <w:lvl w:ilvl="2" w:tplc="5FA6F864" w:tentative="1">
      <w:start w:val="1"/>
      <w:numFmt w:val="bullet"/>
      <w:lvlText w:val="•"/>
      <w:lvlJc w:val="left"/>
      <w:pPr>
        <w:tabs>
          <w:tab w:val="num" w:pos="2160"/>
        </w:tabs>
        <w:ind w:left="2160" w:hanging="360"/>
      </w:pPr>
      <w:rPr>
        <w:rFonts w:ascii="宋体" w:hAnsi="宋体" w:hint="default"/>
      </w:rPr>
    </w:lvl>
    <w:lvl w:ilvl="3" w:tplc="AE4876BE" w:tentative="1">
      <w:start w:val="1"/>
      <w:numFmt w:val="bullet"/>
      <w:lvlText w:val="•"/>
      <w:lvlJc w:val="left"/>
      <w:pPr>
        <w:tabs>
          <w:tab w:val="num" w:pos="2880"/>
        </w:tabs>
        <w:ind w:left="2880" w:hanging="360"/>
      </w:pPr>
      <w:rPr>
        <w:rFonts w:ascii="宋体" w:hAnsi="宋体" w:hint="default"/>
      </w:rPr>
    </w:lvl>
    <w:lvl w:ilvl="4" w:tplc="B0E6F926" w:tentative="1">
      <w:start w:val="1"/>
      <w:numFmt w:val="bullet"/>
      <w:lvlText w:val="•"/>
      <w:lvlJc w:val="left"/>
      <w:pPr>
        <w:tabs>
          <w:tab w:val="num" w:pos="3600"/>
        </w:tabs>
        <w:ind w:left="3600" w:hanging="360"/>
      </w:pPr>
      <w:rPr>
        <w:rFonts w:ascii="宋体" w:hAnsi="宋体" w:hint="default"/>
      </w:rPr>
    </w:lvl>
    <w:lvl w:ilvl="5" w:tplc="D76CDE5A" w:tentative="1">
      <w:start w:val="1"/>
      <w:numFmt w:val="bullet"/>
      <w:lvlText w:val="•"/>
      <w:lvlJc w:val="left"/>
      <w:pPr>
        <w:tabs>
          <w:tab w:val="num" w:pos="4320"/>
        </w:tabs>
        <w:ind w:left="4320" w:hanging="360"/>
      </w:pPr>
      <w:rPr>
        <w:rFonts w:ascii="宋体" w:hAnsi="宋体" w:hint="default"/>
      </w:rPr>
    </w:lvl>
    <w:lvl w:ilvl="6" w:tplc="D0D88724" w:tentative="1">
      <w:start w:val="1"/>
      <w:numFmt w:val="bullet"/>
      <w:lvlText w:val="•"/>
      <w:lvlJc w:val="left"/>
      <w:pPr>
        <w:tabs>
          <w:tab w:val="num" w:pos="5040"/>
        </w:tabs>
        <w:ind w:left="5040" w:hanging="360"/>
      </w:pPr>
      <w:rPr>
        <w:rFonts w:ascii="宋体" w:hAnsi="宋体" w:hint="default"/>
      </w:rPr>
    </w:lvl>
    <w:lvl w:ilvl="7" w:tplc="06345AB4" w:tentative="1">
      <w:start w:val="1"/>
      <w:numFmt w:val="bullet"/>
      <w:lvlText w:val="•"/>
      <w:lvlJc w:val="left"/>
      <w:pPr>
        <w:tabs>
          <w:tab w:val="num" w:pos="5760"/>
        </w:tabs>
        <w:ind w:left="5760" w:hanging="360"/>
      </w:pPr>
      <w:rPr>
        <w:rFonts w:ascii="宋体" w:hAnsi="宋体" w:hint="default"/>
      </w:rPr>
    </w:lvl>
    <w:lvl w:ilvl="8" w:tplc="31BEAB34" w:tentative="1">
      <w:start w:val="1"/>
      <w:numFmt w:val="bullet"/>
      <w:lvlText w:val="•"/>
      <w:lvlJc w:val="left"/>
      <w:pPr>
        <w:tabs>
          <w:tab w:val="num" w:pos="6480"/>
        </w:tabs>
        <w:ind w:left="6480" w:hanging="360"/>
      </w:pPr>
      <w:rPr>
        <w:rFonts w:ascii="宋体" w:hAnsi="宋体" w:hint="default"/>
      </w:rPr>
    </w:lvl>
  </w:abstractNum>
  <w:abstractNum w:abstractNumId="15" w15:restartNumberingAfterBreak="0">
    <w:nsid w:val="7D4D34AC"/>
    <w:multiLevelType w:val="multilevel"/>
    <w:tmpl w:val="CEEC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7"/>
  </w:num>
  <w:num w:numId="4">
    <w:abstractNumId w:val="10"/>
  </w:num>
  <w:num w:numId="5">
    <w:abstractNumId w:val="8"/>
  </w:num>
  <w:num w:numId="6">
    <w:abstractNumId w:val="9"/>
  </w:num>
  <w:num w:numId="7">
    <w:abstractNumId w:val="1"/>
  </w:num>
  <w:num w:numId="8">
    <w:abstractNumId w:val="14"/>
  </w:num>
  <w:num w:numId="9">
    <w:abstractNumId w:val="3"/>
  </w:num>
  <w:num w:numId="10">
    <w:abstractNumId w:val="4"/>
  </w:num>
  <w:num w:numId="11">
    <w:abstractNumId w:val="5"/>
  </w:num>
  <w:num w:numId="12">
    <w:abstractNumId w:val="12"/>
  </w:num>
  <w:num w:numId="13">
    <w:abstractNumId w:val="13"/>
  </w:num>
  <w:num w:numId="14">
    <w:abstractNumId w:val="6"/>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986"/>
    <w:rsid w:val="00006D44"/>
    <w:rsid w:val="00010F84"/>
    <w:rsid w:val="000118C7"/>
    <w:rsid w:val="00012154"/>
    <w:rsid w:val="00012F86"/>
    <w:rsid w:val="000179CC"/>
    <w:rsid w:val="00021286"/>
    <w:rsid w:val="00031257"/>
    <w:rsid w:val="0003221B"/>
    <w:rsid w:val="0003287C"/>
    <w:rsid w:val="00035C82"/>
    <w:rsid w:val="00036B91"/>
    <w:rsid w:val="000379FC"/>
    <w:rsid w:val="0004009F"/>
    <w:rsid w:val="00041AA4"/>
    <w:rsid w:val="000460F4"/>
    <w:rsid w:val="000465BE"/>
    <w:rsid w:val="00050564"/>
    <w:rsid w:val="00051218"/>
    <w:rsid w:val="00053E85"/>
    <w:rsid w:val="00053FE4"/>
    <w:rsid w:val="000559A7"/>
    <w:rsid w:val="000619A7"/>
    <w:rsid w:val="00061AF6"/>
    <w:rsid w:val="0006525A"/>
    <w:rsid w:val="000657A5"/>
    <w:rsid w:val="00065FD3"/>
    <w:rsid w:val="00067C47"/>
    <w:rsid w:val="0007247D"/>
    <w:rsid w:val="00073DB5"/>
    <w:rsid w:val="000747E3"/>
    <w:rsid w:val="0007591A"/>
    <w:rsid w:val="00075A6C"/>
    <w:rsid w:val="00076A73"/>
    <w:rsid w:val="00077069"/>
    <w:rsid w:val="00081B64"/>
    <w:rsid w:val="00081EA4"/>
    <w:rsid w:val="00082BC8"/>
    <w:rsid w:val="0008574A"/>
    <w:rsid w:val="00086EC0"/>
    <w:rsid w:val="00087A0F"/>
    <w:rsid w:val="00091447"/>
    <w:rsid w:val="00091CAF"/>
    <w:rsid w:val="00094375"/>
    <w:rsid w:val="00094913"/>
    <w:rsid w:val="00094B28"/>
    <w:rsid w:val="000952F0"/>
    <w:rsid w:val="00096A0F"/>
    <w:rsid w:val="00096C11"/>
    <w:rsid w:val="000978D6"/>
    <w:rsid w:val="0009798E"/>
    <w:rsid w:val="000A4886"/>
    <w:rsid w:val="000A6B1D"/>
    <w:rsid w:val="000B180F"/>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6448"/>
    <w:rsid w:val="000F729B"/>
    <w:rsid w:val="000F75CB"/>
    <w:rsid w:val="000F776B"/>
    <w:rsid w:val="001002CE"/>
    <w:rsid w:val="00100AC0"/>
    <w:rsid w:val="00101D3B"/>
    <w:rsid w:val="001023A7"/>
    <w:rsid w:val="00104CD8"/>
    <w:rsid w:val="001125A9"/>
    <w:rsid w:val="00115F72"/>
    <w:rsid w:val="00116967"/>
    <w:rsid w:val="00122EE2"/>
    <w:rsid w:val="00130A4D"/>
    <w:rsid w:val="001328FA"/>
    <w:rsid w:val="00135B5C"/>
    <w:rsid w:val="0014192B"/>
    <w:rsid w:val="001420AE"/>
    <w:rsid w:val="00142B3E"/>
    <w:rsid w:val="001438E2"/>
    <w:rsid w:val="0014504E"/>
    <w:rsid w:val="00146059"/>
    <w:rsid w:val="0015283C"/>
    <w:rsid w:val="00154F2B"/>
    <w:rsid w:val="0015580F"/>
    <w:rsid w:val="00155F8A"/>
    <w:rsid w:val="00165654"/>
    <w:rsid w:val="00172D3D"/>
    <w:rsid w:val="001747D5"/>
    <w:rsid w:val="00175541"/>
    <w:rsid w:val="001758A3"/>
    <w:rsid w:val="00175A4B"/>
    <w:rsid w:val="00176B6C"/>
    <w:rsid w:val="00177245"/>
    <w:rsid w:val="00180691"/>
    <w:rsid w:val="001809CA"/>
    <w:rsid w:val="001836D1"/>
    <w:rsid w:val="001904BB"/>
    <w:rsid w:val="00191D34"/>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3EBF"/>
    <w:rsid w:val="001E46F8"/>
    <w:rsid w:val="001E6390"/>
    <w:rsid w:val="001E79A4"/>
    <w:rsid w:val="001F1F35"/>
    <w:rsid w:val="001F375F"/>
    <w:rsid w:val="001F5195"/>
    <w:rsid w:val="001F63E1"/>
    <w:rsid w:val="00201E92"/>
    <w:rsid w:val="002028B1"/>
    <w:rsid w:val="00203A83"/>
    <w:rsid w:val="0020595F"/>
    <w:rsid w:val="00211B7B"/>
    <w:rsid w:val="00214FE4"/>
    <w:rsid w:val="00217DCB"/>
    <w:rsid w:val="00220D28"/>
    <w:rsid w:val="00225A6D"/>
    <w:rsid w:val="00226DB6"/>
    <w:rsid w:val="00230F04"/>
    <w:rsid w:val="002362C9"/>
    <w:rsid w:val="00236B49"/>
    <w:rsid w:val="002407FE"/>
    <w:rsid w:val="00242B0F"/>
    <w:rsid w:val="002440BE"/>
    <w:rsid w:val="00244715"/>
    <w:rsid w:val="00244B12"/>
    <w:rsid w:val="00245BF1"/>
    <w:rsid w:val="00245C8E"/>
    <w:rsid w:val="00245DFD"/>
    <w:rsid w:val="00254272"/>
    <w:rsid w:val="00255B76"/>
    <w:rsid w:val="002564A3"/>
    <w:rsid w:val="00257DD4"/>
    <w:rsid w:val="00257F31"/>
    <w:rsid w:val="0026312D"/>
    <w:rsid w:val="00264107"/>
    <w:rsid w:val="0026765E"/>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5C59"/>
    <w:rsid w:val="002C6142"/>
    <w:rsid w:val="002C76E4"/>
    <w:rsid w:val="002D0C22"/>
    <w:rsid w:val="002D129C"/>
    <w:rsid w:val="002D4481"/>
    <w:rsid w:val="002D4A1C"/>
    <w:rsid w:val="002D5516"/>
    <w:rsid w:val="002D665F"/>
    <w:rsid w:val="002E150F"/>
    <w:rsid w:val="002E1A03"/>
    <w:rsid w:val="002E242F"/>
    <w:rsid w:val="002E399A"/>
    <w:rsid w:val="002F19C1"/>
    <w:rsid w:val="002F51EA"/>
    <w:rsid w:val="002F72AD"/>
    <w:rsid w:val="00300057"/>
    <w:rsid w:val="00300AB6"/>
    <w:rsid w:val="00301907"/>
    <w:rsid w:val="0030509D"/>
    <w:rsid w:val="00305906"/>
    <w:rsid w:val="003069CF"/>
    <w:rsid w:val="00307BF8"/>
    <w:rsid w:val="00310EDE"/>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208F"/>
    <w:rsid w:val="00353B4A"/>
    <w:rsid w:val="00355707"/>
    <w:rsid w:val="00360466"/>
    <w:rsid w:val="00362CA0"/>
    <w:rsid w:val="00364094"/>
    <w:rsid w:val="00366610"/>
    <w:rsid w:val="00367B4A"/>
    <w:rsid w:val="003703CB"/>
    <w:rsid w:val="00372E76"/>
    <w:rsid w:val="0037325A"/>
    <w:rsid w:val="00374FEE"/>
    <w:rsid w:val="00375765"/>
    <w:rsid w:val="00375F96"/>
    <w:rsid w:val="003801B6"/>
    <w:rsid w:val="00380A58"/>
    <w:rsid w:val="00380CEF"/>
    <w:rsid w:val="00382AF1"/>
    <w:rsid w:val="00387CEC"/>
    <w:rsid w:val="0039075C"/>
    <w:rsid w:val="00392B90"/>
    <w:rsid w:val="00394C3B"/>
    <w:rsid w:val="00397464"/>
    <w:rsid w:val="003A24BF"/>
    <w:rsid w:val="003A4F04"/>
    <w:rsid w:val="003A6D50"/>
    <w:rsid w:val="003B0712"/>
    <w:rsid w:val="003B1C9B"/>
    <w:rsid w:val="003B3E1D"/>
    <w:rsid w:val="003B4D45"/>
    <w:rsid w:val="003B69BE"/>
    <w:rsid w:val="003B6A4A"/>
    <w:rsid w:val="003B784A"/>
    <w:rsid w:val="003C0608"/>
    <w:rsid w:val="003C2264"/>
    <w:rsid w:val="003C368A"/>
    <w:rsid w:val="003C4B59"/>
    <w:rsid w:val="003C4D2E"/>
    <w:rsid w:val="003C4E4B"/>
    <w:rsid w:val="003C7CA8"/>
    <w:rsid w:val="003D04C6"/>
    <w:rsid w:val="003D191B"/>
    <w:rsid w:val="003D22D6"/>
    <w:rsid w:val="003D3BEC"/>
    <w:rsid w:val="003D5E4B"/>
    <w:rsid w:val="003D6BCA"/>
    <w:rsid w:val="003E0A70"/>
    <w:rsid w:val="003E2709"/>
    <w:rsid w:val="003E2EE0"/>
    <w:rsid w:val="003E4552"/>
    <w:rsid w:val="003E4DDE"/>
    <w:rsid w:val="003E4E24"/>
    <w:rsid w:val="003E5ADA"/>
    <w:rsid w:val="003F0B55"/>
    <w:rsid w:val="003F4EF1"/>
    <w:rsid w:val="003F50A5"/>
    <w:rsid w:val="003F6B4E"/>
    <w:rsid w:val="003F77DF"/>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0DED"/>
    <w:rsid w:val="00461CE3"/>
    <w:rsid w:val="004663BA"/>
    <w:rsid w:val="004707C3"/>
    <w:rsid w:val="00473182"/>
    <w:rsid w:val="0047646D"/>
    <w:rsid w:val="0048039F"/>
    <w:rsid w:val="004813B0"/>
    <w:rsid w:val="00483E2E"/>
    <w:rsid w:val="00487EEB"/>
    <w:rsid w:val="004914E5"/>
    <w:rsid w:val="004943BD"/>
    <w:rsid w:val="004944EC"/>
    <w:rsid w:val="00495530"/>
    <w:rsid w:val="004A47C8"/>
    <w:rsid w:val="004A486B"/>
    <w:rsid w:val="004A508E"/>
    <w:rsid w:val="004A7D16"/>
    <w:rsid w:val="004B01F3"/>
    <w:rsid w:val="004B127A"/>
    <w:rsid w:val="004B7B0F"/>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4F03"/>
    <w:rsid w:val="004E6A4A"/>
    <w:rsid w:val="004E6B3D"/>
    <w:rsid w:val="004F07D0"/>
    <w:rsid w:val="004F0EE5"/>
    <w:rsid w:val="004F15DD"/>
    <w:rsid w:val="004F3E88"/>
    <w:rsid w:val="004F3F77"/>
    <w:rsid w:val="004F48E2"/>
    <w:rsid w:val="004F54C5"/>
    <w:rsid w:val="004F7CD4"/>
    <w:rsid w:val="0050028D"/>
    <w:rsid w:val="00500F85"/>
    <w:rsid w:val="005014E3"/>
    <w:rsid w:val="0050319B"/>
    <w:rsid w:val="005032B1"/>
    <w:rsid w:val="00505E8E"/>
    <w:rsid w:val="005071C2"/>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07DA"/>
    <w:rsid w:val="00522093"/>
    <w:rsid w:val="00522CFB"/>
    <w:rsid w:val="00524124"/>
    <w:rsid w:val="0052599E"/>
    <w:rsid w:val="005333B6"/>
    <w:rsid w:val="00533817"/>
    <w:rsid w:val="0053511E"/>
    <w:rsid w:val="00537A42"/>
    <w:rsid w:val="00541D54"/>
    <w:rsid w:val="005431E5"/>
    <w:rsid w:val="005452F7"/>
    <w:rsid w:val="00547E96"/>
    <w:rsid w:val="00551759"/>
    <w:rsid w:val="00552B23"/>
    <w:rsid w:val="00552F26"/>
    <w:rsid w:val="00556590"/>
    <w:rsid w:val="005579AA"/>
    <w:rsid w:val="00561BC1"/>
    <w:rsid w:val="00563D2A"/>
    <w:rsid w:val="00565A15"/>
    <w:rsid w:val="00566357"/>
    <w:rsid w:val="0056717F"/>
    <w:rsid w:val="0056737D"/>
    <w:rsid w:val="0057021E"/>
    <w:rsid w:val="00571BB4"/>
    <w:rsid w:val="00571EB7"/>
    <w:rsid w:val="00575216"/>
    <w:rsid w:val="0058129D"/>
    <w:rsid w:val="00582D00"/>
    <w:rsid w:val="005839AF"/>
    <w:rsid w:val="00587E9F"/>
    <w:rsid w:val="005900D8"/>
    <w:rsid w:val="00590293"/>
    <w:rsid w:val="00592D9A"/>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C6D5D"/>
    <w:rsid w:val="005D197E"/>
    <w:rsid w:val="005D374E"/>
    <w:rsid w:val="005D4501"/>
    <w:rsid w:val="005D474C"/>
    <w:rsid w:val="005D5269"/>
    <w:rsid w:val="005E0482"/>
    <w:rsid w:val="005E04CE"/>
    <w:rsid w:val="005E24EA"/>
    <w:rsid w:val="005E3FAA"/>
    <w:rsid w:val="005E431B"/>
    <w:rsid w:val="005E49E4"/>
    <w:rsid w:val="005E59D5"/>
    <w:rsid w:val="005E6712"/>
    <w:rsid w:val="005E6B2D"/>
    <w:rsid w:val="005E7A65"/>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0F85"/>
    <w:rsid w:val="0062181E"/>
    <w:rsid w:val="00621DBA"/>
    <w:rsid w:val="00622723"/>
    <w:rsid w:val="006233BE"/>
    <w:rsid w:val="00623BB0"/>
    <w:rsid w:val="00626B36"/>
    <w:rsid w:val="00630E69"/>
    <w:rsid w:val="0063283C"/>
    <w:rsid w:val="006369AA"/>
    <w:rsid w:val="00637F8C"/>
    <w:rsid w:val="00641AF1"/>
    <w:rsid w:val="00641C8C"/>
    <w:rsid w:val="006441C6"/>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B52"/>
    <w:rsid w:val="00683C53"/>
    <w:rsid w:val="0068404A"/>
    <w:rsid w:val="006849D7"/>
    <w:rsid w:val="0068660F"/>
    <w:rsid w:val="006916AD"/>
    <w:rsid w:val="006926DE"/>
    <w:rsid w:val="00693380"/>
    <w:rsid w:val="00694597"/>
    <w:rsid w:val="006948EC"/>
    <w:rsid w:val="006A0082"/>
    <w:rsid w:val="006A226D"/>
    <w:rsid w:val="006A22C2"/>
    <w:rsid w:val="006A4742"/>
    <w:rsid w:val="006A4BDA"/>
    <w:rsid w:val="006A59C3"/>
    <w:rsid w:val="006A67F9"/>
    <w:rsid w:val="006B4B04"/>
    <w:rsid w:val="006B556A"/>
    <w:rsid w:val="006C1475"/>
    <w:rsid w:val="006C3A70"/>
    <w:rsid w:val="006C51D5"/>
    <w:rsid w:val="006C53F9"/>
    <w:rsid w:val="006C5B81"/>
    <w:rsid w:val="006C621E"/>
    <w:rsid w:val="006C7F1A"/>
    <w:rsid w:val="006D2989"/>
    <w:rsid w:val="006D2C01"/>
    <w:rsid w:val="006D3ABE"/>
    <w:rsid w:val="006D609B"/>
    <w:rsid w:val="006D639A"/>
    <w:rsid w:val="006E26C4"/>
    <w:rsid w:val="006E3A96"/>
    <w:rsid w:val="006E60F8"/>
    <w:rsid w:val="006E7130"/>
    <w:rsid w:val="006E79F7"/>
    <w:rsid w:val="006E7D59"/>
    <w:rsid w:val="006F162B"/>
    <w:rsid w:val="006F407A"/>
    <w:rsid w:val="007009A1"/>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2B5"/>
    <w:rsid w:val="007216FC"/>
    <w:rsid w:val="00722DB7"/>
    <w:rsid w:val="00725282"/>
    <w:rsid w:val="007257AD"/>
    <w:rsid w:val="00727AA6"/>
    <w:rsid w:val="0073104C"/>
    <w:rsid w:val="00731863"/>
    <w:rsid w:val="00732542"/>
    <w:rsid w:val="007356FD"/>
    <w:rsid w:val="00735B4E"/>
    <w:rsid w:val="00741A91"/>
    <w:rsid w:val="0074618B"/>
    <w:rsid w:val="0074692B"/>
    <w:rsid w:val="00747666"/>
    <w:rsid w:val="0075086C"/>
    <w:rsid w:val="00751921"/>
    <w:rsid w:val="00751B86"/>
    <w:rsid w:val="007521B0"/>
    <w:rsid w:val="00753B49"/>
    <w:rsid w:val="00754B40"/>
    <w:rsid w:val="00764FF2"/>
    <w:rsid w:val="00765B9D"/>
    <w:rsid w:val="007662B5"/>
    <w:rsid w:val="0077020E"/>
    <w:rsid w:val="00773115"/>
    <w:rsid w:val="00774DF4"/>
    <w:rsid w:val="0077651B"/>
    <w:rsid w:val="00776C76"/>
    <w:rsid w:val="0078190F"/>
    <w:rsid w:val="007823F9"/>
    <w:rsid w:val="007829D2"/>
    <w:rsid w:val="0078472D"/>
    <w:rsid w:val="007853E0"/>
    <w:rsid w:val="00786F28"/>
    <w:rsid w:val="00786FB7"/>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6DCA"/>
    <w:rsid w:val="007C7810"/>
    <w:rsid w:val="007D1503"/>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16852"/>
    <w:rsid w:val="00820EEB"/>
    <w:rsid w:val="00821BCB"/>
    <w:rsid w:val="00821E86"/>
    <w:rsid w:val="0082652E"/>
    <w:rsid w:val="00831EBE"/>
    <w:rsid w:val="0083426D"/>
    <w:rsid w:val="00834A3E"/>
    <w:rsid w:val="0083589D"/>
    <w:rsid w:val="00835E7E"/>
    <w:rsid w:val="00837ABB"/>
    <w:rsid w:val="0084448F"/>
    <w:rsid w:val="008505B2"/>
    <w:rsid w:val="00853F51"/>
    <w:rsid w:val="0085529F"/>
    <w:rsid w:val="00860E48"/>
    <w:rsid w:val="00860EEB"/>
    <w:rsid w:val="0086244E"/>
    <w:rsid w:val="00866A59"/>
    <w:rsid w:val="008670E8"/>
    <w:rsid w:val="00870709"/>
    <w:rsid w:val="008715C8"/>
    <w:rsid w:val="00874223"/>
    <w:rsid w:val="008746E6"/>
    <w:rsid w:val="00875D3B"/>
    <w:rsid w:val="00876371"/>
    <w:rsid w:val="0087741B"/>
    <w:rsid w:val="008808F6"/>
    <w:rsid w:val="00881CD7"/>
    <w:rsid w:val="00881E4B"/>
    <w:rsid w:val="0088293D"/>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6F0"/>
    <w:rsid w:val="008D18FC"/>
    <w:rsid w:val="008D3CCD"/>
    <w:rsid w:val="008D5DF1"/>
    <w:rsid w:val="008D7764"/>
    <w:rsid w:val="008E0049"/>
    <w:rsid w:val="008E0E60"/>
    <w:rsid w:val="008E192A"/>
    <w:rsid w:val="008E1AC7"/>
    <w:rsid w:val="008E3FF5"/>
    <w:rsid w:val="008E4A9F"/>
    <w:rsid w:val="008E63C5"/>
    <w:rsid w:val="008F0BD9"/>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89B"/>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4CF2"/>
    <w:rsid w:val="009963F5"/>
    <w:rsid w:val="00997939"/>
    <w:rsid w:val="00997B6E"/>
    <w:rsid w:val="009A4073"/>
    <w:rsid w:val="009A56DF"/>
    <w:rsid w:val="009A6ED2"/>
    <w:rsid w:val="009A78DE"/>
    <w:rsid w:val="009B0E2D"/>
    <w:rsid w:val="009B2748"/>
    <w:rsid w:val="009B2C9C"/>
    <w:rsid w:val="009B5AFB"/>
    <w:rsid w:val="009B5EF9"/>
    <w:rsid w:val="009B5F96"/>
    <w:rsid w:val="009B6638"/>
    <w:rsid w:val="009C0132"/>
    <w:rsid w:val="009C21DE"/>
    <w:rsid w:val="009C27DF"/>
    <w:rsid w:val="009C27EF"/>
    <w:rsid w:val="009C3E72"/>
    <w:rsid w:val="009C5034"/>
    <w:rsid w:val="009C7BD0"/>
    <w:rsid w:val="009D26A4"/>
    <w:rsid w:val="009D2EA9"/>
    <w:rsid w:val="009D3D9E"/>
    <w:rsid w:val="009D4632"/>
    <w:rsid w:val="009D4CB2"/>
    <w:rsid w:val="009D5220"/>
    <w:rsid w:val="009D6327"/>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D55"/>
    <w:rsid w:val="00AA1EC1"/>
    <w:rsid w:val="00AA3177"/>
    <w:rsid w:val="00AA388B"/>
    <w:rsid w:val="00AA60CB"/>
    <w:rsid w:val="00AB05FA"/>
    <w:rsid w:val="00AB0635"/>
    <w:rsid w:val="00AB13BE"/>
    <w:rsid w:val="00AB1626"/>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183"/>
    <w:rsid w:val="00AF7829"/>
    <w:rsid w:val="00AF7AEA"/>
    <w:rsid w:val="00AF7E6F"/>
    <w:rsid w:val="00B00728"/>
    <w:rsid w:val="00B017D8"/>
    <w:rsid w:val="00B0500D"/>
    <w:rsid w:val="00B10FE2"/>
    <w:rsid w:val="00B158EA"/>
    <w:rsid w:val="00B17182"/>
    <w:rsid w:val="00B20DBD"/>
    <w:rsid w:val="00B22C3D"/>
    <w:rsid w:val="00B23103"/>
    <w:rsid w:val="00B2396E"/>
    <w:rsid w:val="00B23F49"/>
    <w:rsid w:val="00B24265"/>
    <w:rsid w:val="00B2436C"/>
    <w:rsid w:val="00B273B6"/>
    <w:rsid w:val="00B30DF1"/>
    <w:rsid w:val="00B3156C"/>
    <w:rsid w:val="00B31E04"/>
    <w:rsid w:val="00B33BD7"/>
    <w:rsid w:val="00B33BE0"/>
    <w:rsid w:val="00B40811"/>
    <w:rsid w:val="00B428A7"/>
    <w:rsid w:val="00B42C24"/>
    <w:rsid w:val="00B4421D"/>
    <w:rsid w:val="00B45702"/>
    <w:rsid w:val="00B45D48"/>
    <w:rsid w:val="00B45E44"/>
    <w:rsid w:val="00B45F85"/>
    <w:rsid w:val="00B46EB8"/>
    <w:rsid w:val="00B50D88"/>
    <w:rsid w:val="00B50F0D"/>
    <w:rsid w:val="00B52A32"/>
    <w:rsid w:val="00B54262"/>
    <w:rsid w:val="00B55629"/>
    <w:rsid w:val="00B55CA7"/>
    <w:rsid w:val="00B63C5E"/>
    <w:rsid w:val="00B6422C"/>
    <w:rsid w:val="00B67D22"/>
    <w:rsid w:val="00B74113"/>
    <w:rsid w:val="00B74590"/>
    <w:rsid w:val="00B763C6"/>
    <w:rsid w:val="00B77F01"/>
    <w:rsid w:val="00B818A0"/>
    <w:rsid w:val="00B85005"/>
    <w:rsid w:val="00B850A1"/>
    <w:rsid w:val="00B86A08"/>
    <w:rsid w:val="00B875A0"/>
    <w:rsid w:val="00B876FE"/>
    <w:rsid w:val="00B9132B"/>
    <w:rsid w:val="00B93B0A"/>
    <w:rsid w:val="00B960B5"/>
    <w:rsid w:val="00B971B3"/>
    <w:rsid w:val="00BA0607"/>
    <w:rsid w:val="00BA0FCA"/>
    <w:rsid w:val="00BA1424"/>
    <w:rsid w:val="00BA3032"/>
    <w:rsid w:val="00BA4C8A"/>
    <w:rsid w:val="00BA5F22"/>
    <w:rsid w:val="00BA7D43"/>
    <w:rsid w:val="00BB3824"/>
    <w:rsid w:val="00BB3FB3"/>
    <w:rsid w:val="00BB716A"/>
    <w:rsid w:val="00BB76A7"/>
    <w:rsid w:val="00BC3257"/>
    <w:rsid w:val="00BC38FA"/>
    <w:rsid w:val="00BC3CEF"/>
    <w:rsid w:val="00BC50C4"/>
    <w:rsid w:val="00BC72B1"/>
    <w:rsid w:val="00BD0065"/>
    <w:rsid w:val="00BD1EA6"/>
    <w:rsid w:val="00BD2A52"/>
    <w:rsid w:val="00BD3A6C"/>
    <w:rsid w:val="00BD6901"/>
    <w:rsid w:val="00BD6923"/>
    <w:rsid w:val="00BE08D1"/>
    <w:rsid w:val="00BE4F40"/>
    <w:rsid w:val="00BE55A7"/>
    <w:rsid w:val="00BE5631"/>
    <w:rsid w:val="00BE6C53"/>
    <w:rsid w:val="00BE6CE5"/>
    <w:rsid w:val="00BE7324"/>
    <w:rsid w:val="00BF107B"/>
    <w:rsid w:val="00BF180C"/>
    <w:rsid w:val="00BF27FC"/>
    <w:rsid w:val="00BF3E17"/>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1AD5"/>
    <w:rsid w:val="00C6347B"/>
    <w:rsid w:val="00C63D31"/>
    <w:rsid w:val="00C65242"/>
    <w:rsid w:val="00C664AD"/>
    <w:rsid w:val="00C671F9"/>
    <w:rsid w:val="00C704E7"/>
    <w:rsid w:val="00C758DC"/>
    <w:rsid w:val="00C75D98"/>
    <w:rsid w:val="00C81194"/>
    <w:rsid w:val="00C84D2E"/>
    <w:rsid w:val="00C86AA1"/>
    <w:rsid w:val="00C90230"/>
    <w:rsid w:val="00C9328A"/>
    <w:rsid w:val="00C932A8"/>
    <w:rsid w:val="00C96A61"/>
    <w:rsid w:val="00C97615"/>
    <w:rsid w:val="00C979A7"/>
    <w:rsid w:val="00CA102D"/>
    <w:rsid w:val="00CA1629"/>
    <w:rsid w:val="00CA3E5C"/>
    <w:rsid w:val="00CB0552"/>
    <w:rsid w:val="00CB1D10"/>
    <w:rsid w:val="00CB20C1"/>
    <w:rsid w:val="00CB25F0"/>
    <w:rsid w:val="00CB2B1E"/>
    <w:rsid w:val="00CB3077"/>
    <w:rsid w:val="00CB36FF"/>
    <w:rsid w:val="00CB445A"/>
    <w:rsid w:val="00CB66C0"/>
    <w:rsid w:val="00CB6794"/>
    <w:rsid w:val="00CC4CEA"/>
    <w:rsid w:val="00CC5F2C"/>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85D"/>
    <w:rsid w:val="00D22A57"/>
    <w:rsid w:val="00D22E77"/>
    <w:rsid w:val="00D2669A"/>
    <w:rsid w:val="00D31E57"/>
    <w:rsid w:val="00D3242F"/>
    <w:rsid w:val="00D34FF7"/>
    <w:rsid w:val="00D35495"/>
    <w:rsid w:val="00D355EA"/>
    <w:rsid w:val="00D37857"/>
    <w:rsid w:val="00D40847"/>
    <w:rsid w:val="00D40DB3"/>
    <w:rsid w:val="00D42A95"/>
    <w:rsid w:val="00D4726F"/>
    <w:rsid w:val="00D53E4E"/>
    <w:rsid w:val="00D55691"/>
    <w:rsid w:val="00D61C5F"/>
    <w:rsid w:val="00D61ED9"/>
    <w:rsid w:val="00D6213E"/>
    <w:rsid w:val="00D627EA"/>
    <w:rsid w:val="00D62D1A"/>
    <w:rsid w:val="00D66D02"/>
    <w:rsid w:val="00D6766F"/>
    <w:rsid w:val="00D700F1"/>
    <w:rsid w:val="00D71520"/>
    <w:rsid w:val="00D71F7F"/>
    <w:rsid w:val="00D72747"/>
    <w:rsid w:val="00D73AAA"/>
    <w:rsid w:val="00D74251"/>
    <w:rsid w:val="00D742BF"/>
    <w:rsid w:val="00D74DAD"/>
    <w:rsid w:val="00D76AB1"/>
    <w:rsid w:val="00D83C90"/>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5DC1"/>
    <w:rsid w:val="00DC65EF"/>
    <w:rsid w:val="00DC6D68"/>
    <w:rsid w:val="00DD0132"/>
    <w:rsid w:val="00DD1CFF"/>
    <w:rsid w:val="00DD202B"/>
    <w:rsid w:val="00DD25E9"/>
    <w:rsid w:val="00DD2BF4"/>
    <w:rsid w:val="00DD4078"/>
    <w:rsid w:val="00DD5343"/>
    <w:rsid w:val="00DD568C"/>
    <w:rsid w:val="00DD7254"/>
    <w:rsid w:val="00DE210F"/>
    <w:rsid w:val="00DE3630"/>
    <w:rsid w:val="00DE3AE7"/>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5729"/>
    <w:rsid w:val="00E561B5"/>
    <w:rsid w:val="00E56AB3"/>
    <w:rsid w:val="00E610CE"/>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6CE"/>
    <w:rsid w:val="00EB0E12"/>
    <w:rsid w:val="00EB29A3"/>
    <w:rsid w:val="00EB408D"/>
    <w:rsid w:val="00EB4597"/>
    <w:rsid w:val="00EB5C43"/>
    <w:rsid w:val="00EB5D74"/>
    <w:rsid w:val="00EB5FB5"/>
    <w:rsid w:val="00EC06B9"/>
    <w:rsid w:val="00EC0737"/>
    <w:rsid w:val="00EC471D"/>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16A"/>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354B6"/>
    <w:rsid w:val="00F40A0A"/>
    <w:rsid w:val="00F41339"/>
    <w:rsid w:val="00F413D9"/>
    <w:rsid w:val="00F429D8"/>
    <w:rsid w:val="00F42B15"/>
    <w:rsid w:val="00F42FB7"/>
    <w:rsid w:val="00F44AF5"/>
    <w:rsid w:val="00F45853"/>
    <w:rsid w:val="00F4640B"/>
    <w:rsid w:val="00F47502"/>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8E3"/>
    <w:rsid w:val="00FA0AD6"/>
    <w:rsid w:val="00FA513B"/>
    <w:rsid w:val="00FA7E74"/>
    <w:rsid w:val="00FB0CCF"/>
    <w:rsid w:val="00FB1B67"/>
    <w:rsid w:val="00FB2B93"/>
    <w:rsid w:val="00FB3882"/>
    <w:rsid w:val="00FB5C5A"/>
    <w:rsid w:val="00FB7588"/>
    <w:rsid w:val="00FC0B4E"/>
    <w:rsid w:val="00FC0FB8"/>
    <w:rsid w:val="00FC1FC3"/>
    <w:rsid w:val="00FC4F6D"/>
    <w:rsid w:val="00FC6901"/>
    <w:rsid w:val="00FD28EF"/>
    <w:rsid w:val="00FD79D3"/>
    <w:rsid w:val="00FE0475"/>
    <w:rsid w:val="00FE0943"/>
    <w:rsid w:val="00FE1185"/>
    <w:rsid w:val="00FE4C21"/>
    <w:rsid w:val="00FE4F6A"/>
    <w:rsid w:val="00FE577C"/>
    <w:rsid w:val="00FE69A1"/>
    <w:rsid w:val="00FF25B5"/>
    <w:rsid w:val="00FF3D68"/>
    <w:rsid w:val="00FF78CC"/>
    <w:rsid w:val="05CF0835"/>
    <w:rsid w:val="161E68D3"/>
    <w:rsid w:val="252B69FE"/>
    <w:rsid w:val="2CAF19E2"/>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9332E1-D979-4A1C-BA99-848A752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rPr>
      <w:b/>
      <w:bCs/>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 w:type="character" w:customStyle="1" w:styleId="lb">
    <w:name w:val="lb"/>
    <w:basedOn w:val="a0"/>
    <w:rsid w:val="00FE69A1"/>
  </w:style>
  <w:style w:type="paragraph" w:styleId="3">
    <w:name w:val="toc 3"/>
    <w:basedOn w:val="a"/>
    <w:next w:val="a"/>
    <w:uiPriority w:val="39"/>
    <w:qFormat/>
    <w:rsid w:val="00EB5C43"/>
    <w:pPr>
      <w:ind w:left="420"/>
      <w:jc w:val="left"/>
    </w:pPr>
    <w:rPr>
      <w:rFonts w:ascii="等线" w:eastAsia="等线" w:hAnsi="等线" w:cs="宋体"/>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6964">
      <w:bodyDiv w:val="1"/>
      <w:marLeft w:val="0"/>
      <w:marRight w:val="0"/>
      <w:marTop w:val="0"/>
      <w:marBottom w:val="0"/>
      <w:divBdr>
        <w:top w:val="none" w:sz="0" w:space="0" w:color="auto"/>
        <w:left w:val="none" w:sz="0" w:space="0" w:color="auto"/>
        <w:bottom w:val="none" w:sz="0" w:space="0" w:color="auto"/>
        <w:right w:val="none" w:sz="0" w:space="0" w:color="auto"/>
      </w:divBdr>
      <w:divsChild>
        <w:div w:id="423260819">
          <w:marLeft w:val="0"/>
          <w:marRight w:val="0"/>
          <w:marTop w:val="0"/>
          <w:marBottom w:val="120"/>
          <w:divBdr>
            <w:top w:val="none" w:sz="0" w:space="0" w:color="auto"/>
            <w:left w:val="none" w:sz="0" w:space="0" w:color="auto"/>
            <w:bottom w:val="none" w:sz="0" w:space="0" w:color="auto"/>
            <w:right w:val="none" w:sz="0" w:space="0" w:color="auto"/>
          </w:divBdr>
        </w:div>
        <w:div w:id="555970828">
          <w:marLeft w:val="0"/>
          <w:marRight w:val="0"/>
          <w:marTop w:val="120"/>
          <w:marBottom w:val="120"/>
          <w:divBdr>
            <w:top w:val="none" w:sz="0" w:space="0" w:color="auto"/>
            <w:left w:val="none" w:sz="0" w:space="0" w:color="auto"/>
            <w:bottom w:val="none" w:sz="0" w:space="0" w:color="auto"/>
            <w:right w:val="none" w:sz="0" w:space="0" w:color="auto"/>
          </w:divBdr>
        </w:div>
        <w:div w:id="230429350">
          <w:marLeft w:val="0"/>
          <w:marRight w:val="0"/>
          <w:marTop w:val="120"/>
          <w:marBottom w:val="120"/>
          <w:divBdr>
            <w:top w:val="none" w:sz="0" w:space="0" w:color="auto"/>
            <w:left w:val="none" w:sz="0" w:space="0" w:color="auto"/>
            <w:bottom w:val="none" w:sz="0" w:space="0" w:color="auto"/>
            <w:right w:val="none" w:sz="0" w:space="0" w:color="auto"/>
          </w:divBdr>
        </w:div>
        <w:div w:id="1778718848">
          <w:marLeft w:val="0"/>
          <w:marRight w:val="0"/>
          <w:marTop w:val="120"/>
          <w:marBottom w:val="120"/>
          <w:divBdr>
            <w:top w:val="none" w:sz="0" w:space="0" w:color="auto"/>
            <w:left w:val="none" w:sz="0" w:space="0" w:color="auto"/>
            <w:bottom w:val="none" w:sz="0" w:space="0" w:color="auto"/>
            <w:right w:val="none" w:sz="0" w:space="0" w:color="auto"/>
          </w:divBdr>
        </w:div>
      </w:divsChild>
    </w:div>
    <w:div w:id="146290603">
      <w:bodyDiv w:val="1"/>
      <w:marLeft w:val="0"/>
      <w:marRight w:val="0"/>
      <w:marTop w:val="0"/>
      <w:marBottom w:val="0"/>
      <w:divBdr>
        <w:top w:val="none" w:sz="0" w:space="0" w:color="auto"/>
        <w:left w:val="none" w:sz="0" w:space="0" w:color="auto"/>
        <w:bottom w:val="none" w:sz="0" w:space="0" w:color="auto"/>
        <w:right w:val="none" w:sz="0" w:space="0" w:color="auto"/>
      </w:divBdr>
    </w:div>
    <w:div w:id="278689547">
      <w:bodyDiv w:val="1"/>
      <w:marLeft w:val="0"/>
      <w:marRight w:val="0"/>
      <w:marTop w:val="0"/>
      <w:marBottom w:val="0"/>
      <w:divBdr>
        <w:top w:val="none" w:sz="0" w:space="0" w:color="auto"/>
        <w:left w:val="none" w:sz="0" w:space="0" w:color="auto"/>
        <w:bottom w:val="none" w:sz="0" w:space="0" w:color="auto"/>
        <w:right w:val="none" w:sz="0" w:space="0" w:color="auto"/>
      </w:divBdr>
      <w:divsChild>
        <w:div w:id="1642688470">
          <w:marLeft w:val="0"/>
          <w:marRight w:val="0"/>
          <w:marTop w:val="0"/>
          <w:marBottom w:val="0"/>
          <w:divBdr>
            <w:top w:val="none" w:sz="0" w:space="0" w:color="auto"/>
            <w:left w:val="none" w:sz="0" w:space="0" w:color="auto"/>
            <w:bottom w:val="none" w:sz="0" w:space="0" w:color="auto"/>
            <w:right w:val="none" w:sz="0" w:space="0" w:color="auto"/>
          </w:divBdr>
        </w:div>
      </w:divsChild>
    </w:div>
    <w:div w:id="388723152">
      <w:bodyDiv w:val="1"/>
      <w:marLeft w:val="0"/>
      <w:marRight w:val="0"/>
      <w:marTop w:val="0"/>
      <w:marBottom w:val="0"/>
      <w:divBdr>
        <w:top w:val="none" w:sz="0" w:space="0" w:color="auto"/>
        <w:left w:val="none" w:sz="0" w:space="0" w:color="auto"/>
        <w:bottom w:val="none" w:sz="0" w:space="0" w:color="auto"/>
        <w:right w:val="none" w:sz="0" w:space="0" w:color="auto"/>
      </w:divBdr>
    </w:div>
    <w:div w:id="395396819">
      <w:bodyDiv w:val="1"/>
      <w:marLeft w:val="0"/>
      <w:marRight w:val="0"/>
      <w:marTop w:val="0"/>
      <w:marBottom w:val="0"/>
      <w:divBdr>
        <w:top w:val="none" w:sz="0" w:space="0" w:color="auto"/>
        <w:left w:val="none" w:sz="0" w:space="0" w:color="auto"/>
        <w:bottom w:val="none" w:sz="0" w:space="0" w:color="auto"/>
        <w:right w:val="none" w:sz="0" w:space="0" w:color="auto"/>
      </w:divBdr>
    </w:div>
    <w:div w:id="418020857">
      <w:bodyDiv w:val="1"/>
      <w:marLeft w:val="0"/>
      <w:marRight w:val="0"/>
      <w:marTop w:val="0"/>
      <w:marBottom w:val="0"/>
      <w:divBdr>
        <w:top w:val="none" w:sz="0" w:space="0" w:color="auto"/>
        <w:left w:val="none" w:sz="0" w:space="0" w:color="auto"/>
        <w:bottom w:val="none" w:sz="0" w:space="0" w:color="auto"/>
        <w:right w:val="none" w:sz="0" w:space="0" w:color="auto"/>
      </w:divBdr>
    </w:div>
    <w:div w:id="505826754">
      <w:bodyDiv w:val="1"/>
      <w:marLeft w:val="0"/>
      <w:marRight w:val="0"/>
      <w:marTop w:val="0"/>
      <w:marBottom w:val="0"/>
      <w:divBdr>
        <w:top w:val="none" w:sz="0" w:space="0" w:color="auto"/>
        <w:left w:val="none" w:sz="0" w:space="0" w:color="auto"/>
        <w:bottom w:val="none" w:sz="0" w:space="0" w:color="auto"/>
        <w:right w:val="none" w:sz="0" w:space="0" w:color="auto"/>
      </w:divBdr>
    </w:div>
    <w:div w:id="559942262">
      <w:bodyDiv w:val="1"/>
      <w:marLeft w:val="0"/>
      <w:marRight w:val="0"/>
      <w:marTop w:val="0"/>
      <w:marBottom w:val="0"/>
      <w:divBdr>
        <w:top w:val="none" w:sz="0" w:space="0" w:color="auto"/>
        <w:left w:val="none" w:sz="0" w:space="0" w:color="auto"/>
        <w:bottom w:val="none" w:sz="0" w:space="0" w:color="auto"/>
        <w:right w:val="none" w:sz="0" w:space="0" w:color="auto"/>
      </w:divBdr>
    </w:div>
    <w:div w:id="571281459">
      <w:bodyDiv w:val="1"/>
      <w:marLeft w:val="0"/>
      <w:marRight w:val="0"/>
      <w:marTop w:val="0"/>
      <w:marBottom w:val="0"/>
      <w:divBdr>
        <w:top w:val="none" w:sz="0" w:space="0" w:color="auto"/>
        <w:left w:val="none" w:sz="0" w:space="0" w:color="auto"/>
        <w:bottom w:val="none" w:sz="0" w:space="0" w:color="auto"/>
        <w:right w:val="none" w:sz="0" w:space="0" w:color="auto"/>
      </w:divBdr>
    </w:div>
    <w:div w:id="847716317">
      <w:bodyDiv w:val="1"/>
      <w:marLeft w:val="0"/>
      <w:marRight w:val="0"/>
      <w:marTop w:val="0"/>
      <w:marBottom w:val="0"/>
      <w:divBdr>
        <w:top w:val="none" w:sz="0" w:space="0" w:color="auto"/>
        <w:left w:val="none" w:sz="0" w:space="0" w:color="auto"/>
        <w:bottom w:val="none" w:sz="0" w:space="0" w:color="auto"/>
        <w:right w:val="none" w:sz="0" w:space="0" w:color="auto"/>
      </w:divBdr>
      <w:divsChild>
        <w:div w:id="694501338">
          <w:marLeft w:val="547"/>
          <w:marRight w:val="0"/>
          <w:marTop w:val="0"/>
          <w:marBottom w:val="0"/>
          <w:divBdr>
            <w:top w:val="none" w:sz="0" w:space="0" w:color="auto"/>
            <w:left w:val="none" w:sz="0" w:space="0" w:color="auto"/>
            <w:bottom w:val="none" w:sz="0" w:space="0" w:color="auto"/>
            <w:right w:val="none" w:sz="0" w:space="0" w:color="auto"/>
          </w:divBdr>
        </w:div>
      </w:divsChild>
    </w:div>
    <w:div w:id="1044255625">
      <w:bodyDiv w:val="1"/>
      <w:marLeft w:val="0"/>
      <w:marRight w:val="0"/>
      <w:marTop w:val="0"/>
      <w:marBottom w:val="0"/>
      <w:divBdr>
        <w:top w:val="none" w:sz="0" w:space="0" w:color="auto"/>
        <w:left w:val="none" w:sz="0" w:space="0" w:color="auto"/>
        <w:bottom w:val="none" w:sz="0" w:space="0" w:color="auto"/>
        <w:right w:val="none" w:sz="0" w:space="0" w:color="auto"/>
      </w:divBdr>
    </w:div>
    <w:div w:id="1307929550">
      <w:bodyDiv w:val="1"/>
      <w:marLeft w:val="0"/>
      <w:marRight w:val="0"/>
      <w:marTop w:val="0"/>
      <w:marBottom w:val="0"/>
      <w:divBdr>
        <w:top w:val="none" w:sz="0" w:space="0" w:color="auto"/>
        <w:left w:val="none" w:sz="0" w:space="0" w:color="auto"/>
        <w:bottom w:val="none" w:sz="0" w:space="0" w:color="auto"/>
        <w:right w:val="none" w:sz="0" w:space="0" w:color="auto"/>
      </w:divBdr>
      <w:divsChild>
        <w:div w:id="1314064884">
          <w:marLeft w:val="547"/>
          <w:marRight w:val="0"/>
          <w:marTop w:val="0"/>
          <w:marBottom w:val="0"/>
          <w:divBdr>
            <w:top w:val="none" w:sz="0" w:space="0" w:color="auto"/>
            <w:left w:val="none" w:sz="0" w:space="0" w:color="auto"/>
            <w:bottom w:val="none" w:sz="0" w:space="0" w:color="auto"/>
            <w:right w:val="none" w:sz="0" w:space="0" w:color="auto"/>
          </w:divBdr>
        </w:div>
        <w:div w:id="1400984537">
          <w:marLeft w:val="547"/>
          <w:marRight w:val="0"/>
          <w:marTop w:val="0"/>
          <w:marBottom w:val="0"/>
          <w:divBdr>
            <w:top w:val="none" w:sz="0" w:space="0" w:color="auto"/>
            <w:left w:val="none" w:sz="0" w:space="0" w:color="auto"/>
            <w:bottom w:val="none" w:sz="0" w:space="0" w:color="auto"/>
            <w:right w:val="none" w:sz="0" w:space="0" w:color="auto"/>
          </w:divBdr>
        </w:div>
        <w:div w:id="1127041589">
          <w:marLeft w:val="547"/>
          <w:marRight w:val="0"/>
          <w:marTop w:val="0"/>
          <w:marBottom w:val="0"/>
          <w:divBdr>
            <w:top w:val="none" w:sz="0" w:space="0" w:color="auto"/>
            <w:left w:val="none" w:sz="0" w:space="0" w:color="auto"/>
            <w:bottom w:val="none" w:sz="0" w:space="0" w:color="auto"/>
            <w:right w:val="none" w:sz="0" w:space="0" w:color="auto"/>
          </w:divBdr>
        </w:div>
        <w:div w:id="2083216540">
          <w:marLeft w:val="547"/>
          <w:marRight w:val="0"/>
          <w:marTop w:val="0"/>
          <w:marBottom w:val="0"/>
          <w:divBdr>
            <w:top w:val="none" w:sz="0" w:space="0" w:color="auto"/>
            <w:left w:val="none" w:sz="0" w:space="0" w:color="auto"/>
            <w:bottom w:val="none" w:sz="0" w:space="0" w:color="auto"/>
            <w:right w:val="none" w:sz="0" w:space="0" w:color="auto"/>
          </w:divBdr>
        </w:div>
        <w:div w:id="1571622615">
          <w:marLeft w:val="547"/>
          <w:marRight w:val="0"/>
          <w:marTop w:val="0"/>
          <w:marBottom w:val="0"/>
          <w:divBdr>
            <w:top w:val="none" w:sz="0" w:space="0" w:color="auto"/>
            <w:left w:val="none" w:sz="0" w:space="0" w:color="auto"/>
            <w:bottom w:val="none" w:sz="0" w:space="0" w:color="auto"/>
            <w:right w:val="none" w:sz="0" w:space="0" w:color="auto"/>
          </w:divBdr>
        </w:div>
      </w:divsChild>
    </w:div>
    <w:div w:id="1466655603">
      <w:bodyDiv w:val="1"/>
      <w:marLeft w:val="0"/>
      <w:marRight w:val="0"/>
      <w:marTop w:val="0"/>
      <w:marBottom w:val="0"/>
      <w:divBdr>
        <w:top w:val="none" w:sz="0" w:space="0" w:color="auto"/>
        <w:left w:val="none" w:sz="0" w:space="0" w:color="auto"/>
        <w:bottom w:val="none" w:sz="0" w:space="0" w:color="auto"/>
        <w:right w:val="none" w:sz="0" w:space="0" w:color="auto"/>
      </w:divBdr>
    </w:div>
    <w:div w:id="1539510251">
      <w:bodyDiv w:val="1"/>
      <w:marLeft w:val="0"/>
      <w:marRight w:val="0"/>
      <w:marTop w:val="0"/>
      <w:marBottom w:val="0"/>
      <w:divBdr>
        <w:top w:val="none" w:sz="0" w:space="0" w:color="auto"/>
        <w:left w:val="none" w:sz="0" w:space="0" w:color="auto"/>
        <w:bottom w:val="none" w:sz="0" w:space="0" w:color="auto"/>
        <w:right w:val="none" w:sz="0" w:space="0" w:color="auto"/>
      </w:divBdr>
    </w:div>
    <w:div w:id="1737623493">
      <w:bodyDiv w:val="1"/>
      <w:marLeft w:val="0"/>
      <w:marRight w:val="0"/>
      <w:marTop w:val="0"/>
      <w:marBottom w:val="0"/>
      <w:divBdr>
        <w:top w:val="none" w:sz="0" w:space="0" w:color="auto"/>
        <w:left w:val="none" w:sz="0" w:space="0" w:color="auto"/>
        <w:bottom w:val="none" w:sz="0" w:space="0" w:color="auto"/>
        <w:right w:val="none" w:sz="0" w:space="0" w:color="auto"/>
      </w:divBdr>
    </w:div>
    <w:div w:id="1760756440">
      <w:bodyDiv w:val="1"/>
      <w:marLeft w:val="0"/>
      <w:marRight w:val="0"/>
      <w:marTop w:val="0"/>
      <w:marBottom w:val="0"/>
      <w:divBdr>
        <w:top w:val="none" w:sz="0" w:space="0" w:color="auto"/>
        <w:left w:val="none" w:sz="0" w:space="0" w:color="auto"/>
        <w:bottom w:val="none" w:sz="0" w:space="0" w:color="auto"/>
        <w:right w:val="none" w:sz="0" w:space="0" w:color="auto"/>
      </w:divBdr>
      <w:divsChild>
        <w:div w:id="1935287886">
          <w:marLeft w:val="547"/>
          <w:marRight w:val="0"/>
          <w:marTop w:val="0"/>
          <w:marBottom w:val="0"/>
          <w:divBdr>
            <w:top w:val="none" w:sz="0" w:space="0" w:color="auto"/>
            <w:left w:val="none" w:sz="0" w:space="0" w:color="auto"/>
            <w:bottom w:val="none" w:sz="0" w:space="0" w:color="auto"/>
            <w:right w:val="none" w:sz="0" w:space="0" w:color="auto"/>
          </w:divBdr>
        </w:div>
        <w:div w:id="1921718769">
          <w:marLeft w:val="547"/>
          <w:marRight w:val="0"/>
          <w:marTop w:val="0"/>
          <w:marBottom w:val="0"/>
          <w:divBdr>
            <w:top w:val="none" w:sz="0" w:space="0" w:color="auto"/>
            <w:left w:val="none" w:sz="0" w:space="0" w:color="auto"/>
            <w:bottom w:val="none" w:sz="0" w:space="0" w:color="auto"/>
            <w:right w:val="none" w:sz="0" w:space="0" w:color="auto"/>
          </w:divBdr>
        </w:div>
        <w:div w:id="1359043718">
          <w:marLeft w:val="547"/>
          <w:marRight w:val="0"/>
          <w:marTop w:val="0"/>
          <w:marBottom w:val="0"/>
          <w:divBdr>
            <w:top w:val="none" w:sz="0" w:space="0" w:color="auto"/>
            <w:left w:val="none" w:sz="0" w:space="0" w:color="auto"/>
            <w:bottom w:val="none" w:sz="0" w:space="0" w:color="auto"/>
            <w:right w:val="none" w:sz="0" w:space="0" w:color="auto"/>
          </w:divBdr>
        </w:div>
        <w:div w:id="2090039324">
          <w:marLeft w:val="547"/>
          <w:marRight w:val="0"/>
          <w:marTop w:val="0"/>
          <w:marBottom w:val="0"/>
          <w:divBdr>
            <w:top w:val="none" w:sz="0" w:space="0" w:color="auto"/>
            <w:left w:val="none" w:sz="0" w:space="0" w:color="auto"/>
            <w:bottom w:val="none" w:sz="0" w:space="0" w:color="auto"/>
            <w:right w:val="none" w:sz="0" w:space="0" w:color="auto"/>
          </w:divBdr>
        </w:div>
        <w:div w:id="1022974223">
          <w:marLeft w:val="547"/>
          <w:marRight w:val="0"/>
          <w:marTop w:val="0"/>
          <w:marBottom w:val="0"/>
          <w:divBdr>
            <w:top w:val="none" w:sz="0" w:space="0" w:color="auto"/>
            <w:left w:val="none" w:sz="0" w:space="0" w:color="auto"/>
            <w:bottom w:val="none" w:sz="0" w:space="0" w:color="auto"/>
            <w:right w:val="none" w:sz="0" w:space="0" w:color="auto"/>
          </w:divBdr>
        </w:div>
        <w:div w:id="1522086184">
          <w:marLeft w:val="547"/>
          <w:marRight w:val="0"/>
          <w:marTop w:val="0"/>
          <w:marBottom w:val="0"/>
          <w:divBdr>
            <w:top w:val="none" w:sz="0" w:space="0" w:color="auto"/>
            <w:left w:val="none" w:sz="0" w:space="0" w:color="auto"/>
            <w:bottom w:val="none" w:sz="0" w:space="0" w:color="auto"/>
            <w:right w:val="none" w:sz="0" w:space="0" w:color="auto"/>
          </w:divBdr>
        </w:div>
        <w:div w:id="633828226">
          <w:marLeft w:val="547"/>
          <w:marRight w:val="0"/>
          <w:marTop w:val="0"/>
          <w:marBottom w:val="0"/>
          <w:divBdr>
            <w:top w:val="none" w:sz="0" w:space="0" w:color="auto"/>
            <w:left w:val="none" w:sz="0" w:space="0" w:color="auto"/>
            <w:bottom w:val="none" w:sz="0" w:space="0" w:color="auto"/>
            <w:right w:val="none" w:sz="0" w:space="0" w:color="auto"/>
          </w:divBdr>
        </w:div>
      </w:divsChild>
    </w:div>
    <w:div w:id="1801997828">
      <w:bodyDiv w:val="1"/>
      <w:marLeft w:val="0"/>
      <w:marRight w:val="0"/>
      <w:marTop w:val="0"/>
      <w:marBottom w:val="0"/>
      <w:divBdr>
        <w:top w:val="none" w:sz="0" w:space="0" w:color="auto"/>
        <w:left w:val="none" w:sz="0" w:space="0" w:color="auto"/>
        <w:bottom w:val="none" w:sz="0" w:space="0" w:color="auto"/>
        <w:right w:val="none" w:sz="0" w:space="0" w:color="auto"/>
      </w:divBdr>
    </w:div>
    <w:div w:id="1908416789">
      <w:bodyDiv w:val="1"/>
      <w:marLeft w:val="0"/>
      <w:marRight w:val="0"/>
      <w:marTop w:val="0"/>
      <w:marBottom w:val="0"/>
      <w:divBdr>
        <w:top w:val="none" w:sz="0" w:space="0" w:color="auto"/>
        <w:left w:val="none" w:sz="0" w:space="0" w:color="auto"/>
        <w:bottom w:val="none" w:sz="0" w:space="0" w:color="auto"/>
        <w:right w:val="none" w:sz="0" w:space="0" w:color="auto"/>
      </w:divBdr>
    </w:div>
    <w:div w:id="1909803821">
      <w:bodyDiv w:val="1"/>
      <w:marLeft w:val="0"/>
      <w:marRight w:val="0"/>
      <w:marTop w:val="0"/>
      <w:marBottom w:val="0"/>
      <w:divBdr>
        <w:top w:val="none" w:sz="0" w:space="0" w:color="auto"/>
        <w:left w:val="none" w:sz="0" w:space="0" w:color="auto"/>
        <w:bottom w:val="none" w:sz="0" w:space="0" w:color="auto"/>
        <w:right w:val="none" w:sz="0" w:space="0" w:color="auto"/>
      </w:divBdr>
    </w:div>
    <w:div w:id="1979069541">
      <w:bodyDiv w:val="1"/>
      <w:marLeft w:val="0"/>
      <w:marRight w:val="0"/>
      <w:marTop w:val="0"/>
      <w:marBottom w:val="0"/>
      <w:divBdr>
        <w:top w:val="none" w:sz="0" w:space="0" w:color="auto"/>
        <w:left w:val="none" w:sz="0" w:space="0" w:color="auto"/>
        <w:bottom w:val="none" w:sz="0" w:space="0" w:color="auto"/>
        <w:right w:val="none" w:sz="0" w:space="0" w:color="auto"/>
      </w:divBdr>
    </w:div>
    <w:div w:id="1994333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13E46-9B75-468B-853C-C7398951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3</cp:revision>
  <cp:lastPrinted>2024-08-21T06:15:00Z</cp:lastPrinted>
  <dcterms:created xsi:type="dcterms:W3CDTF">2025-06-16T07:11:00Z</dcterms:created>
  <dcterms:modified xsi:type="dcterms:W3CDTF">2025-06-16T07:32:00Z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