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3CA5" w14:textId="03279A8B" w:rsidR="00D01219" w:rsidRPr="000F28E2" w:rsidRDefault="00F0003F" w:rsidP="000F28E2">
      <w:pPr>
        <w:autoSpaceDE/>
        <w:autoSpaceDN/>
        <w:spacing w:beforeLines="50" w:before="120" w:afterLines="50" w:after="120" w:line="400" w:lineRule="exact"/>
        <w:jc w:val="both"/>
        <w:rPr>
          <w:rFonts w:ascii="宋体" w:eastAsia="宋体" w:hAnsi="宋体" w:cs="Times New Roman"/>
          <w:bCs/>
          <w:iCs/>
          <w:color w:val="000000"/>
          <w:kern w:val="2"/>
          <w:sz w:val="24"/>
          <w:szCs w:val="20"/>
          <w:lang w:val="en-US" w:bidi="ar-SA"/>
        </w:rPr>
      </w:pPr>
      <w:r w:rsidRPr="000F28E2">
        <w:rPr>
          <w:rFonts w:ascii="宋体" w:eastAsia="宋体" w:hAnsi="宋体" w:cs="Times New Roman" w:hint="eastAsia"/>
          <w:bCs/>
          <w:iCs/>
          <w:color w:val="000000"/>
          <w:kern w:val="2"/>
          <w:sz w:val="24"/>
          <w:szCs w:val="20"/>
          <w:lang w:val="en-US" w:bidi="ar-SA"/>
        </w:rPr>
        <w:t xml:space="preserve">证券代码：688287                </w:t>
      </w:r>
      <w:r w:rsidR="000F28E2">
        <w:rPr>
          <w:rFonts w:ascii="宋体" w:eastAsia="宋体" w:hAnsi="宋体" w:cs="Times New Roman"/>
          <w:bCs/>
          <w:iCs/>
          <w:color w:val="000000"/>
          <w:kern w:val="2"/>
          <w:sz w:val="24"/>
          <w:szCs w:val="20"/>
          <w:lang w:val="en-US" w:bidi="ar-SA"/>
        </w:rPr>
        <w:t xml:space="preserve">      </w:t>
      </w:r>
      <w:r w:rsidRPr="000F28E2">
        <w:rPr>
          <w:rFonts w:ascii="宋体" w:eastAsia="宋体" w:hAnsi="宋体" w:cs="Times New Roman" w:hint="eastAsia"/>
          <w:bCs/>
          <w:iCs/>
          <w:color w:val="000000"/>
          <w:kern w:val="2"/>
          <w:sz w:val="24"/>
          <w:szCs w:val="20"/>
          <w:lang w:val="en-US" w:bidi="ar-SA"/>
        </w:rPr>
        <w:t xml:space="preserve">             证券简称：</w:t>
      </w:r>
      <w:r w:rsidR="00267659" w:rsidRPr="00267659">
        <w:rPr>
          <w:rFonts w:ascii="宋体" w:eastAsia="宋体" w:hAnsi="宋体" w:cs="Times New Roman" w:hint="eastAsia"/>
          <w:bCs/>
          <w:iCs/>
          <w:color w:val="000000"/>
          <w:kern w:val="2"/>
          <w:sz w:val="24"/>
          <w:szCs w:val="20"/>
          <w:lang w:val="en-US" w:bidi="ar-SA"/>
        </w:rPr>
        <w:t>*ST观典</w:t>
      </w:r>
    </w:p>
    <w:p w14:paraId="202185B2" w14:textId="77777777" w:rsidR="000F28E2" w:rsidRDefault="000F28E2" w:rsidP="000F28E2">
      <w:pPr>
        <w:autoSpaceDE/>
        <w:autoSpaceDN/>
        <w:spacing w:line="360" w:lineRule="auto"/>
        <w:jc w:val="center"/>
        <w:rPr>
          <w:rFonts w:ascii="宋体" w:eastAsia="宋体" w:hAnsi="宋体" w:cs="Times New Roman"/>
          <w:b/>
          <w:bCs/>
          <w:iCs/>
          <w:color w:val="000000"/>
          <w:kern w:val="2"/>
          <w:sz w:val="32"/>
          <w:szCs w:val="32"/>
          <w:lang w:val="en-US" w:bidi="ar-SA"/>
        </w:rPr>
      </w:pPr>
    </w:p>
    <w:p w14:paraId="4112CBF7" w14:textId="77777777" w:rsidR="00D01219" w:rsidRDefault="00F0003F" w:rsidP="000F28E2">
      <w:pPr>
        <w:autoSpaceDE/>
        <w:autoSpaceDN/>
        <w:spacing w:line="360" w:lineRule="auto"/>
        <w:jc w:val="center"/>
        <w:rPr>
          <w:rFonts w:ascii="宋体" w:eastAsia="宋体" w:hAnsi="宋体" w:cs="Times New Roman"/>
          <w:b/>
          <w:bCs/>
          <w:iCs/>
          <w:color w:val="000000"/>
          <w:kern w:val="2"/>
          <w:sz w:val="32"/>
          <w:szCs w:val="32"/>
          <w:lang w:val="en-US" w:bidi="ar-SA"/>
        </w:rPr>
      </w:pPr>
      <w:r w:rsidRPr="000F28E2">
        <w:rPr>
          <w:rFonts w:ascii="宋体" w:eastAsia="宋体" w:hAnsi="宋体" w:cs="Times New Roman" w:hint="eastAsia"/>
          <w:b/>
          <w:bCs/>
          <w:iCs/>
          <w:color w:val="000000"/>
          <w:kern w:val="2"/>
          <w:sz w:val="32"/>
          <w:szCs w:val="32"/>
          <w:lang w:val="en-US" w:bidi="ar-SA"/>
        </w:rPr>
        <w:t>观典防务投资者关系活动记录表</w:t>
      </w:r>
    </w:p>
    <w:p w14:paraId="4E9D4AFF" w14:textId="27C8E41E" w:rsidR="00D01219" w:rsidRPr="000F28E2" w:rsidRDefault="00F0003F" w:rsidP="003C2949">
      <w:pPr>
        <w:autoSpaceDE/>
        <w:autoSpaceDN/>
        <w:spacing w:line="400" w:lineRule="exact"/>
        <w:ind w:rightChars="-24" w:right="-53"/>
        <w:jc w:val="right"/>
        <w:rPr>
          <w:rFonts w:ascii="宋体" w:eastAsia="宋体" w:hAnsi="宋体" w:cs="Times New Roman"/>
          <w:bCs/>
          <w:iCs/>
          <w:color w:val="000000"/>
          <w:kern w:val="2"/>
          <w:sz w:val="24"/>
          <w:szCs w:val="20"/>
          <w:lang w:val="en-US" w:bidi="ar-SA"/>
        </w:rPr>
      </w:pPr>
      <w:r w:rsidRPr="000F28E2">
        <w:rPr>
          <w:rFonts w:ascii="宋体" w:eastAsia="宋体" w:hAnsi="宋体" w:cs="Times New Roman" w:hint="eastAsia"/>
          <w:bCs/>
          <w:iCs/>
          <w:color w:val="000000"/>
          <w:kern w:val="2"/>
          <w:sz w:val="24"/>
          <w:szCs w:val="20"/>
          <w:lang w:val="en-US" w:bidi="ar-SA"/>
        </w:rPr>
        <w:t>编号：</w:t>
      </w:r>
      <w:r w:rsidR="00267659">
        <w:rPr>
          <w:rFonts w:ascii="宋体" w:eastAsia="宋体" w:hAnsi="宋体" w:cs="Times New Roman" w:hint="eastAsia"/>
          <w:bCs/>
          <w:iCs/>
          <w:color w:val="000000"/>
          <w:kern w:val="2"/>
          <w:sz w:val="24"/>
          <w:szCs w:val="20"/>
          <w:lang w:val="en-US" w:bidi="ar-SA"/>
        </w:rPr>
        <w:t>202</w:t>
      </w:r>
      <w:r w:rsidR="00267659">
        <w:rPr>
          <w:rFonts w:ascii="宋体" w:eastAsia="宋体" w:hAnsi="宋体" w:cs="Times New Roman"/>
          <w:bCs/>
          <w:iCs/>
          <w:color w:val="000000"/>
          <w:kern w:val="2"/>
          <w:sz w:val="24"/>
          <w:szCs w:val="20"/>
          <w:lang w:val="en-US" w:bidi="ar-SA"/>
        </w:rPr>
        <w:t>5</w:t>
      </w:r>
      <w:r w:rsidR="000F28E2" w:rsidRPr="000F28E2">
        <w:rPr>
          <w:rFonts w:ascii="宋体" w:eastAsia="宋体" w:hAnsi="宋体" w:cs="Times New Roman"/>
          <w:bCs/>
          <w:iCs/>
          <w:color w:val="000000"/>
          <w:kern w:val="2"/>
          <w:sz w:val="24"/>
          <w:szCs w:val="20"/>
          <w:lang w:val="en-US" w:bidi="ar-SA"/>
        </w:rPr>
        <w:t>-</w:t>
      </w:r>
      <w:r w:rsidR="00267659">
        <w:rPr>
          <w:rFonts w:ascii="宋体" w:eastAsia="宋体" w:hAnsi="宋体" w:cs="Times New Roman"/>
          <w:bCs/>
          <w:iCs/>
          <w:color w:val="000000"/>
          <w:kern w:val="2"/>
          <w:sz w:val="24"/>
          <w:szCs w:val="20"/>
          <w:lang w:val="en-US" w:bidi="ar-SA"/>
        </w:rPr>
        <w:t>001</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701"/>
        <w:gridCol w:w="7371"/>
      </w:tblGrid>
      <w:tr w:rsidR="00D01219" w14:paraId="0D4C6310" w14:textId="77777777" w:rsidTr="006D393E">
        <w:trPr>
          <w:trHeight w:val="1052"/>
          <w:jc w:val="center"/>
        </w:trPr>
        <w:tc>
          <w:tcPr>
            <w:tcW w:w="1701" w:type="dxa"/>
            <w:vAlign w:val="center"/>
          </w:tcPr>
          <w:p w14:paraId="04A79CE4" w14:textId="77777777" w:rsidR="006D393E" w:rsidRDefault="00F0003F" w:rsidP="000F28E2">
            <w:pPr>
              <w:pStyle w:val="TableParagraph"/>
              <w:spacing w:before="1"/>
              <w:jc w:val="center"/>
              <w:rPr>
                <w:rFonts w:ascii="宋体" w:eastAsia="宋体" w:hAnsi="宋体" w:cs="宋体"/>
                <w:b/>
                <w:bCs/>
                <w:sz w:val="24"/>
                <w:szCs w:val="24"/>
              </w:rPr>
            </w:pPr>
            <w:r w:rsidRPr="000F28E2">
              <w:rPr>
                <w:rFonts w:ascii="宋体" w:eastAsia="宋体" w:hAnsi="宋体" w:cs="宋体" w:hint="eastAsia"/>
                <w:b/>
                <w:bCs/>
                <w:sz w:val="24"/>
                <w:szCs w:val="24"/>
              </w:rPr>
              <w:t>投资者关系</w:t>
            </w:r>
          </w:p>
          <w:p w14:paraId="0352F9E6" w14:textId="3F06D85F" w:rsidR="00D01219" w:rsidRPr="000F28E2" w:rsidRDefault="00F0003F" w:rsidP="000F28E2">
            <w:pPr>
              <w:pStyle w:val="TableParagraph"/>
              <w:spacing w:before="1"/>
              <w:jc w:val="center"/>
              <w:rPr>
                <w:rFonts w:ascii="宋体" w:eastAsia="宋体" w:hAnsi="宋体" w:cs="宋体"/>
                <w:b/>
                <w:bCs/>
                <w:sz w:val="24"/>
                <w:szCs w:val="24"/>
              </w:rPr>
            </w:pPr>
            <w:r w:rsidRPr="000F28E2">
              <w:rPr>
                <w:rFonts w:ascii="宋体" w:eastAsia="宋体" w:hAnsi="宋体" w:cs="宋体" w:hint="eastAsia"/>
                <w:b/>
                <w:bCs/>
                <w:sz w:val="24"/>
                <w:szCs w:val="24"/>
              </w:rPr>
              <w:t>活动类别</w:t>
            </w:r>
          </w:p>
        </w:tc>
        <w:tc>
          <w:tcPr>
            <w:tcW w:w="7371" w:type="dxa"/>
            <w:vAlign w:val="center"/>
          </w:tcPr>
          <w:p w14:paraId="21499731" w14:textId="15A36F96" w:rsidR="000F28E2" w:rsidRPr="000F28E2" w:rsidRDefault="000F28E2" w:rsidP="000F28E2">
            <w:pPr>
              <w:autoSpaceDE/>
              <w:autoSpaceDN/>
              <w:spacing w:line="360" w:lineRule="auto"/>
              <w:jc w:val="both"/>
              <w:rPr>
                <w:rFonts w:ascii="宋体" w:eastAsia="宋体" w:hAnsi="宋体" w:cs="Times New Roman"/>
                <w:bCs/>
                <w:iCs/>
                <w:color w:val="000000"/>
                <w:kern w:val="2"/>
                <w:sz w:val="24"/>
                <w:szCs w:val="24"/>
                <w:lang w:val="en-US" w:bidi="ar-SA"/>
              </w:rPr>
            </w:pPr>
            <w:r w:rsidRPr="000F28E2">
              <w:rPr>
                <w:rFonts w:ascii="宋体" w:eastAsia="宋体" w:hAnsi="宋体" w:cs="Times New Roman" w:hint="eastAsia"/>
                <w:bCs/>
                <w:iCs/>
                <w:color w:val="000000"/>
                <w:kern w:val="2"/>
                <w:sz w:val="24"/>
                <w:szCs w:val="24"/>
                <w:lang w:val="en-US" w:bidi="ar-SA"/>
              </w:rPr>
              <w:t>□</w:t>
            </w:r>
            <w:r w:rsidRPr="000F28E2">
              <w:rPr>
                <w:rFonts w:ascii="宋体" w:eastAsia="宋体" w:hAnsi="宋体" w:cs="Times New Roman" w:hint="eastAsia"/>
                <w:kern w:val="2"/>
                <w:sz w:val="24"/>
                <w:szCs w:val="24"/>
                <w:lang w:val="en-US" w:bidi="ar-SA"/>
              </w:rPr>
              <w:t xml:space="preserve">特定对象调研    </w:t>
            </w:r>
            <w:r w:rsidRPr="000F28E2">
              <w:rPr>
                <w:rFonts w:ascii="宋体" w:eastAsia="宋体" w:hAnsi="宋体" w:cs="Times New Roman" w:hint="eastAsia"/>
                <w:bCs/>
                <w:iCs/>
                <w:color w:val="000000"/>
                <w:kern w:val="2"/>
                <w:sz w:val="24"/>
                <w:szCs w:val="24"/>
                <w:lang w:val="en-US" w:bidi="ar-SA"/>
              </w:rPr>
              <w:t>□分析师会议    □媒体采访</w:t>
            </w:r>
            <w:r w:rsidR="006D393E">
              <w:rPr>
                <w:rFonts w:ascii="宋体" w:eastAsia="宋体" w:hAnsi="宋体" w:cs="Times New Roman" w:hint="eastAsia"/>
                <w:bCs/>
                <w:iCs/>
                <w:color w:val="000000"/>
                <w:kern w:val="2"/>
                <w:sz w:val="24"/>
                <w:szCs w:val="24"/>
                <w:lang w:val="en-US" w:bidi="ar-SA"/>
              </w:rPr>
              <w:t xml:space="preserve">   </w:t>
            </w:r>
            <w:r w:rsidRPr="000F28E2">
              <w:rPr>
                <w:rFonts w:ascii="宋体" w:eastAsia="宋体" w:hAnsi="宋体" w:cs="Times New Roman" w:hint="eastAsia"/>
                <w:bCs/>
                <w:iCs/>
                <w:color w:val="000000"/>
                <w:kern w:val="2"/>
                <w:sz w:val="24"/>
                <w:szCs w:val="24"/>
                <w:lang w:val="en-US" w:bidi="ar-SA"/>
              </w:rPr>
              <w:t xml:space="preserve"> ■业绩说明会</w:t>
            </w:r>
          </w:p>
          <w:p w14:paraId="1F39F3D8" w14:textId="2B282B03" w:rsidR="00D01219" w:rsidRPr="000F28E2" w:rsidRDefault="000F28E2" w:rsidP="000F28E2">
            <w:pPr>
              <w:pStyle w:val="TableParagraph"/>
              <w:rPr>
                <w:rFonts w:ascii="宋体" w:eastAsia="宋体" w:hAnsi="宋体" w:cs="宋体"/>
                <w:sz w:val="24"/>
                <w:szCs w:val="24"/>
              </w:rPr>
            </w:pPr>
            <w:r w:rsidRPr="000F28E2">
              <w:rPr>
                <w:rFonts w:ascii="宋体" w:eastAsia="宋体" w:hAnsi="宋体" w:cs="Times New Roman" w:hint="eastAsia"/>
                <w:bCs/>
                <w:iCs/>
                <w:color w:val="000000"/>
                <w:kern w:val="2"/>
                <w:sz w:val="24"/>
                <w:szCs w:val="24"/>
                <w:lang w:val="en-US" w:bidi="ar-SA"/>
              </w:rPr>
              <w:t>□新闻发布会      □</w:t>
            </w:r>
            <w:r w:rsidRPr="000F28E2">
              <w:rPr>
                <w:rFonts w:ascii="宋体" w:eastAsia="宋体" w:hAnsi="宋体" w:cs="Times New Roman" w:hint="eastAsia"/>
                <w:kern w:val="2"/>
                <w:sz w:val="24"/>
                <w:szCs w:val="24"/>
                <w:lang w:val="en-US" w:bidi="ar-SA"/>
              </w:rPr>
              <w:t xml:space="preserve">路演活动      </w:t>
            </w:r>
            <w:r w:rsidRPr="000F28E2">
              <w:rPr>
                <w:rFonts w:ascii="宋体" w:eastAsia="宋体" w:hAnsi="宋体" w:cs="Times New Roman" w:hint="eastAsia"/>
                <w:bCs/>
                <w:iCs/>
                <w:color w:val="000000"/>
                <w:kern w:val="2"/>
                <w:sz w:val="24"/>
                <w:szCs w:val="24"/>
                <w:lang w:val="en-US" w:bidi="ar-SA"/>
              </w:rPr>
              <w:t>□</w:t>
            </w:r>
            <w:r w:rsidRPr="000F28E2">
              <w:rPr>
                <w:rFonts w:ascii="宋体" w:eastAsia="宋体" w:hAnsi="宋体" w:cs="Times New Roman" w:hint="eastAsia"/>
                <w:kern w:val="2"/>
                <w:sz w:val="24"/>
                <w:szCs w:val="24"/>
                <w:lang w:val="en-US" w:bidi="ar-SA"/>
              </w:rPr>
              <w:t>现场参观</w:t>
            </w:r>
            <w:r w:rsidR="006D393E">
              <w:rPr>
                <w:rFonts w:ascii="宋体" w:eastAsia="宋体" w:hAnsi="宋体" w:cs="Times New Roman" w:hint="eastAsia"/>
                <w:kern w:val="2"/>
                <w:sz w:val="24"/>
                <w:szCs w:val="24"/>
                <w:lang w:val="en-US" w:bidi="ar-SA"/>
              </w:rPr>
              <w:t xml:space="preserve">    </w:t>
            </w:r>
            <w:r w:rsidRPr="000F28E2">
              <w:rPr>
                <w:rFonts w:ascii="宋体" w:eastAsia="宋体" w:hAnsi="宋体" w:cs="Times New Roman" w:hint="eastAsia"/>
                <w:bCs/>
                <w:iCs/>
                <w:color w:val="000000"/>
                <w:kern w:val="2"/>
                <w:sz w:val="24"/>
                <w:szCs w:val="24"/>
                <w:lang w:val="en-US" w:bidi="ar-SA"/>
              </w:rPr>
              <w:t>□</w:t>
            </w:r>
            <w:r w:rsidRPr="000F28E2">
              <w:rPr>
                <w:rFonts w:ascii="宋体" w:eastAsia="宋体" w:hAnsi="宋体" w:cs="Times New Roman" w:hint="eastAsia"/>
                <w:kern w:val="2"/>
                <w:sz w:val="24"/>
                <w:szCs w:val="24"/>
                <w:lang w:val="en-US" w:bidi="ar-SA"/>
              </w:rPr>
              <w:t>其他</w:t>
            </w:r>
          </w:p>
        </w:tc>
      </w:tr>
      <w:tr w:rsidR="00D01219" w14:paraId="22DC53B4" w14:textId="77777777" w:rsidTr="00267659">
        <w:trPr>
          <w:trHeight w:val="902"/>
          <w:jc w:val="center"/>
        </w:trPr>
        <w:tc>
          <w:tcPr>
            <w:tcW w:w="1701" w:type="dxa"/>
            <w:vAlign w:val="center"/>
          </w:tcPr>
          <w:p w14:paraId="46811C20" w14:textId="77777777" w:rsidR="00D01219" w:rsidRPr="00C569C5" w:rsidRDefault="00F0003F" w:rsidP="000F28E2">
            <w:pPr>
              <w:pStyle w:val="TableParagraph"/>
              <w:ind w:right="96"/>
              <w:jc w:val="center"/>
              <w:rPr>
                <w:rFonts w:ascii="宋体" w:eastAsia="宋体" w:hAnsi="宋体" w:cs="宋体"/>
                <w:b/>
                <w:bCs/>
                <w:sz w:val="24"/>
                <w:szCs w:val="24"/>
              </w:rPr>
            </w:pPr>
            <w:r w:rsidRPr="00C569C5">
              <w:rPr>
                <w:rFonts w:ascii="宋体" w:eastAsia="宋体" w:hAnsi="宋体" w:cs="宋体" w:hint="eastAsia"/>
                <w:b/>
                <w:bCs/>
                <w:sz w:val="24"/>
                <w:szCs w:val="24"/>
              </w:rPr>
              <w:t>参与单位名称及人员姓名</w:t>
            </w:r>
          </w:p>
        </w:tc>
        <w:tc>
          <w:tcPr>
            <w:tcW w:w="7371" w:type="dxa"/>
            <w:vAlign w:val="center"/>
          </w:tcPr>
          <w:p w14:paraId="6220E41F" w14:textId="579D3494" w:rsidR="00D01219" w:rsidRPr="00C569C5" w:rsidRDefault="00267659" w:rsidP="000E3FE5">
            <w:pPr>
              <w:pStyle w:val="TableParagraph"/>
              <w:rPr>
                <w:rFonts w:asciiTheme="minorEastAsia" w:eastAsiaTheme="minorEastAsia" w:hAnsiTheme="minorEastAsia" w:cs="宋体"/>
                <w:sz w:val="24"/>
                <w:szCs w:val="24"/>
              </w:rPr>
            </w:pPr>
            <w:r w:rsidRPr="00267659">
              <w:rPr>
                <w:rFonts w:ascii="宋体" w:eastAsia="宋体" w:hAnsi="宋体" w:cs="宋体" w:hint="eastAsia"/>
                <w:color w:val="000000"/>
                <w:sz w:val="24"/>
                <w:szCs w:val="24"/>
                <w:lang w:val="en-US" w:bidi="ar"/>
              </w:rPr>
              <w:t>线上参与公司</w:t>
            </w:r>
            <w:r w:rsidRPr="00267659">
              <w:rPr>
                <w:rFonts w:ascii="宋体" w:eastAsia="宋体" w:hAnsi="宋体" w:cs="宋体"/>
                <w:color w:val="000000"/>
                <w:sz w:val="24"/>
                <w:szCs w:val="24"/>
                <w:lang w:val="en-US" w:bidi="ar"/>
              </w:rPr>
              <w:t>2024年度业绩说明会的投资者</w:t>
            </w:r>
          </w:p>
        </w:tc>
      </w:tr>
      <w:tr w:rsidR="00D01219" w14:paraId="7637ACCD" w14:textId="77777777" w:rsidTr="006D393E">
        <w:trPr>
          <w:trHeight w:val="558"/>
          <w:jc w:val="center"/>
        </w:trPr>
        <w:tc>
          <w:tcPr>
            <w:tcW w:w="1701" w:type="dxa"/>
            <w:vAlign w:val="center"/>
          </w:tcPr>
          <w:p w14:paraId="7983DD14" w14:textId="77777777" w:rsidR="00D01219" w:rsidRPr="000F28E2" w:rsidRDefault="00F0003F" w:rsidP="000F28E2">
            <w:pPr>
              <w:pStyle w:val="TableParagraph"/>
              <w:jc w:val="center"/>
              <w:rPr>
                <w:rFonts w:ascii="宋体" w:eastAsia="宋体" w:hAnsi="宋体" w:cs="宋体"/>
                <w:b/>
                <w:bCs/>
                <w:sz w:val="24"/>
                <w:szCs w:val="24"/>
              </w:rPr>
            </w:pPr>
            <w:r w:rsidRPr="000F28E2">
              <w:rPr>
                <w:rFonts w:ascii="宋体" w:eastAsia="宋体" w:hAnsi="宋体" w:cs="宋体" w:hint="eastAsia"/>
                <w:b/>
                <w:bCs/>
                <w:sz w:val="24"/>
                <w:szCs w:val="24"/>
              </w:rPr>
              <w:t>时间</w:t>
            </w:r>
          </w:p>
        </w:tc>
        <w:tc>
          <w:tcPr>
            <w:tcW w:w="7371" w:type="dxa"/>
            <w:vAlign w:val="center"/>
          </w:tcPr>
          <w:p w14:paraId="52C54D6A" w14:textId="0F1C0609" w:rsidR="00D01219" w:rsidRPr="00BF3050" w:rsidRDefault="00267659" w:rsidP="00BF3050">
            <w:pPr>
              <w:rPr>
                <w:rFonts w:ascii="宋体" w:eastAsia="宋体" w:hAnsi="宋体"/>
                <w:sz w:val="24"/>
                <w:szCs w:val="24"/>
              </w:rPr>
            </w:pPr>
            <w:r w:rsidRPr="00267659">
              <w:rPr>
                <w:rFonts w:ascii="宋体" w:eastAsia="宋体" w:hAnsi="宋体" w:cstheme="minorEastAsia"/>
                <w:sz w:val="24"/>
                <w:szCs w:val="24"/>
              </w:rPr>
              <w:t>2025年06月18日 15:00-16:00</w:t>
            </w:r>
          </w:p>
        </w:tc>
      </w:tr>
      <w:tr w:rsidR="00D01219" w14:paraId="57509739" w14:textId="77777777" w:rsidTr="006D393E">
        <w:trPr>
          <w:trHeight w:val="561"/>
          <w:jc w:val="center"/>
        </w:trPr>
        <w:tc>
          <w:tcPr>
            <w:tcW w:w="1701" w:type="dxa"/>
            <w:vAlign w:val="center"/>
          </w:tcPr>
          <w:p w14:paraId="50ED37BF" w14:textId="77777777" w:rsidR="00D01219" w:rsidRPr="000F28E2" w:rsidRDefault="00F0003F" w:rsidP="000F28E2">
            <w:pPr>
              <w:pStyle w:val="TableParagraph"/>
              <w:jc w:val="center"/>
              <w:rPr>
                <w:rFonts w:ascii="宋体" w:eastAsia="宋体" w:hAnsi="宋体" w:cs="宋体"/>
                <w:b/>
                <w:bCs/>
                <w:sz w:val="24"/>
                <w:szCs w:val="24"/>
              </w:rPr>
            </w:pPr>
            <w:r w:rsidRPr="000F28E2">
              <w:rPr>
                <w:rFonts w:ascii="宋体" w:eastAsia="宋体" w:hAnsi="宋体" w:cs="宋体" w:hint="eastAsia"/>
                <w:b/>
                <w:bCs/>
                <w:sz w:val="24"/>
                <w:szCs w:val="24"/>
              </w:rPr>
              <w:t>地点</w:t>
            </w:r>
          </w:p>
        </w:tc>
        <w:tc>
          <w:tcPr>
            <w:tcW w:w="7371" w:type="dxa"/>
            <w:vAlign w:val="center"/>
          </w:tcPr>
          <w:p w14:paraId="37807D38" w14:textId="134783D6" w:rsidR="00D01219" w:rsidRPr="000F28E2" w:rsidRDefault="00F0003F" w:rsidP="00BF3050">
            <w:pPr>
              <w:pStyle w:val="TableParagraph"/>
              <w:rPr>
                <w:rFonts w:ascii="宋体" w:eastAsia="宋体" w:hAnsi="宋体" w:cs="宋体"/>
                <w:sz w:val="24"/>
                <w:szCs w:val="24"/>
              </w:rPr>
            </w:pPr>
            <w:r w:rsidRPr="000F28E2">
              <w:rPr>
                <w:rFonts w:ascii="宋体" w:eastAsia="宋体" w:hAnsi="宋体" w:cs="宋体"/>
                <w:sz w:val="24"/>
                <w:szCs w:val="24"/>
              </w:rPr>
              <w:t>价值在线（www.ir-online.cn）网络互动</w:t>
            </w:r>
          </w:p>
        </w:tc>
      </w:tr>
      <w:tr w:rsidR="00D01219" w14:paraId="6FDF5E0B" w14:textId="77777777" w:rsidTr="000410C7">
        <w:trPr>
          <w:trHeight w:val="2249"/>
          <w:jc w:val="center"/>
        </w:trPr>
        <w:tc>
          <w:tcPr>
            <w:tcW w:w="1701" w:type="dxa"/>
            <w:vAlign w:val="center"/>
          </w:tcPr>
          <w:p w14:paraId="49C6434B" w14:textId="77777777" w:rsidR="00D01219" w:rsidRPr="000F28E2" w:rsidRDefault="00F0003F" w:rsidP="000F28E2">
            <w:pPr>
              <w:pStyle w:val="TableParagraph"/>
              <w:jc w:val="center"/>
              <w:rPr>
                <w:rFonts w:ascii="宋体" w:eastAsia="宋体" w:hAnsi="宋体" w:cs="宋体"/>
                <w:b/>
                <w:bCs/>
                <w:sz w:val="24"/>
                <w:szCs w:val="24"/>
              </w:rPr>
            </w:pPr>
            <w:r w:rsidRPr="000F28E2">
              <w:rPr>
                <w:rFonts w:ascii="宋体" w:eastAsia="宋体" w:hAnsi="宋体" w:cs="宋体" w:hint="eastAsia"/>
                <w:b/>
                <w:bCs/>
                <w:sz w:val="24"/>
                <w:szCs w:val="24"/>
              </w:rPr>
              <w:t>上市公司接待人员姓名</w:t>
            </w:r>
          </w:p>
        </w:tc>
        <w:tc>
          <w:tcPr>
            <w:tcW w:w="7371" w:type="dxa"/>
            <w:vAlign w:val="center"/>
          </w:tcPr>
          <w:p w14:paraId="03671DC6" w14:textId="77777777" w:rsidR="00267659" w:rsidRPr="00267659"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hint="eastAsia"/>
                <w:sz w:val="24"/>
                <w:szCs w:val="24"/>
              </w:rPr>
              <w:t>董事长</w:t>
            </w:r>
            <w:r w:rsidRPr="00267659">
              <w:rPr>
                <w:rFonts w:ascii="宋体" w:eastAsia="宋体" w:hAnsi="宋体" w:cs="宋体"/>
                <w:sz w:val="24"/>
                <w:szCs w:val="24"/>
              </w:rPr>
              <w:t xml:space="preserve"> 高明</w:t>
            </w:r>
          </w:p>
          <w:p w14:paraId="25EDE51C" w14:textId="77777777" w:rsidR="00267659" w:rsidRPr="00267659"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hint="eastAsia"/>
                <w:sz w:val="24"/>
                <w:szCs w:val="24"/>
              </w:rPr>
              <w:t>董事、总经理</w:t>
            </w:r>
            <w:r w:rsidRPr="00267659">
              <w:rPr>
                <w:rFonts w:ascii="宋体" w:eastAsia="宋体" w:hAnsi="宋体" w:cs="宋体"/>
                <w:sz w:val="24"/>
                <w:szCs w:val="24"/>
              </w:rPr>
              <w:t xml:space="preserve"> 程宇</w:t>
            </w:r>
          </w:p>
          <w:p w14:paraId="327B3525" w14:textId="77777777" w:rsidR="00267659" w:rsidRPr="00267659"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hint="eastAsia"/>
                <w:sz w:val="24"/>
                <w:szCs w:val="24"/>
              </w:rPr>
              <w:t>独立董事</w:t>
            </w:r>
            <w:r w:rsidRPr="00267659">
              <w:rPr>
                <w:rFonts w:ascii="宋体" w:eastAsia="宋体" w:hAnsi="宋体" w:cs="宋体"/>
                <w:sz w:val="24"/>
                <w:szCs w:val="24"/>
              </w:rPr>
              <w:t xml:space="preserve"> 纪常伟</w:t>
            </w:r>
          </w:p>
          <w:p w14:paraId="3BB29B57" w14:textId="77777777" w:rsidR="00267659" w:rsidRPr="00267659"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hint="eastAsia"/>
                <w:sz w:val="24"/>
                <w:szCs w:val="24"/>
              </w:rPr>
              <w:t>董事会秘书</w:t>
            </w:r>
            <w:r w:rsidRPr="00267659">
              <w:rPr>
                <w:rFonts w:ascii="宋体" w:eastAsia="宋体" w:hAnsi="宋体" w:cs="宋体"/>
                <w:sz w:val="24"/>
                <w:szCs w:val="24"/>
              </w:rPr>
              <w:t xml:space="preserve"> 李旭明</w:t>
            </w:r>
          </w:p>
          <w:p w14:paraId="119A84A5" w14:textId="4DFE3CB6" w:rsidR="00D01219" w:rsidRPr="000F28E2"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hint="eastAsia"/>
                <w:sz w:val="24"/>
                <w:szCs w:val="24"/>
              </w:rPr>
              <w:t>财务负责人</w:t>
            </w:r>
            <w:r w:rsidRPr="00267659">
              <w:rPr>
                <w:rFonts w:ascii="宋体" w:eastAsia="宋体" w:hAnsi="宋体" w:cs="宋体"/>
                <w:sz w:val="24"/>
                <w:szCs w:val="24"/>
              </w:rPr>
              <w:t xml:space="preserve"> 王彦</w:t>
            </w:r>
          </w:p>
        </w:tc>
      </w:tr>
      <w:tr w:rsidR="00267659" w14:paraId="26EFF60F" w14:textId="77777777" w:rsidTr="0073145B">
        <w:trPr>
          <w:trHeight w:val="557"/>
          <w:jc w:val="center"/>
        </w:trPr>
        <w:tc>
          <w:tcPr>
            <w:tcW w:w="1701" w:type="dxa"/>
            <w:vAlign w:val="center"/>
          </w:tcPr>
          <w:p w14:paraId="39FE0254" w14:textId="77777777" w:rsidR="00267659" w:rsidRDefault="00267659" w:rsidP="00267659">
            <w:pPr>
              <w:pStyle w:val="TableParagraph"/>
              <w:ind w:right="96"/>
              <w:jc w:val="center"/>
              <w:rPr>
                <w:rFonts w:ascii="宋体" w:eastAsia="宋体" w:hAnsi="宋体" w:cs="宋体"/>
                <w:b/>
                <w:bCs/>
                <w:sz w:val="24"/>
                <w:szCs w:val="24"/>
              </w:rPr>
            </w:pPr>
            <w:r w:rsidRPr="000F28E2">
              <w:rPr>
                <w:rFonts w:ascii="宋体" w:eastAsia="宋体" w:hAnsi="宋体" w:cs="宋体" w:hint="eastAsia"/>
                <w:b/>
                <w:bCs/>
                <w:sz w:val="24"/>
                <w:szCs w:val="24"/>
              </w:rPr>
              <w:t>投资者关系</w:t>
            </w:r>
          </w:p>
          <w:p w14:paraId="6727BD5C" w14:textId="2D3A8B48" w:rsidR="00267659" w:rsidRPr="000F28E2" w:rsidRDefault="00267659" w:rsidP="00267659">
            <w:pPr>
              <w:pStyle w:val="TableParagraph"/>
              <w:ind w:right="96"/>
              <w:jc w:val="center"/>
              <w:rPr>
                <w:rFonts w:ascii="宋体" w:eastAsia="宋体" w:hAnsi="宋体" w:cs="宋体"/>
                <w:b/>
                <w:bCs/>
                <w:sz w:val="24"/>
                <w:szCs w:val="24"/>
              </w:rPr>
            </w:pPr>
            <w:r w:rsidRPr="000F28E2">
              <w:rPr>
                <w:rFonts w:ascii="宋体" w:eastAsia="宋体" w:hAnsi="宋体" w:cs="宋体" w:hint="eastAsia"/>
                <w:b/>
                <w:bCs/>
                <w:sz w:val="24"/>
                <w:szCs w:val="24"/>
              </w:rPr>
              <w:t>活动主要内容介绍</w:t>
            </w:r>
          </w:p>
        </w:tc>
        <w:tc>
          <w:tcPr>
            <w:tcW w:w="7371" w:type="dxa"/>
          </w:tcPr>
          <w:p w14:paraId="275A4B01" w14:textId="77777777" w:rsidR="00267659" w:rsidRPr="00267659" w:rsidRDefault="00267659" w:rsidP="00267659">
            <w:pPr>
              <w:pStyle w:val="TableParagraph"/>
              <w:spacing w:line="360" w:lineRule="auto"/>
              <w:rPr>
                <w:rFonts w:ascii="宋体" w:eastAsia="宋体" w:hAnsi="宋体" w:cs="宋体"/>
                <w:b/>
                <w:sz w:val="24"/>
                <w:szCs w:val="24"/>
              </w:rPr>
            </w:pPr>
            <w:r>
              <w:rPr>
                <w:rFonts w:ascii="宋体" w:eastAsia="宋体" w:hAnsi="宋体" w:cs="宋体"/>
                <w:b/>
                <w:sz w:val="20"/>
              </w:rPr>
              <w:t xml:space="preserve">    </w:t>
            </w:r>
            <w:r w:rsidRPr="00267659">
              <w:rPr>
                <w:rFonts w:ascii="宋体" w:eastAsia="宋体" w:hAnsi="宋体" w:cs="宋体" w:hint="eastAsia"/>
                <w:b/>
                <w:sz w:val="24"/>
                <w:szCs w:val="24"/>
                <w:lang w:val="en-US"/>
              </w:rPr>
              <w:t>1</w:t>
            </w:r>
            <w:r w:rsidRPr="00267659">
              <w:rPr>
                <w:rFonts w:ascii="宋体" w:eastAsia="宋体" w:hAnsi="宋体" w:cs="宋体"/>
                <w:b/>
                <w:sz w:val="24"/>
                <w:szCs w:val="24"/>
              </w:rPr>
              <w:t>.公司如何保壳？具体有那些措施？</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股票被实施退市风险警示，主要原因为2024年度公司净利润为负且营业收入低于1亿元。面对该情况，公司将在持续加大研发投入和深化人才强企战略的基础上，持续提升市场开拓能力，不断夯实深化公司在禁毒领域细分市场的优势地位，并积极开拓在军品、反恐巡逻、资源调查、环境监测、交通巡检、能源建设、应急救援等领域的细分市场。强化市场攻坚能力，针对主要以经销模式为主的非致命装备快速拓展市场，需精准筛选优质经销商，以更具竞争力的业绩激励、灵活的账期支持及市场费用共担激发合作意愿。公司将以此次风险警示为转折点，通过技术突破、市场突围与治理升级的有机结合，全力推动经营质量改善与价值创造能力提升，切实维护投资者权益，争取早日撤销退市风险警示。感谢您对公司的关注和支持。</w:t>
            </w:r>
          </w:p>
          <w:p w14:paraId="4DFC37C9" w14:textId="0F7F86F3" w:rsidR="00267659" w:rsidRPr="00267659" w:rsidRDefault="00267659" w:rsidP="00267659">
            <w:pPr>
              <w:pStyle w:val="TableParagraph"/>
              <w:spacing w:line="360" w:lineRule="auto"/>
              <w:ind w:firstLineChars="200" w:firstLine="482"/>
              <w:rPr>
                <w:rFonts w:ascii="宋体" w:eastAsia="宋体" w:hAnsi="宋体" w:cs="宋体"/>
                <w:sz w:val="24"/>
                <w:szCs w:val="24"/>
              </w:rPr>
            </w:pPr>
            <w:r w:rsidRPr="00267659">
              <w:rPr>
                <w:rFonts w:ascii="宋体" w:eastAsia="宋体" w:hAnsi="宋体" w:cs="宋体" w:hint="eastAsia"/>
                <w:b/>
                <w:sz w:val="24"/>
                <w:szCs w:val="24"/>
                <w:lang w:val="en-US"/>
              </w:rPr>
              <w:lastRenderedPageBreak/>
              <w:t>2</w:t>
            </w:r>
            <w:r w:rsidRPr="00267659">
              <w:rPr>
                <w:rFonts w:ascii="宋体" w:eastAsia="宋体" w:hAnsi="宋体" w:cs="宋体"/>
                <w:b/>
                <w:sz w:val="24"/>
                <w:szCs w:val="24"/>
              </w:rPr>
              <w:t>.董秘你好，公司有并购重组的打算吗？谢谢。</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中国证监会发布了《上市公司重大资产重组管理办法》《关于深化上市公司并购重组市场改革的意见》等一系列鼓励并购重组的法律法规和政策，旨在优化资本市场资源配置，推动产业升级，并提升市场活跃度。公司密切关注政策动向并积极研究并购重组相关发展机遇。关于重组等相关计划，公司会严格按照有关法律法规的要求及时履行信息披露义务。感谢您对公司的关注和支持。</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3</w:t>
            </w:r>
            <w:r w:rsidRPr="00267659">
              <w:rPr>
                <w:rFonts w:ascii="宋体" w:eastAsia="宋体" w:hAnsi="宋体" w:cs="宋体"/>
                <w:b/>
                <w:sz w:val="24"/>
                <w:szCs w:val="24"/>
              </w:rPr>
              <w:t>.听说公司参与了神舟二十相关任务并收到表扬信，请介绍一下相关情况。</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因在神舟二十号载人航天任务中向中国人民解放军某部队提供关键技术支持，荣获该部队的高度认可和衷心感谢。该部队在感谢中表示，观典防务研发的复杂环境下智能应急保障巡航监测系统实现全域态势实时感知回传，为指挥决策提供了可靠支撑。公司技术团队24小时响应机制和“一机一策”保障方案，展现了观典防务“科技强军，发展新质战斗力”的使命担当</w:t>
            </w:r>
            <w:r>
              <w:rPr>
                <w:rFonts w:ascii="宋体" w:eastAsia="宋体" w:hAnsi="宋体" w:cs="宋体"/>
                <w:sz w:val="24"/>
                <w:szCs w:val="24"/>
              </w:rPr>
              <w:t>。期待双方</w:t>
            </w:r>
            <w:r w:rsidRPr="00267659">
              <w:rPr>
                <w:rFonts w:ascii="宋体" w:eastAsia="宋体" w:hAnsi="宋体" w:cs="宋体"/>
                <w:sz w:val="24"/>
                <w:szCs w:val="24"/>
              </w:rPr>
              <w:t>以此次</w:t>
            </w:r>
            <w:r>
              <w:rPr>
                <w:rFonts w:ascii="宋体" w:eastAsia="宋体" w:hAnsi="宋体" w:cs="宋体"/>
                <w:sz w:val="24"/>
                <w:szCs w:val="24"/>
              </w:rPr>
              <w:t>合作为新起点，在装备研发、技术攻关、人才培养等领域深耕协作，</w:t>
            </w:r>
            <w:r w:rsidRPr="00267659">
              <w:rPr>
                <w:rFonts w:ascii="宋体" w:eastAsia="宋体" w:hAnsi="宋体" w:cs="宋体"/>
                <w:sz w:val="24"/>
                <w:szCs w:val="24"/>
              </w:rPr>
              <w:t>为推进国防和军队现代化</w:t>
            </w:r>
            <w:r>
              <w:rPr>
                <w:rFonts w:ascii="宋体" w:eastAsia="宋体" w:hAnsi="宋体" w:cs="宋体" w:hint="eastAsia"/>
                <w:sz w:val="24"/>
                <w:szCs w:val="24"/>
              </w:rPr>
              <w:t>携手</w:t>
            </w:r>
            <w:r w:rsidRPr="00267659">
              <w:rPr>
                <w:rFonts w:ascii="宋体" w:eastAsia="宋体" w:hAnsi="宋体" w:cs="宋体"/>
                <w:sz w:val="24"/>
                <w:szCs w:val="24"/>
              </w:rPr>
              <w:t>作出更大贡献！这一荣誉不仅彰显了公司卓越的无人机技术保障能力和高度的国防责任感，更以实际行动诠释了新时代军地协作的深厚情谊。同时也说明了公司的相关技术已经成功的应用于航天领域。感谢您对公司的关注和支持。</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4</w:t>
            </w:r>
            <w:r w:rsidRPr="00267659">
              <w:rPr>
                <w:rFonts w:ascii="宋体" w:eastAsia="宋体" w:hAnsi="宋体" w:cs="宋体"/>
                <w:b/>
                <w:sz w:val="24"/>
                <w:szCs w:val="24"/>
              </w:rPr>
              <w:t>.公司参与了神舟二十号载人航天任务，请介绍一下贵司在商业航天领域的布局。</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作为低空经济领域深耕多年的科创板上市企业，此次参与神舟二十号载人航天工程绝非偶然，而是公司在航天领域长期战略布局的必然成果。2023年4月26日，公司披露了《关于变更公司经营范围并修订&lt;公司章程&gt;的公告》，宣布经营范围新增火箭控制系统、火箭发动机及火箭发射设备的研发，以及卫星技术综合应用系统、卫星遥感应用系统及卫星导航多模增强应用服务系统的</w:t>
            </w:r>
            <w:r w:rsidRPr="00267659">
              <w:rPr>
                <w:rFonts w:ascii="宋体" w:eastAsia="宋体" w:hAnsi="宋体" w:cs="宋体"/>
                <w:sz w:val="24"/>
                <w:szCs w:val="24"/>
              </w:rPr>
              <w:lastRenderedPageBreak/>
              <w:t>集成。2023年5月17日，公司申请了一项名为“一种可回收式火箭”的发明专利。2024年2月3日，公司又申请了一项名为“火箭”的外观设计专利，并于同年8月13日获得授权。2024年3月18日，曾有投资者在“上证e互动”问公司“在商业航天有何布局？”公司回复称，“公司在充分发挥现有技术积累的基础上，已经与相关高校、科研院所共同组建了专业团队进行火箭相关技术的前瞻性研究。”2024年11月28日，公司因在某返回式卫星回收任务中向中国人民解放军某部队提供关键技术支持，荣获该部队的高度认可和衷心感谢。同时也说明了公司的相关技术成果已经开始逐步转化为实际应用。2025年4月24日，公司受邀参与“神舟二十号”载人航天发射任务的技术保障工作，并再次凭借出色的表现，荣获部队的高度认可和衷心感谢。至此，公司的相关技术已经成功的应用于航天领域。感谢您对公司的关注和支持。</w:t>
            </w:r>
          </w:p>
          <w:p w14:paraId="5FF4EC5D" w14:textId="6030D0C8" w:rsidR="00267659" w:rsidRPr="00267659" w:rsidRDefault="00267659" w:rsidP="00267659">
            <w:pPr>
              <w:pStyle w:val="TableParagraph"/>
              <w:spacing w:line="360" w:lineRule="auto"/>
              <w:ind w:firstLine="401"/>
              <w:rPr>
                <w:rFonts w:ascii="宋体" w:eastAsia="宋体" w:hAnsi="宋体" w:cs="宋体"/>
                <w:b/>
                <w:sz w:val="24"/>
                <w:szCs w:val="24"/>
              </w:rPr>
            </w:pPr>
            <w:r w:rsidRPr="00267659">
              <w:rPr>
                <w:rFonts w:ascii="宋体" w:eastAsia="宋体" w:hAnsi="宋体" w:cs="宋体" w:hint="eastAsia"/>
                <w:b/>
                <w:sz w:val="24"/>
                <w:szCs w:val="24"/>
                <w:lang w:val="en-US"/>
              </w:rPr>
              <w:t>5</w:t>
            </w:r>
            <w:r w:rsidRPr="00267659">
              <w:rPr>
                <w:rFonts w:ascii="宋体" w:eastAsia="宋体" w:hAnsi="宋体" w:cs="宋体"/>
                <w:b/>
                <w:sz w:val="24"/>
                <w:szCs w:val="24"/>
              </w:rPr>
              <w:t>.2025</w:t>
            </w:r>
            <w:r>
              <w:rPr>
                <w:rFonts w:ascii="宋体" w:eastAsia="宋体" w:hAnsi="宋体" w:cs="宋体" w:hint="eastAsia"/>
                <w:b/>
                <w:sz w:val="24"/>
                <w:szCs w:val="24"/>
              </w:rPr>
              <w:t>已</w:t>
            </w:r>
            <w:r w:rsidRPr="00267659">
              <w:rPr>
                <w:rFonts w:ascii="宋体" w:eastAsia="宋体" w:hAnsi="宋体" w:cs="宋体"/>
                <w:b/>
                <w:sz w:val="24"/>
                <w:szCs w:val="24"/>
              </w:rPr>
              <w:t>过半年，贵公司在军采解禁的有利环境下是否拿到大单？</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军采网禁止期限已届满，自2025年3月27日起，公司已恢复参加军采网军队采购活动的资格。2025年，公司在军品方面将积极争取建立更多的军品配套关系，以多类型无人飞行装备跟研试制的方式，逐步实现公司设计制造能力的对外输出，通过型号批采配套实现年度业绩的快速增长。关于具体的订单情况，公司会按照有关法律法规的要求及时履行信息披露义务，敬请关注公司披露的定期报告及相关公告</w:t>
            </w:r>
            <w:r>
              <w:rPr>
                <w:rFonts w:ascii="宋体" w:eastAsia="宋体" w:hAnsi="宋体" w:cs="宋体" w:hint="eastAsia"/>
                <w:sz w:val="24"/>
                <w:szCs w:val="24"/>
              </w:rPr>
              <w:t>。</w:t>
            </w:r>
            <w:r w:rsidRPr="00267659">
              <w:rPr>
                <w:rFonts w:ascii="宋体" w:eastAsia="宋体" w:hAnsi="宋体" w:cs="宋体"/>
                <w:sz w:val="24"/>
                <w:szCs w:val="24"/>
              </w:rPr>
              <w:t>再次感谢您对公司的关注。</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6</w:t>
            </w:r>
            <w:r w:rsidRPr="00267659">
              <w:rPr>
                <w:rFonts w:ascii="宋体" w:eastAsia="宋体" w:hAnsi="宋体" w:cs="宋体"/>
                <w:b/>
                <w:sz w:val="24"/>
                <w:szCs w:val="24"/>
              </w:rPr>
              <w:t>.除了黄蜂T800以外，今年公司又推出了两款新品，请高总介绍一下？</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黄蜂T800是公司自主研发、生产的一种智能警用装备，它集视觉干扰、嗅觉刺激、物理束缚、肌肉刺激等功能于一身，可通过快速换弹实现复杂环境下的多种制伏方式的连续击发，同时兼具影音取证、后台监管、防抢防盗等功能。黄蜂T800Pro是今年全新推出的旗舰产品，它将电击、催泪、约束、激光炫目等多</w:t>
            </w:r>
            <w:r w:rsidRPr="00267659">
              <w:rPr>
                <w:rFonts w:ascii="宋体" w:eastAsia="宋体" w:hAnsi="宋体" w:cs="宋体"/>
                <w:sz w:val="24"/>
                <w:szCs w:val="24"/>
              </w:rPr>
              <w:lastRenderedPageBreak/>
              <w:t>种非致命性制伏功能融为一体，让执法人员可以根据警情随时调整自己的武力等级，适用于多种复杂执法场景。而黄蜂VILA则以更轻量化的设计，将五连发高速催泪、激光瞄准、LED照明与破窗工具融为一体，体积仅手电大小，可实现远近两种距离下的高速催泪，在应对突发警情和日常巡逻中表现尤为灵活高效。该系列产品可供公安系统、武警部队、民用安保等使用，应用场景广阔，在国内、国际均有较大市场需求。感谢您对公司的关注和支持。</w:t>
            </w:r>
          </w:p>
          <w:p w14:paraId="521C9D87" w14:textId="6E90F032" w:rsidR="00267659" w:rsidRPr="00267659" w:rsidRDefault="00267659" w:rsidP="00267659">
            <w:pPr>
              <w:pStyle w:val="TableParagraph"/>
              <w:spacing w:line="360" w:lineRule="auto"/>
              <w:ind w:firstLine="401"/>
              <w:rPr>
                <w:rFonts w:ascii="宋体" w:eastAsia="宋体" w:hAnsi="宋体" w:cs="宋体"/>
                <w:sz w:val="24"/>
                <w:szCs w:val="24"/>
              </w:rPr>
            </w:pPr>
            <w:r w:rsidRPr="00267659">
              <w:rPr>
                <w:rFonts w:ascii="宋体" w:eastAsia="宋体" w:hAnsi="宋体" w:cs="宋体" w:hint="eastAsia"/>
                <w:b/>
                <w:sz w:val="24"/>
                <w:szCs w:val="24"/>
                <w:lang w:val="en-US"/>
              </w:rPr>
              <w:t>7</w:t>
            </w:r>
            <w:r w:rsidRPr="00267659">
              <w:rPr>
                <w:rFonts w:ascii="宋体" w:eastAsia="宋体" w:hAnsi="宋体" w:cs="宋体"/>
                <w:b/>
                <w:sz w:val="24"/>
                <w:szCs w:val="24"/>
              </w:rPr>
              <w:t>.总经理你好，公司属于军工板块，有没有扩展军用无人机业务，在军采网无人机的销售如何？谢谢。</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在军品方面，公司依托先进的无人机生产能力，通过招投标、跟研试制等方式，与军品单位在无人飞行器整机集成、分系统配套、技术研发、风洞实验等方面开展深度合作。以公司GD-180等为代表的一批产品已在航空航天领域中实现了成果转化，为公司积累了技术基础和军品项目研发生产经验，提升了公司在军品领域的竞争力。关于具体的销售情况，公司会按照有关法律法规的要求及时履行信息披露义务，敬请关注公司披露的定期报告及相关公告</w:t>
            </w:r>
            <w:r w:rsidRPr="00267659">
              <w:rPr>
                <w:rFonts w:ascii="宋体" w:eastAsia="宋体" w:hAnsi="宋体" w:cs="宋体" w:hint="eastAsia"/>
                <w:sz w:val="24"/>
                <w:szCs w:val="24"/>
              </w:rPr>
              <w:t>。</w:t>
            </w:r>
            <w:r w:rsidRPr="00267659">
              <w:rPr>
                <w:rFonts w:ascii="宋体" w:eastAsia="宋体" w:hAnsi="宋体" w:cs="宋体"/>
                <w:sz w:val="24"/>
                <w:szCs w:val="24"/>
              </w:rPr>
              <w:t>感谢您对公司的关注和支持。</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8</w:t>
            </w:r>
            <w:r w:rsidRPr="00267659">
              <w:rPr>
                <w:rFonts w:ascii="宋体" w:eastAsia="宋体" w:hAnsi="宋体" w:cs="宋体"/>
                <w:b/>
                <w:sz w:val="24"/>
                <w:szCs w:val="24"/>
              </w:rPr>
              <w:t>.我看公司公告有提到董监高责任险，请问董监高险有什么作用？</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为董监高购买责任险，对优化公司治理具有多方面的正向作用，主要包括以下几点：一、吸引优秀人才。董监高责任险可以使董监高减少其对职业风险的担忧，有助于吸引更多专业、有能力的人才参与公司经营管理，为公司注入新的活力和创新思维，提升公司的决策水平和管理能力。二、激励董监高积极履职。董监高责任险可使董监高在依法合规的前提下，更敢于采取具有创新性和进取性的经营策略，从而推动公司积极拓展业务，提高经营效率和效益。三、强化外部监督。引入保险公司对本公司的经营状况、治理水平等进行监督，规范公司和董监高的行为，督促公司合规经营，及董监高充分履职，增强协同治理效能。四、提升公司形象和</w:t>
            </w:r>
            <w:r w:rsidRPr="00267659">
              <w:rPr>
                <w:rFonts w:ascii="宋体" w:eastAsia="宋体" w:hAnsi="宋体" w:cs="宋体"/>
                <w:sz w:val="24"/>
                <w:szCs w:val="24"/>
              </w:rPr>
              <w:lastRenderedPageBreak/>
              <w:t>信誉。购买董监高责任险展示了公司对董监高责任的重视和对风险管理的积极态度，提升公司的社会形象和品牌价值，有利于公司吸引投资、开展合作，为公司的长期发展创造良好的外部环境。感谢您对公司的关注和支持。</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9</w:t>
            </w:r>
            <w:r w:rsidRPr="00267659">
              <w:rPr>
                <w:rFonts w:ascii="宋体" w:eastAsia="宋体" w:hAnsi="宋体" w:cs="宋体"/>
                <w:b/>
                <w:sz w:val="24"/>
                <w:szCs w:val="24"/>
              </w:rPr>
              <w:t>.高总是否考虑出让股权来解决资金占用问题？毕竟资本市场就是解决问题最好的平台</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实控人承诺不晚于2025年10月31日前，以自筹资金偿还上述非经营性占用款项及相应资金占用费（利率按中国人民银行同期贷款基准利率计算）。关于解决资金占用问题的具体情况，公司会按照有关法律法规的要求及时履行信息披露义务，敬请关注公司披露的定期报告及相关公告。感谢您对公司的关注和支持。</w:t>
            </w:r>
            <w:r w:rsidRPr="00267659">
              <w:rPr>
                <w:rFonts w:ascii="宋体" w:eastAsia="宋体" w:hAnsi="宋体" w:cs="宋体"/>
                <w:sz w:val="24"/>
                <w:szCs w:val="24"/>
              </w:rPr>
              <w:br/>
            </w: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 xml:space="preserve">  10</w:t>
            </w:r>
            <w:r w:rsidRPr="00267659">
              <w:rPr>
                <w:rFonts w:ascii="宋体" w:eastAsia="宋体" w:hAnsi="宋体" w:cs="宋体"/>
                <w:b/>
                <w:sz w:val="24"/>
                <w:szCs w:val="24"/>
              </w:rPr>
              <w:t>.董事长你好，公司目前被*st，公司今年是否能达到摘帽条件。谢谢。</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股票被实施退市风险警示，主要原因为2024年度公司净利润为负且营业收入低于1亿元。面对该情况，公司将在持续加大研发投入和深化人才强企战略的基础上，持续提升市场开拓能力，不断夯实深化公司在禁毒领域细分市场的优势地位，并积极开拓在军品、反恐巡逻、资源调查、环境监测、交通巡检、能源建设、应急救援等领域的细分市场。强化市场攻坚能力，针对主要以经销模式为主的非致命装备快速拓展</w:t>
            </w:r>
            <w:r>
              <w:rPr>
                <w:rFonts w:ascii="宋体" w:eastAsia="宋体" w:hAnsi="宋体" w:cs="宋体"/>
                <w:sz w:val="24"/>
                <w:szCs w:val="24"/>
              </w:rPr>
              <w:t>市场，</w:t>
            </w:r>
            <w:r w:rsidRPr="00267659">
              <w:rPr>
                <w:rFonts w:ascii="宋体" w:eastAsia="宋体" w:hAnsi="宋体" w:cs="宋体"/>
                <w:sz w:val="24"/>
                <w:szCs w:val="24"/>
              </w:rPr>
              <w:t>精准筛选优质经销商，以更具竞争力的业绩激励、灵活的账期支持及市场费用共担激发合作意愿。公司将以此次风险警示为转折点，通过技术突破、市场突围与治理升级的有机结合，全力推动经营质量改善与价值创造能力提升，切实维护投资者权益，争取早日撤销退市风险警示。感谢您对公司的关注和支持。</w:t>
            </w:r>
          </w:p>
          <w:p w14:paraId="2ED4138B" w14:textId="77777777" w:rsidR="00267659" w:rsidRPr="00267659" w:rsidRDefault="00267659" w:rsidP="00267659">
            <w:pPr>
              <w:pStyle w:val="TableParagraph"/>
              <w:spacing w:line="360" w:lineRule="auto"/>
              <w:rPr>
                <w:rFonts w:ascii="宋体" w:eastAsia="宋体" w:hAnsi="宋体" w:cs="宋体"/>
                <w:sz w:val="24"/>
                <w:szCs w:val="24"/>
              </w:rPr>
            </w:pPr>
            <w:r w:rsidRPr="00267659">
              <w:rPr>
                <w:rFonts w:ascii="宋体" w:eastAsia="宋体" w:hAnsi="宋体" w:cs="宋体"/>
                <w:b/>
                <w:sz w:val="24"/>
                <w:szCs w:val="24"/>
              </w:rPr>
              <w:t xml:space="preserve"> </w:t>
            </w:r>
            <w:r w:rsidRPr="00267659">
              <w:rPr>
                <w:rFonts w:ascii="宋体" w:eastAsia="宋体" w:hAnsi="宋体" w:cs="宋体" w:hint="eastAsia"/>
                <w:b/>
                <w:sz w:val="24"/>
                <w:szCs w:val="24"/>
                <w:lang w:val="en-US"/>
              </w:rPr>
              <w:t xml:space="preserve">   11</w:t>
            </w:r>
            <w:r w:rsidRPr="00267659">
              <w:rPr>
                <w:rFonts w:ascii="宋体" w:eastAsia="宋体" w:hAnsi="宋体" w:cs="宋体"/>
                <w:b/>
                <w:sz w:val="24"/>
                <w:szCs w:val="24"/>
              </w:rPr>
              <w:t>.商业保理的9000万，大股东有计划什么时候还吗</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答:尊敬的投资者您好，公司于2025年4月26日披露了《关于保理事项进展暨非经营性资金占用自查及整改情况说明的公告》（公告编号：2025-015），实控人承诺不晚于2025年10月31日前，以自筹资金</w:t>
            </w:r>
            <w:r w:rsidRPr="00267659">
              <w:rPr>
                <w:rFonts w:ascii="宋体" w:eastAsia="宋体" w:hAnsi="宋体" w:cs="宋体"/>
                <w:sz w:val="24"/>
                <w:szCs w:val="24"/>
              </w:rPr>
              <w:lastRenderedPageBreak/>
              <w:t>偿还上述非经营性占用款项及相应资金占用费（利率按中国人民银行同期贷款基准利率计算）。感谢您对公司的关注和支持。</w:t>
            </w:r>
          </w:p>
          <w:p w14:paraId="7730D1DD" w14:textId="5BECCD1A" w:rsidR="00267659" w:rsidRPr="00BF3050" w:rsidRDefault="00267659" w:rsidP="00267659">
            <w:pPr>
              <w:pStyle w:val="TableParagraph"/>
              <w:spacing w:line="360" w:lineRule="auto"/>
              <w:ind w:firstLineChars="212" w:firstLine="511"/>
              <w:rPr>
                <w:rFonts w:ascii="宋体" w:eastAsia="宋体" w:hAnsi="宋体" w:cs="宋体"/>
                <w:b/>
                <w:sz w:val="24"/>
                <w:szCs w:val="24"/>
              </w:rPr>
            </w:pPr>
            <w:r w:rsidRPr="00267659">
              <w:rPr>
                <w:rFonts w:ascii="宋体" w:eastAsia="宋体" w:hAnsi="宋体" w:cs="宋体" w:hint="eastAsia"/>
                <w:b/>
                <w:sz w:val="24"/>
                <w:szCs w:val="24"/>
                <w:lang w:val="en-US"/>
              </w:rPr>
              <w:t>1</w:t>
            </w:r>
            <w:r w:rsidRPr="00267659">
              <w:rPr>
                <w:rFonts w:ascii="宋体" w:eastAsia="宋体" w:hAnsi="宋体" w:cs="宋体"/>
                <w:b/>
                <w:sz w:val="24"/>
                <w:szCs w:val="24"/>
              </w:rPr>
              <w:t>2.1、摘帽：什么时候摘帽？计划如何摘帽？ 2、收入方面：公司2025年营收目标？收入来源哪方面？是否要转型？ 3、还款：高明先生什么时候能还清款项？证监会立案结果如何？ 4、公司如何自救？如何保护中小股东权益？ 5、公司是否考虑并购重组？</w:t>
            </w:r>
            <w:r w:rsidRPr="00267659">
              <w:rPr>
                <w:rFonts w:ascii="宋体" w:eastAsia="宋体" w:hAnsi="宋体" w:cs="宋体"/>
                <w:b/>
                <w:sz w:val="24"/>
                <w:szCs w:val="24"/>
              </w:rPr>
              <w:br/>
            </w:r>
            <w:r w:rsidRPr="00267659">
              <w:rPr>
                <w:rFonts w:ascii="宋体" w:eastAsia="宋体" w:hAnsi="宋体" w:cs="宋体"/>
                <w:sz w:val="24"/>
                <w:szCs w:val="24"/>
              </w:rPr>
              <w:t xml:space="preserve">    答:尊敬的投资者您好，公司股票被实施退市风险警示，主要原因为2024年度公司净利润为负且营业收入低于1亿元。面对该情况，公司将在持续加大研发投入和深化人才强企战略的基础上，持续提升市场开拓能力，不断夯实深化公司在禁毒领域细分市场的优势地位，并积极开拓在军品、反恐巡逻、资源调查、环境监测、交通巡检、能源建设、应急救援等领域的细分市场。强化</w:t>
            </w:r>
            <w:r>
              <w:rPr>
                <w:rFonts w:ascii="宋体" w:eastAsia="宋体" w:hAnsi="宋体" w:cs="宋体"/>
                <w:sz w:val="24"/>
                <w:szCs w:val="24"/>
              </w:rPr>
              <w:t>市场攻坚能力，针对主要以经销模式为主的非致命装备快速拓展市场，</w:t>
            </w:r>
            <w:r w:rsidRPr="00267659">
              <w:rPr>
                <w:rFonts w:ascii="宋体" w:eastAsia="宋体" w:hAnsi="宋体" w:cs="宋体"/>
                <w:sz w:val="24"/>
                <w:szCs w:val="24"/>
              </w:rPr>
              <w:t>精准筛选优质经销商，以更具竞争力的业绩激励、灵活的账期支持及市场费用共担激发合作意愿。公司将以此次风险警示为转折点，通过技术突破、市场突围与治理升级的有机结合，全力推动经营质量改善与价值创造能力提升，切实维护投资者特别是中小投资者的权益，争取早日撤销退市风险警示。实控人承诺不晚于2025年10月31日前，以自筹资金偿还上述非经营性占用款项及相应资金占用费（利率按中国人民银行同期贷款基准利率计算）。关于中国证监会的立案调查，目前仍在调查中。公司各项经营管理、业务及财务状况正常。立案调查期间，公司将积极配合中国证监会的相关调查工作，并严格按照监管要求及时履行信息披露义务。公司密切关注政策动向并积极研究并购重组相关发展机遇。关于重组等相关计划，公司会严格按照有关法律法规的要求及时履行信息披露义务。感谢您对公司的关注和支持。</w:t>
            </w:r>
          </w:p>
        </w:tc>
      </w:tr>
      <w:tr w:rsidR="00341B5C" w14:paraId="7D2536D6" w14:textId="77777777" w:rsidTr="000410C7">
        <w:trPr>
          <w:trHeight w:val="557"/>
          <w:jc w:val="center"/>
        </w:trPr>
        <w:tc>
          <w:tcPr>
            <w:tcW w:w="1701" w:type="dxa"/>
            <w:vAlign w:val="center"/>
          </w:tcPr>
          <w:p w14:paraId="181EAA64" w14:textId="47A65441" w:rsidR="00341B5C" w:rsidRPr="000F28E2" w:rsidRDefault="00341B5C" w:rsidP="00341B5C">
            <w:pPr>
              <w:pStyle w:val="TableParagraph"/>
              <w:ind w:right="96"/>
              <w:jc w:val="center"/>
              <w:rPr>
                <w:rFonts w:ascii="宋体" w:eastAsia="宋体" w:hAnsi="宋体" w:cs="宋体"/>
                <w:b/>
                <w:bCs/>
                <w:sz w:val="24"/>
                <w:szCs w:val="24"/>
              </w:rPr>
            </w:pPr>
            <w:r w:rsidRPr="00341B5C">
              <w:rPr>
                <w:rFonts w:ascii="宋体" w:eastAsia="宋体" w:hAnsi="宋体" w:cs="宋体" w:hint="eastAsia"/>
                <w:b/>
                <w:bCs/>
                <w:sz w:val="24"/>
                <w:szCs w:val="24"/>
              </w:rPr>
              <w:lastRenderedPageBreak/>
              <w:t>是否涉及应当披露重大信息</w:t>
            </w:r>
          </w:p>
        </w:tc>
        <w:tc>
          <w:tcPr>
            <w:tcW w:w="7371" w:type="dxa"/>
            <w:vAlign w:val="center"/>
          </w:tcPr>
          <w:p w14:paraId="6B7B8835" w14:textId="71001C7D" w:rsidR="00341B5C" w:rsidRDefault="00341B5C" w:rsidP="000410C7">
            <w:pPr>
              <w:pStyle w:val="TableParagraph"/>
              <w:spacing w:before="100" w:beforeAutospacing="1"/>
              <w:rPr>
                <w:rFonts w:ascii="宋体" w:eastAsia="宋体" w:hAnsi="宋体" w:cs="宋体"/>
                <w:b/>
                <w:sz w:val="20"/>
              </w:rPr>
            </w:pPr>
            <w:r w:rsidRPr="000410C7">
              <w:rPr>
                <w:rFonts w:ascii="宋体" w:eastAsia="宋体" w:hAnsi="宋体" w:cs="宋体" w:hint="eastAsia"/>
                <w:sz w:val="24"/>
                <w:szCs w:val="24"/>
                <w:lang w:val="en-US"/>
              </w:rPr>
              <w:t>否</w:t>
            </w:r>
            <w:bookmarkStart w:id="0" w:name="_GoBack"/>
            <w:bookmarkEnd w:id="0"/>
          </w:p>
        </w:tc>
      </w:tr>
      <w:tr w:rsidR="00267659" w14:paraId="34E2ECF1" w14:textId="77777777" w:rsidTr="006D393E">
        <w:trPr>
          <w:trHeight w:val="561"/>
          <w:jc w:val="center"/>
        </w:trPr>
        <w:tc>
          <w:tcPr>
            <w:tcW w:w="1701" w:type="dxa"/>
            <w:vAlign w:val="center"/>
          </w:tcPr>
          <w:p w14:paraId="5EBF7124" w14:textId="6CE47731" w:rsidR="00267659" w:rsidRPr="000E3FE5" w:rsidRDefault="00267659" w:rsidP="00267659">
            <w:pPr>
              <w:pStyle w:val="TableParagraph"/>
              <w:spacing w:before="1"/>
              <w:ind w:left="-64"/>
              <w:jc w:val="center"/>
              <w:rPr>
                <w:rFonts w:ascii="宋体" w:eastAsia="宋体" w:hAnsi="宋体" w:cs="宋体"/>
                <w:b/>
                <w:bCs/>
                <w:sz w:val="24"/>
                <w:szCs w:val="24"/>
              </w:rPr>
            </w:pPr>
            <w:r w:rsidRPr="000E3FE5">
              <w:rPr>
                <w:rFonts w:ascii="宋体" w:eastAsia="宋体" w:hAnsi="宋体" w:cs="宋体" w:hint="eastAsia"/>
                <w:b/>
                <w:bCs/>
                <w:sz w:val="24"/>
                <w:szCs w:val="24"/>
              </w:rPr>
              <w:t>附件清单</w:t>
            </w:r>
          </w:p>
        </w:tc>
        <w:tc>
          <w:tcPr>
            <w:tcW w:w="7371" w:type="dxa"/>
            <w:vAlign w:val="center"/>
          </w:tcPr>
          <w:p w14:paraId="71646E28" w14:textId="77777777" w:rsidR="00267659" w:rsidRPr="00C569C5" w:rsidRDefault="00267659" w:rsidP="00267659">
            <w:pPr>
              <w:pStyle w:val="TableParagraph"/>
              <w:spacing w:before="100" w:beforeAutospacing="1"/>
              <w:rPr>
                <w:rFonts w:ascii="宋体" w:eastAsia="宋体" w:hAnsi="宋体" w:cs="宋体"/>
                <w:sz w:val="24"/>
                <w:szCs w:val="24"/>
                <w:lang w:val="en-US"/>
              </w:rPr>
            </w:pPr>
            <w:r w:rsidRPr="00C569C5">
              <w:rPr>
                <w:rFonts w:ascii="宋体" w:eastAsia="宋体" w:hAnsi="宋体" w:cs="宋体" w:hint="eastAsia"/>
                <w:sz w:val="24"/>
                <w:szCs w:val="24"/>
                <w:lang w:val="en-US"/>
              </w:rPr>
              <w:t>无</w:t>
            </w:r>
          </w:p>
        </w:tc>
      </w:tr>
      <w:tr w:rsidR="00267659" w14:paraId="4C08B813" w14:textId="77777777" w:rsidTr="006D393E">
        <w:trPr>
          <w:trHeight w:val="558"/>
          <w:jc w:val="center"/>
        </w:trPr>
        <w:tc>
          <w:tcPr>
            <w:tcW w:w="1701" w:type="dxa"/>
            <w:vAlign w:val="center"/>
          </w:tcPr>
          <w:p w14:paraId="00A8AF7F" w14:textId="2A097F72" w:rsidR="00267659" w:rsidRPr="000E3FE5" w:rsidRDefault="00267659" w:rsidP="00267659">
            <w:pPr>
              <w:pStyle w:val="TableParagraph"/>
              <w:spacing w:before="1"/>
              <w:ind w:left="-64"/>
              <w:jc w:val="center"/>
              <w:rPr>
                <w:rFonts w:ascii="宋体" w:eastAsia="宋体" w:hAnsi="宋体" w:cs="宋体"/>
                <w:b/>
                <w:bCs/>
                <w:sz w:val="24"/>
                <w:szCs w:val="24"/>
              </w:rPr>
            </w:pPr>
            <w:r w:rsidRPr="000E3FE5">
              <w:rPr>
                <w:rFonts w:ascii="宋体" w:eastAsia="宋体" w:hAnsi="宋体" w:cs="宋体" w:hint="eastAsia"/>
                <w:b/>
                <w:bCs/>
                <w:sz w:val="24"/>
                <w:szCs w:val="24"/>
              </w:rPr>
              <w:t>日</w:t>
            </w:r>
            <w:r>
              <w:rPr>
                <w:rFonts w:ascii="宋体" w:eastAsia="宋体" w:hAnsi="宋体" w:cs="宋体" w:hint="eastAsia"/>
                <w:b/>
                <w:bCs/>
                <w:sz w:val="24"/>
                <w:szCs w:val="24"/>
              </w:rPr>
              <w:t xml:space="preserve"> </w:t>
            </w:r>
            <w:r>
              <w:rPr>
                <w:rFonts w:ascii="宋体" w:eastAsia="宋体" w:hAnsi="宋体" w:cs="宋体"/>
                <w:b/>
                <w:bCs/>
                <w:sz w:val="24"/>
                <w:szCs w:val="24"/>
              </w:rPr>
              <w:t xml:space="preserve">   </w:t>
            </w:r>
            <w:r w:rsidRPr="000E3FE5">
              <w:rPr>
                <w:rFonts w:ascii="宋体" w:eastAsia="宋体" w:hAnsi="宋体" w:cs="宋体" w:hint="eastAsia"/>
                <w:b/>
                <w:bCs/>
                <w:sz w:val="24"/>
                <w:szCs w:val="24"/>
              </w:rPr>
              <w:t>期</w:t>
            </w:r>
          </w:p>
        </w:tc>
        <w:tc>
          <w:tcPr>
            <w:tcW w:w="7371" w:type="dxa"/>
            <w:vAlign w:val="center"/>
          </w:tcPr>
          <w:p w14:paraId="62615BB9" w14:textId="626E0606" w:rsidR="00267659" w:rsidRPr="00C569C5" w:rsidRDefault="00267659" w:rsidP="00267659">
            <w:pPr>
              <w:pStyle w:val="TableParagraph"/>
              <w:spacing w:before="100" w:beforeAutospacing="1"/>
              <w:rPr>
                <w:rFonts w:ascii="宋体" w:eastAsia="宋体" w:hAnsi="宋体" w:cs="宋体"/>
                <w:sz w:val="24"/>
                <w:szCs w:val="24"/>
              </w:rPr>
            </w:pPr>
            <w:r w:rsidRPr="00267659">
              <w:rPr>
                <w:rFonts w:ascii="宋体" w:eastAsia="宋体" w:hAnsi="宋体" w:cs="宋体"/>
                <w:sz w:val="24"/>
                <w:szCs w:val="24"/>
              </w:rPr>
              <w:t>2025年06月18日</w:t>
            </w:r>
          </w:p>
        </w:tc>
      </w:tr>
    </w:tbl>
    <w:p w14:paraId="058A9D7A" w14:textId="77777777" w:rsidR="00D01219" w:rsidRDefault="00D01219" w:rsidP="00341B5C">
      <w:pPr>
        <w:rPr>
          <w:rFonts w:ascii="宋体" w:eastAsia="宋体" w:hAnsi="宋体" w:cs="宋体"/>
          <w:sz w:val="28"/>
          <w:szCs w:val="36"/>
        </w:rPr>
      </w:pPr>
    </w:p>
    <w:sectPr w:rsidR="00D01219">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0943" w14:textId="77777777" w:rsidR="00F8401A" w:rsidRDefault="00F8401A" w:rsidP="007F04AD">
      <w:r>
        <w:separator/>
      </w:r>
    </w:p>
  </w:endnote>
  <w:endnote w:type="continuationSeparator" w:id="0">
    <w:p w14:paraId="3F9B8DC4" w14:textId="77777777" w:rsidR="00F8401A" w:rsidRDefault="00F8401A" w:rsidP="007F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57E2" w14:textId="77777777" w:rsidR="00F8401A" w:rsidRDefault="00F8401A" w:rsidP="007F04AD">
      <w:r>
        <w:separator/>
      </w:r>
    </w:p>
  </w:footnote>
  <w:footnote w:type="continuationSeparator" w:id="0">
    <w:p w14:paraId="0490B62E" w14:textId="77777777" w:rsidR="00F8401A" w:rsidRDefault="00F8401A" w:rsidP="007F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zZTM2MGJjMDUzYTJiMzllZmNhMmYwYjkxMTUzNjgifQ=="/>
  </w:docVars>
  <w:rsids>
    <w:rsidRoot w:val="00301D32"/>
    <w:rsid w:val="0000769B"/>
    <w:rsid w:val="00026CC3"/>
    <w:rsid w:val="00036089"/>
    <w:rsid w:val="000410C7"/>
    <w:rsid w:val="00053CFA"/>
    <w:rsid w:val="000633EC"/>
    <w:rsid w:val="00063804"/>
    <w:rsid w:val="000665A2"/>
    <w:rsid w:val="000877AB"/>
    <w:rsid w:val="000B7C08"/>
    <w:rsid w:val="000D12CF"/>
    <w:rsid w:val="000D2D88"/>
    <w:rsid w:val="000E3FE5"/>
    <w:rsid w:val="000E4B20"/>
    <w:rsid w:val="000F28E2"/>
    <w:rsid w:val="0011418F"/>
    <w:rsid w:val="00172C24"/>
    <w:rsid w:val="001D5605"/>
    <w:rsid w:val="001E59D1"/>
    <w:rsid w:val="001E5EA4"/>
    <w:rsid w:val="002042A7"/>
    <w:rsid w:val="00205911"/>
    <w:rsid w:val="002146AD"/>
    <w:rsid w:val="00240CD4"/>
    <w:rsid w:val="00267659"/>
    <w:rsid w:val="00275CB6"/>
    <w:rsid w:val="00275E98"/>
    <w:rsid w:val="002800B5"/>
    <w:rsid w:val="00295B29"/>
    <w:rsid w:val="002C1B6E"/>
    <w:rsid w:val="002D4073"/>
    <w:rsid w:val="002D577B"/>
    <w:rsid w:val="002E7098"/>
    <w:rsid w:val="00301D32"/>
    <w:rsid w:val="00340B65"/>
    <w:rsid w:val="00341B5C"/>
    <w:rsid w:val="00353AB2"/>
    <w:rsid w:val="00366FAD"/>
    <w:rsid w:val="0037105B"/>
    <w:rsid w:val="003975BA"/>
    <w:rsid w:val="003A74E6"/>
    <w:rsid w:val="003B73DD"/>
    <w:rsid w:val="003C2949"/>
    <w:rsid w:val="003D011C"/>
    <w:rsid w:val="003D2FAC"/>
    <w:rsid w:val="004108C7"/>
    <w:rsid w:val="00412DC2"/>
    <w:rsid w:val="00440041"/>
    <w:rsid w:val="00451268"/>
    <w:rsid w:val="004515AD"/>
    <w:rsid w:val="00451857"/>
    <w:rsid w:val="00453516"/>
    <w:rsid w:val="00457548"/>
    <w:rsid w:val="00470DB2"/>
    <w:rsid w:val="004925E7"/>
    <w:rsid w:val="00495B11"/>
    <w:rsid w:val="004F6FF3"/>
    <w:rsid w:val="005114F4"/>
    <w:rsid w:val="00571B49"/>
    <w:rsid w:val="005743AE"/>
    <w:rsid w:val="005B546A"/>
    <w:rsid w:val="005D64CA"/>
    <w:rsid w:val="005E5717"/>
    <w:rsid w:val="005E6DB2"/>
    <w:rsid w:val="0061433E"/>
    <w:rsid w:val="0062751D"/>
    <w:rsid w:val="00627CD0"/>
    <w:rsid w:val="006354AA"/>
    <w:rsid w:val="00656E69"/>
    <w:rsid w:val="00661AFA"/>
    <w:rsid w:val="006726BF"/>
    <w:rsid w:val="00677B77"/>
    <w:rsid w:val="0068718A"/>
    <w:rsid w:val="006A2739"/>
    <w:rsid w:val="006B5C95"/>
    <w:rsid w:val="006D393E"/>
    <w:rsid w:val="006E14B0"/>
    <w:rsid w:val="006F0108"/>
    <w:rsid w:val="00703D6C"/>
    <w:rsid w:val="00704AE6"/>
    <w:rsid w:val="007153A2"/>
    <w:rsid w:val="00724A68"/>
    <w:rsid w:val="007271BF"/>
    <w:rsid w:val="00730DD3"/>
    <w:rsid w:val="00733224"/>
    <w:rsid w:val="00764128"/>
    <w:rsid w:val="007824B8"/>
    <w:rsid w:val="007910DD"/>
    <w:rsid w:val="007A3EC1"/>
    <w:rsid w:val="007B3368"/>
    <w:rsid w:val="007D0A69"/>
    <w:rsid w:val="007D6DC4"/>
    <w:rsid w:val="007F04AD"/>
    <w:rsid w:val="00853463"/>
    <w:rsid w:val="00890282"/>
    <w:rsid w:val="00893F25"/>
    <w:rsid w:val="00895035"/>
    <w:rsid w:val="008B2B14"/>
    <w:rsid w:val="008C6AED"/>
    <w:rsid w:val="008C7604"/>
    <w:rsid w:val="008E1B27"/>
    <w:rsid w:val="00903379"/>
    <w:rsid w:val="0090652B"/>
    <w:rsid w:val="00906975"/>
    <w:rsid w:val="00917F0B"/>
    <w:rsid w:val="00917F8B"/>
    <w:rsid w:val="00960964"/>
    <w:rsid w:val="00965E4D"/>
    <w:rsid w:val="009B1C3B"/>
    <w:rsid w:val="009B1D5C"/>
    <w:rsid w:val="009C2E31"/>
    <w:rsid w:val="009E1955"/>
    <w:rsid w:val="009E5CE0"/>
    <w:rsid w:val="009F65D6"/>
    <w:rsid w:val="00A213FD"/>
    <w:rsid w:val="00A255CE"/>
    <w:rsid w:val="00A527AA"/>
    <w:rsid w:val="00A5684D"/>
    <w:rsid w:val="00A75C61"/>
    <w:rsid w:val="00A9601B"/>
    <w:rsid w:val="00AD100E"/>
    <w:rsid w:val="00AD50F2"/>
    <w:rsid w:val="00AE1E36"/>
    <w:rsid w:val="00AE74F9"/>
    <w:rsid w:val="00AF74AA"/>
    <w:rsid w:val="00B03C2F"/>
    <w:rsid w:val="00B15064"/>
    <w:rsid w:val="00B17BCB"/>
    <w:rsid w:val="00B340A3"/>
    <w:rsid w:val="00B410F5"/>
    <w:rsid w:val="00B6280C"/>
    <w:rsid w:val="00B671A4"/>
    <w:rsid w:val="00B72CD4"/>
    <w:rsid w:val="00B85B00"/>
    <w:rsid w:val="00BF132F"/>
    <w:rsid w:val="00BF3050"/>
    <w:rsid w:val="00C13878"/>
    <w:rsid w:val="00C41AD8"/>
    <w:rsid w:val="00C569C5"/>
    <w:rsid w:val="00CA1705"/>
    <w:rsid w:val="00CE1A54"/>
    <w:rsid w:val="00CF5FB6"/>
    <w:rsid w:val="00D01219"/>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0003F"/>
    <w:rsid w:val="00F06D68"/>
    <w:rsid w:val="00F14977"/>
    <w:rsid w:val="00F15B31"/>
    <w:rsid w:val="00F76CD9"/>
    <w:rsid w:val="00F8401A"/>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88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D8974"/>
  <w15:docId w15:val="{5F97FF2E-1BA5-489B-98B0-E4A9B60A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04A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B0EAA-B8BD-42BB-8034-3B5F9569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liyuan</cp:lastModifiedBy>
  <cp:revision>2</cp:revision>
  <dcterms:created xsi:type="dcterms:W3CDTF">2025-06-19T08:27:00Z</dcterms:created>
  <dcterms:modified xsi:type="dcterms:W3CDTF">2025-06-19T08:27:00Z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57D148DF2F764966BF4E1C38A6255FA2</vt:lpwstr>
  </property>
</Properties>
</file>