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2580B7">
      <w:pPr>
        <w:pStyle w:val="2"/>
        <w:spacing w:before="40"/>
        <w:ind w:left="0" w:leftChars="0" w:firstLine="240" w:firstLineChars="100"/>
        <w:jc w:val="left"/>
        <w:rPr>
          <w:rFonts w:hint="default" w:eastAsia="宋体"/>
          <w:lang w:val="en-US" w:eastAsia="zh-CN"/>
        </w:rPr>
      </w:pPr>
      <w:r>
        <w:t>证券代码：</w:t>
      </w:r>
      <w:r>
        <w:rPr>
          <w:rFonts w:hint="eastAsia"/>
          <w:lang w:val="en-US" w:eastAsia="zh-CN"/>
        </w:rPr>
        <w:t>688380</w:t>
      </w:r>
      <w:r>
        <w:t xml:space="preserve"> </w:t>
      </w:r>
      <w:r>
        <w:rPr>
          <w:rFonts w:hint="eastAsia"/>
          <w:lang w:val="en-US" w:eastAsia="zh-CN"/>
        </w:rPr>
        <w:t xml:space="preserve">                                           </w:t>
      </w:r>
      <w:r>
        <w:t>证券简称：</w:t>
      </w:r>
      <w:r>
        <w:rPr>
          <w:rFonts w:hint="eastAsia"/>
          <w:lang w:val="en-US" w:eastAsia="zh-CN"/>
        </w:rPr>
        <w:t>中微半导</w:t>
      </w:r>
    </w:p>
    <w:p w14:paraId="1F057622">
      <w:pPr>
        <w:pStyle w:val="2"/>
        <w:rPr>
          <w:sz w:val="29"/>
        </w:rPr>
      </w:pPr>
    </w:p>
    <w:p w14:paraId="33664230">
      <w:pPr>
        <w:spacing w:before="54"/>
        <w:ind w:left="1943" w:right="1782" w:firstLine="0"/>
        <w:jc w:val="center"/>
        <w:rPr>
          <w:b/>
          <w:sz w:val="32"/>
        </w:rPr>
      </w:pPr>
      <w:r>
        <w:rPr>
          <w:rFonts w:hint="eastAsia"/>
          <w:b/>
          <w:sz w:val="32"/>
          <w:lang w:val="en-US" w:eastAsia="zh-CN"/>
        </w:rPr>
        <w:t>中微半导体（深圳）</w:t>
      </w:r>
      <w:r>
        <w:rPr>
          <w:b/>
          <w:sz w:val="32"/>
        </w:rPr>
        <w:t>股份有限公司</w:t>
      </w:r>
    </w:p>
    <w:p w14:paraId="1973570D">
      <w:pPr>
        <w:spacing w:before="54"/>
        <w:ind w:left="1943" w:right="1782" w:firstLine="0"/>
        <w:jc w:val="center"/>
        <w:rPr>
          <w:rFonts w:hint="default"/>
          <w:b/>
          <w:sz w:val="32"/>
          <w:lang w:val="en-US"/>
        </w:rPr>
      </w:pPr>
      <w:r>
        <w:rPr>
          <w:b/>
          <w:sz w:val="32"/>
        </w:rPr>
        <w:t>投资者关系活动记录表</w:t>
      </w:r>
      <w:r>
        <w:rPr>
          <w:b/>
          <w:w w:val="98"/>
          <w:sz w:val="32"/>
        </w:rPr>
        <w:t xml:space="preserve"> </w:t>
      </w:r>
    </w:p>
    <w:p w14:paraId="04D080E8">
      <w:pPr>
        <w:keepNext w:val="0"/>
        <w:keepLines w:val="0"/>
        <w:pageBreakBefore w:val="0"/>
        <w:widowControl w:val="0"/>
        <w:kinsoku/>
        <w:wordWrap/>
        <w:overflowPunct/>
        <w:topLinePunct w:val="0"/>
        <w:autoSpaceDE w:val="0"/>
        <w:autoSpaceDN w:val="0"/>
        <w:bidi w:val="0"/>
        <w:adjustRightInd/>
        <w:snapToGrid/>
        <w:spacing w:before="132" w:after="21"/>
        <w:ind w:left="0" w:right="0" w:firstLine="0"/>
        <w:jc w:val="center"/>
        <w:textAlignment w:val="auto"/>
        <w:rPr>
          <w:rFonts w:hint="default"/>
          <w:sz w:val="24"/>
          <w:szCs w:val="28"/>
          <w:highlight w:val="yellow"/>
          <w:lang w:val="en-US"/>
        </w:rPr>
      </w:pPr>
      <w:r>
        <w:rPr>
          <w:rFonts w:hint="eastAsia"/>
          <w:sz w:val="24"/>
          <w:szCs w:val="28"/>
          <w:highlight w:val="none"/>
          <w:lang w:val="en-US" w:eastAsia="zh-CN"/>
        </w:rPr>
        <w:t xml:space="preserve">                                                                 </w:t>
      </w:r>
      <w:r>
        <w:rPr>
          <w:sz w:val="24"/>
          <w:szCs w:val="28"/>
          <w:highlight w:val="none"/>
        </w:rPr>
        <w:t>编号</w:t>
      </w:r>
      <w:r>
        <w:rPr>
          <w:rFonts w:hint="eastAsia"/>
          <w:sz w:val="24"/>
          <w:szCs w:val="28"/>
          <w:highlight w:val="none"/>
          <w:lang w:eastAsia="zh-CN"/>
        </w:rPr>
        <w:t>：</w:t>
      </w:r>
      <w:r>
        <w:rPr>
          <w:sz w:val="24"/>
          <w:szCs w:val="28"/>
          <w:highlight w:val="none"/>
        </w:rPr>
        <w:t>202</w:t>
      </w:r>
      <w:r>
        <w:rPr>
          <w:rFonts w:hint="eastAsia"/>
          <w:sz w:val="24"/>
          <w:szCs w:val="28"/>
          <w:highlight w:val="none"/>
          <w:lang w:val="en-US" w:eastAsia="zh-CN"/>
        </w:rPr>
        <w:t>5</w:t>
      </w:r>
      <w:r>
        <w:rPr>
          <w:sz w:val="24"/>
          <w:szCs w:val="28"/>
          <w:highlight w:val="none"/>
        </w:rPr>
        <w:t>-</w:t>
      </w:r>
      <w:r>
        <w:rPr>
          <w:rFonts w:hint="eastAsia"/>
          <w:sz w:val="24"/>
          <w:szCs w:val="28"/>
          <w:highlight w:val="none"/>
          <w:lang w:val="en-US" w:eastAsia="zh-CN"/>
        </w:rPr>
        <w:t>0</w:t>
      </w:r>
      <w:r>
        <w:rPr>
          <w:rFonts w:hint="default"/>
          <w:sz w:val="24"/>
          <w:szCs w:val="28"/>
          <w:highlight w:val="none"/>
          <w:lang w:val="en-US" w:eastAsia="zh-CN"/>
        </w:rPr>
        <w:t>08</w:t>
      </w:r>
    </w:p>
    <w:tbl>
      <w:tblPr>
        <w:tblStyle w:val="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24"/>
        <w:gridCol w:w="8220"/>
      </w:tblGrid>
      <w:tr w14:paraId="51DE1D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2" w:hRule="atLeast"/>
          <w:jc w:val="center"/>
        </w:trPr>
        <w:tc>
          <w:tcPr>
            <w:tcW w:w="1524" w:type="dxa"/>
            <w:tcMar>
              <w:top w:w="0" w:type="dxa"/>
              <w:left w:w="113" w:type="dxa"/>
              <w:bottom w:w="0" w:type="dxa"/>
              <w:right w:w="113" w:type="dxa"/>
            </w:tcMar>
            <w:vAlign w:val="center"/>
          </w:tcPr>
          <w:p w14:paraId="5C30FA51">
            <w:pPr>
              <w:pStyle w:val="8"/>
              <w:spacing w:line="242" w:lineRule="auto"/>
              <w:ind w:left="0" w:leftChars="0" w:right="72" w:firstLine="0" w:firstLineChars="0"/>
              <w:jc w:val="center"/>
              <w:rPr>
                <w:b w:val="0"/>
                <w:bCs w:val="0"/>
                <w:sz w:val="24"/>
                <w:szCs w:val="24"/>
              </w:rPr>
            </w:pPr>
            <w:r>
              <w:rPr>
                <w:b w:val="0"/>
                <w:bCs w:val="0"/>
                <w:sz w:val="24"/>
                <w:szCs w:val="24"/>
              </w:rPr>
              <w:t>投资者来访类别</w:t>
            </w:r>
          </w:p>
        </w:tc>
        <w:tc>
          <w:tcPr>
            <w:tcW w:w="8220" w:type="dxa"/>
            <w:vAlign w:val="center"/>
          </w:tcPr>
          <w:p w14:paraId="786097AF">
            <w:pPr>
              <w:pStyle w:val="8"/>
              <w:numPr>
                <w:ilvl w:val="0"/>
                <w:numId w:val="0"/>
              </w:numPr>
              <w:tabs>
                <w:tab w:val="left" w:pos="390"/>
              </w:tabs>
              <w:spacing w:before="132" w:after="0" w:line="240" w:lineRule="auto"/>
              <w:ind w:right="0" w:rightChars="0" w:firstLine="236" w:firstLineChars="100"/>
              <w:jc w:val="both"/>
              <w:rPr>
                <w:sz w:val="24"/>
                <w:szCs w:val="24"/>
              </w:rPr>
            </w:pPr>
            <w:r>
              <w:rPr>
                <w:spacing w:val="-2"/>
                <w:sz w:val="24"/>
                <w:szCs w:val="24"/>
              </w:rPr>
              <w:sym w:font="Wingdings 2" w:char="0052"/>
            </w:r>
            <w:r>
              <w:rPr>
                <w:spacing w:val="-2"/>
                <w:sz w:val="24"/>
                <w:szCs w:val="24"/>
              </w:rPr>
              <w:t xml:space="preserve"> 特定对象调研 </w:t>
            </w:r>
            <w:r>
              <w:rPr>
                <w:rFonts w:hint="eastAsia"/>
                <w:spacing w:val="-2"/>
                <w:sz w:val="24"/>
                <w:szCs w:val="24"/>
                <w:lang w:val="en-US" w:eastAsia="zh-CN"/>
              </w:rPr>
              <w:t xml:space="preserve">                    </w:t>
            </w:r>
            <w:r>
              <w:rPr>
                <w:spacing w:val="-2"/>
                <w:sz w:val="24"/>
                <w:szCs w:val="24"/>
              </w:rPr>
              <w:sym w:font="Wingdings 2" w:char="0052"/>
            </w:r>
            <w:r>
              <w:rPr>
                <w:rFonts w:hint="eastAsia"/>
                <w:spacing w:val="-2"/>
                <w:sz w:val="24"/>
                <w:szCs w:val="24"/>
                <w:lang w:val="en-US" w:eastAsia="zh-CN"/>
              </w:rPr>
              <w:t xml:space="preserve"> </w:t>
            </w:r>
            <w:r>
              <w:rPr>
                <w:spacing w:val="-2"/>
                <w:sz w:val="24"/>
                <w:szCs w:val="24"/>
              </w:rPr>
              <w:t>分析师会议</w:t>
            </w:r>
          </w:p>
          <w:p w14:paraId="6CDE1B41">
            <w:pPr>
              <w:pStyle w:val="8"/>
              <w:spacing w:before="9"/>
              <w:ind w:left="0"/>
              <w:jc w:val="both"/>
              <w:rPr>
                <w:sz w:val="24"/>
                <w:szCs w:val="24"/>
              </w:rPr>
            </w:pPr>
          </w:p>
          <w:p w14:paraId="732BB210">
            <w:pPr>
              <w:pStyle w:val="8"/>
              <w:ind w:left="0" w:leftChars="0" w:firstLine="240" w:firstLineChars="100"/>
              <w:jc w:val="both"/>
              <w:rPr>
                <w:sz w:val="24"/>
                <w:szCs w:val="24"/>
              </w:rPr>
            </w:pPr>
            <w:r>
              <w:rPr>
                <w:sz w:val="24"/>
                <w:szCs w:val="24"/>
              </w:rPr>
              <w:sym w:font="Wingdings 2" w:char="00A3"/>
            </w:r>
            <w:r>
              <w:rPr>
                <w:sz w:val="24"/>
                <w:szCs w:val="24"/>
              </w:rPr>
              <w:t xml:space="preserve"> 媒体采访 </w:t>
            </w:r>
            <w:r>
              <w:rPr>
                <w:rFonts w:hint="eastAsia"/>
                <w:sz w:val="24"/>
                <w:szCs w:val="24"/>
                <w:lang w:val="en-US" w:eastAsia="zh-CN"/>
              </w:rPr>
              <w:t xml:space="preserve">                        </w:t>
            </w:r>
            <w:r>
              <w:rPr>
                <w:spacing w:val="-2"/>
                <w:sz w:val="24"/>
                <w:szCs w:val="24"/>
              </w:rPr>
              <w:sym w:font="Wingdings 2" w:char="00A3"/>
            </w:r>
            <w:r>
              <w:rPr>
                <w:rFonts w:hint="eastAsia"/>
                <w:spacing w:val="-2"/>
                <w:sz w:val="24"/>
                <w:szCs w:val="24"/>
                <w:lang w:val="en-US" w:eastAsia="zh-CN"/>
              </w:rPr>
              <w:t xml:space="preserve"> </w:t>
            </w:r>
            <w:r>
              <w:rPr>
                <w:sz w:val="24"/>
                <w:szCs w:val="24"/>
              </w:rPr>
              <w:t>业绩说明会</w:t>
            </w:r>
          </w:p>
          <w:p w14:paraId="1B424389">
            <w:pPr>
              <w:pStyle w:val="8"/>
              <w:spacing w:before="9"/>
              <w:ind w:left="0"/>
              <w:jc w:val="both"/>
              <w:rPr>
                <w:sz w:val="24"/>
                <w:szCs w:val="24"/>
              </w:rPr>
            </w:pPr>
          </w:p>
          <w:p w14:paraId="2EDC7824">
            <w:pPr>
              <w:pStyle w:val="8"/>
              <w:ind w:left="0" w:leftChars="0" w:firstLine="240" w:firstLineChars="100"/>
              <w:jc w:val="both"/>
              <w:rPr>
                <w:sz w:val="24"/>
                <w:szCs w:val="24"/>
              </w:rPr>
            </w:pPr>
            <w:r>
              <w:rPr>
                <w:sz w:val="24"/>
                <w:szCs w:val="24"/>
              </w:rPr>
              <w:sym w:font="Wingdings 2" w:char="00A3"/>
            </w:r>
            <w:r>
              <w:rPr>
                <w:rFonts w:hint="eastAsia"/>
                <w:sz w:val="24"/>
                <w:szCs w:val="24"/>
                <w:lang w:val="en-US" w:eastAsia="zh-CN"/>
              </w:rPr>
              <w:t xml:space="preserve"> </w:t>
            </w:r>
            <w:r>
              <w:rPr>
                <w:sz w:val="24"/>
                <w:szCs w:val="24"/>
              </w:rPr>
              <w:t>新闻发布会</w:t>
            </w:r>
            <w:r>
              <w:rPr>
                <w:rFonts w:hint="eastAsia"/>
                <w:sz w:val="24"/>
                <w:szCs w:val="24"/>
                <w:lang w:val="en-US" w:eastAsia="zh-CN"/>
              </w:rPr>
              <w:t xml:space="preserve">                       </w:t>
            </w:r>
            <w:r>
              <w:rPr>
                <w:sz w:val="24"/>
                <w:szCs w:val="24"/>
              </w:rPr>
              <w:sym w:font="Wingdings 2" w:char="00A3"/>
            </w:r>
            <w:r>
              <w:rPr>
                <w:rFonts w:hint="eastAsia"/>
                <w:sz w:val="24"/>
                <w:szCs w:val="24"/>
                <w:lang w:val="en-US" w:eastAsia="zh-CN"/>
              </w:rPr>
              <w:t xml:space="preserve"> </w:t>
            </w:r>
            <w:r>
              <w:rPr>
                <w:sz w:val="24"/>
                <w:szCs w:val="24"/>
              </w:rPr>
              <w:t>路演活动</w:t>
            </w:r>
          </w:p>
          <w:p w14:paraId="10160FA8">
            <w:pPr>
              <w:pStyle w:val="8"/>
              <w:spacing w:before="9"/>
              <w:ind w:left="0"/>
              <w:jc w:val="both"/>
              <w:rPr>
                <w:sz w:val="24"/>
                <w:szCs w:val="24"/>
              </w:rPr>
            </w:pPr>
          </w:p>
          <w:p w14:paraId="691182BC">
            <w:pPr>
              <w:pStyle w:val="8"/>
              <w:ind w:left="0" w:leftChars="0" w:firstLine="236" w:firstLineChars="100"/>
              <w:jc w:val="both"/>
              <w:rPr>
                <w:rFonts w:hint="default" w:eastAsia="宋体"/>
                <w:sz w:val="24"/>
                <w:lang w:val="en-US" w:eastAsia="zh-CN"/>
              </w:rPr>
            </w:pPr>
            <w:r>
              <w:rPr>
                <w:spacing w:val="-2"/>
                <w:sz w:val="24"/>
                <w:szCs w:val="24"/>
              </w:rPr>
              <w:sym w:font="Wingdings 2" w:char="0052"/>
            </w:r>
            <w:r>
              <w:rPr>
                <w:rFonts w:hint="eastAsia"/>
                <w:spacing w:val="-2"/>
                <w:sz w:val="24"/>
                <w:szCs w:val="24"/>
                <w:lang w:val="en-US" w:eastAsia="zh-CN"/>
              </w:rPr>
              <w:t xml:space="preserve"> </w:t>
            </w:r>
            <w:r>
              <w:rPr>
                <w:sz w:val="24"/>
                <w:szCs w:val="24"/>
              </w:rPr>
              <w:t>现场参观</w:t>
            </w:r>
            <w:r>
              <w:rPr>
                <w:rFonts w:hint="eastAsia"/>
                <w:sz w:val="24"/>
                <w:szCs w:val="24"/>
                <w:lang w:val="en-US" w:eastAsia="zh-CN"/>
              </w:rPr>
              <w:t xml:space="preserve">                         </w:t>
            </w:r>
            <w:r>
              <w:rPr>
                <w:sz w:val="24"/>
                <w:szCs w:val="24"/>
              </w:rPr>
              <w:sym w:font="Wingdings 2" w:char="00A3"/>
            </w:r>
            <w:r>
              <w:rPr>
                <w:sz w:val="24"/>
                <w:szCs w:val="24"/>
              </w:rPr>
              <w:t xml:space="preserve"> 其他 </w:t>
            </w:r>
            <w:r>
              <w:rPr>
                <w:rFonts w:hint="eastAsia"/>
                <w:sz w:val="24"/>
                <w:szCs w:val="24"/>
                <w:lang w:eastAsia="zh-CN"/>
              </w:rPr>
              <w:t>（</w:t>
            </w:r>
            <w:r>
              <w:rPr>
                <w:rFonts w:hint="eastAsia"/>
                <w:sz w:val="24"/>
                <w:szCs w:val="24"/>
                <w:lang w:val="en-US" w:eastAsia="zh-CN"/>
              </w:rPr>
              <w:t>线上调研）</w:t>
            </w:r>
          </w:p>
        </w:tc>
      </w:tr>
      <w:tr w14:paraId="7220F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8" w:hRule="atLeast"/>
          <w:jc w:val="center"/>
        </w:trPr>
        <w:tc>
          <w:tcPr>
            <w:tcW w:w="1524" w:type="dxa"/>
            <w:tcMar>
              <w:top w:w="0" w:type="dxa"/>
              <w:left w:w="113" w:type="dxa"/>
              <w:bottom w:w="0" w:type="dxa"/>
              <w:right w:w="113" w:type="dxa"/>
            </w:tcMar>
            <w:vAlign w:val="center"/>
          </w:tcPr>
          <w:p w14:paraId="48FE3DEB">
            <w:pPr>
              <w:pStyle w:val="8"/>
              <w:spacing w:before="156" w:line="242" w:lineRule="auto"/>
              <w:ind w:left="107" w:right="71"/>
              <w:jc w:val="center"/>
              <w:rPr>
                <w:b w:val="0"/>
                <w:bCs w:val="0"/>
                <w:sz w:val="24"/>
                <w:szCs w:val="24"/>
              </w:rPr>
            </w:pPr>
            <w:r>
              <w:rPr>
                <w:b w:val="0"/>
                <w:bCs w:val="0"/>
                <w:sz w:val="24"/>
                <w:szCs w:val="24"/>
              </w:rPr>
              <w:t>参与单位名称</w:t>
            </w:r>
          </w:p>
        </w:tc>
        <w:tc>
          <w:tcPr>
            <w:tcW w:w="8220" w:type="dxa"/>
            <w:vAlign w:val="center"/>
          </w:tcPr>
          <w:p w14:paraId="1D525856">
            <w:pPr>
              <w:pStyle w:val="8"/>
              <w:keepNext w:val="0"/>
              <w:keepLines w:val="0"/>
              <w:pageBreakBefore w:val="0"/>
              <w:widowControl w:val="0"/>
              <w:kinsoku/>
              <w:wordWrap/>
              <w:overflowPunct/>
              <w:topLinePunct w:val="0"/>
              <w:autoSpaceDE w:val="0"/>
              <w:autoSpaceDN w:val="0"/>
              <w:bidi w:val="0"/>
              <w:adjustRightInd/>
              <w:snapToGrid/>
              <w:spacing w:before="156" w:line="360" w:lineRule="auto"/>
              <w:ind w:left="108" w:right="-28"/>
              <w:jc w:val="both"/>
              <w:textAlignment w:val="auto"/>
              <w:rPr>
                <w:rFonts w:hint="default"/>
                <w:sz w:val="24"/>
                <w:lang w:val="en-US" w:eastAsia="zh-CN"/>
              </w:rPr>
            </w:pPr>
            <w:r>
              <w:rPr>
                <w:rFonts w:hint="eastAsia"/>
                <w:sz w:val="24"/>
                <w:lang w:val="en-US" w:eastAsia="zh-CN"/>
              </w:rPr>
              <w:t xml:space="preserve">   申万宏源证券、</w:t>
            </w:r>
            <w:r>
              <w:rPr>
                <w:rFonts w:hint="eastAsia"/>
                <w:sz w:val="24"/>
                <w:szCs w:val="24"/>
                <w:lang w:val="en-US" w:eastAsia="zh-CN"/>
              </w:rPr>
              <w:t>东北证券、宝盈基金、诺安基金、信达澳亚、珞珈聚芯基金、深圳万利富达投资、深圳市万利富达投资、深圳引力私募、深圳担保集团、双立合并基金、中创前海资本、深圳希普瑞科技、深圳前海宏惟创世资本管理、深圳巨牛投资管理、深圳市同威投资管理、广东大兴华旗资产管理、东方腾润资产管理、中国建设银行深圳湾支行、深圳长茂资产管理、深圳市志成兄弟、深圳大地金科技、深圳希普瑞科技、深圳榕树投资、深圳金凡私募基金管理、深圳金信诺亚金融服务、深圳市中科科地、深圳红岸私募基金管理、深圳市前海骏杰资产管理、东方财富证券、信风投资、亚太汇金基金管理、黄石国资基金、长城证券、深圳市中翔资本</w:t>
            </w:r>
          </w:p>
        </w:tc>
      </w:tr>
      <w:tr w14:paraId="139FA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21BBEB87">
            <w:pPr>
              <w:pStyle w:val="8"/>
              <w:spacing w:before="170" w:line="289" w:lineRule="exact"/>
              <w:ind w:left="107"/>
              <w:jc w:val="center"/>
              <w:rPr>
                <w:b w:val="0"/>
                <w:bCs w:val="0"/>
                <w:sz w:val="24"/>
                <w:szCs w:val="24"/>
              </w:rPr>
            </w:pPr>
            <w:r>
              <w:rPr>
                <w:b w:val="0"/>
                <w:bCs w:val="0"/>
                <w:sz w:val="24"/>
                <w:szCs w:val="24"/>
              </w:rPr>
              <w:t>时间</w:t>
            </w:r>
          </w:p>
        </w:tc>
        <w:tc>
          <w:tcPr>
            <w:tcW w:w="8220" w:type="dxa"/>
            <w:vAlign w:val="center"/>
          </w:tcPr>
          <w:p w14:paraId="075846D8">
            <w:pPr>
              <w:pStyle w:val="8"/>
              <w:spacing w:before="170" w:line="289" w:lineRule="exact"/>
              <w:jc w:val="both"/>
              <w:rPr>
                <w:rFonts w:hint="default" w:eastAsia="宋体"/>
                <w:sz w:val="24"/>
                <w:lang w:val="en-US" w:eastAsia="zh-CN"/>
              </w:rPr>
            </w:pPr>
            <w:r>
              <w:rPr>
                <w:rFonts w:hint="eastAsia"/>
                <w:sz w:val="24"/>
                <w:lang w:val="en-US" w:eastAsia="zh-CN"/>
              </w:rPr>
              <w:t>2025</w:t>
            </w:r>
            <w:r>
              <w:rPr>
                <w:sz w:val="24"/>
              </w:rPr>
              <w:t>年</w:t>
            </w:r>
            <w:r>
              <w:rPr>
                <w:rFonts w:hint="eastAsia"/>
                <w:sz w:val="24"/>
                <w:lang w:val="en-US" w:eastAsia="zh-CN"/>
              </w:rPr>
              <w:t>6</w:t>
            </w:r>
            <w:r>
              <w:rPr>
                <w:sz w:val="24"/>
              </w:rPr>
              <w:t>月</w:t>
            </w:r>
            <w:r>
              <w:rPr>
                <w:rFonts w:hint="eastAsia"/>
                <w:sz w:val="24"/>
                <w:lang w:val="en-US" w:eastAsia="zh-CN"/>
              </w:rPr>
              <w:t>18-19日</w:t>
            </w:r>
          </w:p>
        </w:tc>
      </w:tr>
      <w:tr w14:paraId="77F45B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jc w:val="center"/>
        </w:trPr>
        <w:tc>
          <w:tcPr>
            <w:tcW w:w="1524" w:type="dxa"/>
            <w:tcMar>
              <w:top w:w="0" w:type="dxa"/>
              <w:left w:w="113" w:type="dxa"/>
              <w:bottom w:w="0" w:type="dxa"/>
              <w:right w:w="113" w:type="dxa"/>
            </w:tcMar>
            <w:vAlign w:val="center"/>
          </w:tcPr>
          <w:p w14:paraId="39EB5C8F">
            <w:pPr>
              <w:pStyle w:val="8"/>
              <w:spacing w:before="170" w:line="289" w:lineRule="exact"/>
              <w:ind w:left="107"/>
              <w:jc w:val="center"/>
              <w:rPr>
                <w:b w:val="0"/>
                <w:bCs w:val="0"/>
                <w:sz w:val="24"/>
                <w:szCs w:val="24"/>
              </w:rPr>
            </w:pPr>
            <w:r>
              <w:rPr>
                <w:b w:val="0"/>
                <w:bCs w:val="0"/>
                <w:sz w:val="24"/>
                <w:szCs w:val="24"/>
              </w:rPr>
              <w:t>地点</w:t>
            </w:r>
          </w:p>
        </w:tc>
        <w:tc>
          <w:tcPr>
            <w:tcW w:w="8220" w:type="dxa"/>
            <w:vAlign w:val="center"/>
          </w:tcPr>
          <w:p w14:paraId="53186284">
            <w:pPr>
              <w:pStyle w:val="8"/>
              <w:spacing w:before="170" w:line="289" w:lineRule="exact"/>
              <w:jc w:val="both"/>
              <w:rPr>
                <w:rFonts w:hint="default" w:eastAsia="宋体"/>
                <w:sz w:val="24"/>
                <w:lang w:val="en-US" w:eastAsia="zh-CN"/>
              </w:rPr>
            </w:pPr>
            <w:r>
              <w:rPr>
                <w:rFonts w:hint="eastAsia"/>
                <w:sz w:val="24"/>
                <w:lang w:val="en-US" w:eastAsia="zh-CN"/>
              </w:rPr>
              <w:t>深圳</w:t>
            </w:r>
          </w:p>
        </w:tc>
      </w:tr>
      <w:tr w14:paraId="2CDEDF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28421AAF">
            <w:pPr>
              <w:pStyle w:val="8"/>
              <w:spacing w:before="60" w:line="242" w:lineRule="auto"/>
              <w:ind w:left="107" w:right="72"/>
              <w:jc w:val="center"/>
              <w:rPr>
                <w:b w:val="0"/>
                <w:bCs w:val="0"/>
                <w:sz w:val="24"/>
                <w:szCs w:val="24"/>
              </w:rPr>
            </w:pPr>
            <w:r>
              <w:rPr>
                <w:b w:val="0"/>
                <w:bCs w:val="0"/>
                <w:sz w:val="24"/>
                <w:szCs w:val="24"/>
              </w:rPr>
              <w:t>上市公司接待人员姓名</w:t>
            </w:r>
          </w:p>
        </w:tc>
        <w:tc>
          <w:tcPr>
            <w:tcW w:w="8220" w:type="dxa"/>
            <w:vAlign w:val="center"/>
          </w:tcPr>
          <w:p w14:paraId="0EB18801">
            <w:pPr>
              <w:pStyle w:val="8"/>
              <w:spacing w:before="170"/>
              <w:jc w:val="both"/>
              <w:rPr>
                <w:rFonts w:hint="default"/>
                <w:sz w:val="24"/>
                <w:lang w:val="en-US" w:eastAsia="zh-CN"/>
              </w:rPr>
            </w:pPr>
            <w:r>
              <w:rPr>
                <w:rFonts w:hint="eastAsia"/>
                <w:sz w:val="24"/>
                <w:lang w:val="en-US" w:eastAsia="zh-CN"/>
              </w:rPr>
              <w:t>董事会秘书、财务总监：吴新元</w:t>
            </w:r>
          </w:p>
        </w:tc>
      </w:tr>
      <w:tr w14:paraId="421F5F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2" w:hRule="atLeast"/>
          <w:jc w:val="center"/>
        </w:trPr>
        <w:tc>
          <w:tcPr>
            <w:tcW w:w="1524" w:type="dxa"/>
            <w:tcMar>
              <w:top w:w="0" w:type="dxa"/>
              <w:left w:w="113" w:type="dxa"/>
              <w:bottom w:w="0" w:type="dxa"/>
              <w:right w:w="113" w:type="dxa"/>
            </w:tcMar>
            <w:vAlign w:val="center"/>
          </w:tcPr>
          <w:p w14:paraId="17AA6BEC">
            <w:pPr>
              <w:pStyle w:val="8"/>
              <w:spacing w:before="60" w:line="242" w:lineRule="auto"/>
              <w:ind w:left="107" w:right="72"/>
              <w:jc w:val="center"/>
              <w:rPr>
                <w:b w:val="0"/>
                <w:bCs w:val="0"/>
                <w:sz w:val="24"/>
                <w:szCs w:val="24"/>
              </w:rPr>
            </w:pPr>
            <w:r>
              <w:rPr>
                <w:rFonts w:hint="eastAsia"/>
                <w:b w:val="0"/>
                <w:bCs w:val="0"/>
                <w:sz w:val="24"/>
                <w:szCs w:val="24"/>
              </w:rPr>
              <w:t>投资者关系活动主要内容介绍</w:t>
            </w:r>
          </w:p>
        </w:tc>
        <w:tc>
          <w:tcPr>
            <w:tcW w:w="8220" w:type="dxa"/>
            <w:tcMar>
              <w:top w:w="170" w:type="dxa"/>
              <w:left w:w="170" w:type="dxa"/>
              <w:bottom w:w="170" w:type="dxa"/>
              <w:right w:w="170" w:type="dxa"/>
            </w:tcMar>
            <w:vAlign w:val="center"/>
          </w:tcPr>
          <w:p w14:paraId="4BCC6FD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公司基本情况介绍</w:t>
            </w:r>
          </w:p>
          <w:p w14:paraId="48D8C84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 xml:space="preserve">    中微半导是一家以MCU为核心的平台型芯片设计企业，技术布局围绕智能控制器的核心芯片MCU设计技术向信号输入（adc、dac）、电源(AC-DC、DC-DC)、驱动、无线连接（WIFI、bluetooth、2.5G）和底层软件等方面拓展，力求掌握全面的数模混合设计能力，为智能控制器提供芯片级一站式解决方案。公司采Fabless经营模式，专注于芯片设计与推广销售，生产采取委外代工模式进行，具体产品包括8位及32位MCU、特定的SoC和专用芯片，广泛应用于消费电子、家用电器、工业控制和汽车电子的控制器中。公司秉持“以市场为导向，以客户为中心”的经营理念，确保“营收规模、高端市场占比双扩大”。去年实现营收9.1亿元，营收和利润双增长；今年依然保持良好的增长态势。</w:t>
            </w:r>
          </w:p>
          <w:p w14:paraId="0001DED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200" w:right="0" w:right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二、交流问答</w:t>
            </w:r>
          </w:p>
          <w:p w14:paraId="588650B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1.公司汽车电子芯片进展比较快，请谈谈汽车电子芯片方面的规划和未来营收展望？</w:t>
            </w:r>
          </w:p>
          <w:p w14:paraId="3107FA4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车规MCU是公司发展的最重要战略方向，公司把研发资源向车规级产品倾斜，同时在研发流程、质控体系、产品认证等方面针对汽车电子需求进行很多改进和提高。我们车规芯片的整体规划是从小资源向大资源、从节点控制向域控制、从车身控制向底盘控制发展，同时把各内核的产品系列化，做齐做全，满足更多的应用场景。</w:t>
            </w:r>
          </w:p>
          <w:p w14:paraId="249610F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当前公司在售的车规MCU产品是M0</w:t>
            </w:r>
            <w:bookmarkStart w:id="0" w:name="_GoBack"/>
            <w:bookmarkEnd w:id="0"/>
            <w:r>
              <w:rPr>
                <w:rFonts w:hint="eastAsia" w:cs="宋体"/>
                <w:b w:val="0"/>
                <w:bCs w:val="0"/>
                <w:sz w:val="24"/>
                <w:szCs w:val="24"/>
                <w:lang w:val="en-US" w:eastAsia="zh-CN" w:bidi="zh-CN"/>
              </w:rPr>
              <w:t>+内核，主要应用在车身控制方面；今年会推出资源更大、算力更强的M4内核产品，会满足域控制的资源需求。去年车规MCU营收只有小几千万，今年会有显著增长；随着公司车规级MCU的口碑传播和更多车规产品的投放，车规产品收入增长还会提速，未来车规产品一定会是公司收入的半壁江山。</w:t>
            </w:r>
          </w:p>
          <w:p w14:paraId="6DA6585B">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 w:leftChars="0" w:right="0" w:rightChars="0" w:firstLine="480" w:firstLine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市场中很多新成立的芯片设计公司均把汽车电子芯片作为主要研发方面，甚至把研发资源在车规方面All in，公司怎么看待这种现象，会不会也这样？</w:t>
            </w:r>
          </w:p>
          <w:p w14:paraId="34892AB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答：汽车电子是MCU的高端应用市场，有研究资料显示，汽车电子占1/3的MCU市场规模，因此所有的芯片设计公司都在布局和抢夺这个市场。新公司把研发资源All in在车规产品，一方面是低端市场竞争很激烈，新公司难以在这种惨烈的市场中获得机会；另一方面新公司直接进入技术壁垒更高的汽车市场以显示自身技术实力，便于获得资本的青睐。但车规市场投资大、品质要求高、见效慢，我们认为品质的提高需要经历一个市场磨砺和检验的过程，品质控制达到了高端应用领域标准后才能进入高端市场。作为老牌的芯片设计公司，我们产品已经在消费电子、家用电器、工业控制和汽车电子市场得到广泛应用，我们每一块市场都在按照规划投入。对于车规市场，公司的研发资源不会AII in，但会向车规产品倾斜。</w:t>
            </w:r>
          </w:p>
          <w:p w14:paraId="52711CF8">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 w:leftChars="0" w:right="0" w:rightChars="0" w:firstLine="480" w:firstLine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目前公司车规产品通过tier1进入车企，请问公司已经有哪些车企和tier1客户？</w:t>
            </w:r>
          </w:p>
          <w:p w14:paraId="71E2B08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 xml:space="preserve">答：有大明电子、三花智控、四方光电、天有为、吉利、小米、红旗、东风、长安、赛力斯等客户。 </w:t>
            </w:r>
          </w:p>
          <w:p w14:paraId="404DB8C6">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 w:leftChars="0" w:right="0" w:rightChars="0" w:firstLine="480" w:firstLine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谈谈公司无刷电机驱动控制业务方面的展望？</w:t>
            </w:r>
          </w:p>
          <w:p w14:paraId="326C1DD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无刷电子的应用场景会越来越多，因此无刷电机驱动控制芯片市场增长很快。公司2018年开始布局无刷电子驱动控制板块，我们用“32位MCU+电机控制底层算法+栅极驱动”形成无刷电机控制方案，2019年实现收入，去年营收占比已经超过2成。此块业务增长比较明显，无论从目前的订单数量还是客户结构来看，这种快速增长有望持续。</w:t>
            </w:r>
          </w:p>
          <w:p w14:paraId="43AE04A7">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 w:leftChars="0" w:right="0" w:rightChars="0" w:firstLine="480" w:firstLine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公司机器人客户方面，除了宇树以外还有哪些知名客户？</w:t>
            </w:r>
          </w:p>
          <w:p w14:paraId="1A2D95B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答：公司早期的机器人客户通常通过代理商导入，目前有更多的知名客户在与公司直接对接中。</w:t>
            </w:r>
          </w:p>
          <w:p w14:paraId="30551D01">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0" w:leftChars="0" w:right="0" w:rightChars="0" w:firstLine="480" w:firstLineChars="0"/>
              <w:jc w:val="both"/>
              <w:textAlignment w:val="auto"/>
              <w:rPr>
                <w:rFonts w:hint="eastAsia" w:cs="宋体"/>
                <w:b w:val="0"/>
                <w:bCs w:val="0"/>
                <w:sz w:val="24"/>
                <w:szCs w:val="24"/>
                <w:lang w:val="en-US" w:eastAsia="zh-CN" w:bidi="zh-CN"/>
              </w:rPr>
            </w:pPr>
            <w:r>
              <w:rPr>
                <w:rFonts w:hint="eastAsia" w:cs="宋体"/>
                <w:b w:val="0"/>
                <w:bCs w:val="0"/>
                <w:sz w:val="24"/>
                <w:szCs w:val="24"/>
                <w:lang w:val="en-US" w:eastAsia="zh-CN" w:bidi="zh-CN"/>
              </w:rPr>
              <w:t>据我所知，在大家电的主控方面还主要由国际大厂把控，请问公司在大家电主控方面的布局规划和何时能做到全面国产替代？</w:t>
            </w:r>
          </w:p>
          <w:p w14:paraId="512A6E7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早在2022年，公司就推出首款满足大家电控制需求的芯片。今年，公司对首款大家电芯片进行了改版，随着新版芯片的量产推广和公司产品品质在汽车电子领域应用的成功示范，公司产品在大家电中进行国产替代会加速。这也是公司业务增长的巨大空间。</w:t>
            </w:r>
          </w:p>
          <w:p w14:paraId="64D2A7E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7.请问公司产品的迭代周期是多长？</w:t>
            </w:r>
          </w:p>
          <w:p w14:paraId="358C41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firstLine="480" w:firstLineChars="200"/>
              <w:jc w:val="both"/>
              <w:textAlignment w:val="auto"/>
              <w:rPr>
                <w:rFonts w:hint="default" w:cs="宋体"/>
                <w:b w:val="0"/>
                <w:bCs w:val="0"/>
                <w:sz w:val="24"/>
                <w:szCs w:val="24"/>
                <w:lang w:val="en-US" w:eastAsia="zh-CN" w:bidi="zh-CN"/>
              </w:rPr>
            </w:pPr>
            <w:r>
              <w:rPr>
                <w:rFonts w:hint="eastAsia" w:cs="宋体"/>
                <w:b w:val="0"/>
                <w:bCs w:val="0"/>
                <w:sz w:val="24"/>
                <w:szCs w:val="24"/>
                <w:lang w:val="en-US" w:eastAsia="zh-CN" w:bidi="zh-CN"/>
              </w:rPr>
              <w:t>答：通常是6个月到2年会迭代一次。</w:t>
            </w:r>
          </w:p>
          <w:p w14:paraId="1667D2B6">
            <w:pPr>
              <w:pStyle w:val="8"/>
              <w:numPr>
                <w:ilvl w:val="0"/>
                <w:numId w:val="0"/>
              </w:numPr>
              <w:spacing w:before="170" w:line="360" w:lineRule="auto"/>
              <w:ind w:right="0" w:rightChars="0" w:firstLine="480" w:firstLineChars="200"/>
              <w:jc w:val="both"/>
              <w:rPr>
                <w:rFonts w:hint="default" w:cs="宋体"/>
                <w:b w:val="0"/>
                <w:bCs w:val="0"/>
                <w:sz w:val="24"/>
                <w:szCs w:val="24"/>
                <w:lang w:val="en-US" w:eastAsia="zh-CN" w:bidi="zh-CN"/>
              </w:rPr>
            </w:pPr>
          </w:p>
        </w:tc>
      </w:tr>
    </w:tbl>
    <w:p w14:paraId="4E79A505">
      <w:pPr>
        <w:spacing w:before="23"/>
        <w:ind w:right="0"/>
        <w:jc w:val="left"/>
        <w:rPr>
          <w:sz w:val="21"/>
        </w:rPr>
      </w:pPr>
    </w:p>
    <w:sectPr>
      <w:pgSz w:w="11910" w:h="16840"/>
      <w:pgMar w:top="1417" w:right="1134" w:bottom="1417" w:left="1134" w:header="720" w:footer="720" w:gutter="0"/>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panose1 w:val="050201020105070707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5FF9D"/>
    <w:multiLevelType w:val="singleLevel"/>
    <w:tmpl w:val="8965FF9D"/>
    <w:lvl w:ilvl="0" w:tentative="0">
      <w:start w:val="1"/>
      <w:numFmt w:val="chineseCounting"/>
      <w:suff w:val="nothing"/>
      <w:lvlText w:val="%1、"/>
      <w:lvlJc w:val="left"/>
      <w:rPr>
        <w:rFonts w:hint="eastAsia"/>
      </w:rPr>
    </w:lvl>
  </w:abstractNum>
  <w:abstractNum w:abstractNumId="1">
    <w:nsid w:val="4C193B56"/>
    <w:multiLevelType w:val="singleLevel"/>
    <w:tmpl w:val="4C193B56"/>
    <w:lvl w:ilvl="0" w:tentative="0">
      <w:start w:val="2"/>
      <w:numFmt w:val="decimal"/>
      <w:lvlText w:val="%1."/>
      <w:lvlJc w:val="left"/>
      <w:pPr>
        <w:tabs>
          <w:tab w:val="left" w:pos="312"/>
        </w:tabs>
        <w:ind w:left="-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72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BlMDY5ZWU5ZTU1NWY2ODBmOTlkNmNjYWI5MGJjNTAifQ=="/>
  </w:docVars>
  <w:rsids>
    <w:rsidRoot w:val="00000000"/>
    <w:rsid w:val="00FD233D"/>
    <w:rsid w:val="034E33FD"/>
    <w:rsid w:val="049B5140"/>
    <w:rsid w:val="062260D2"/>
    <w:rsid w:val="06B7310D"/>
    <w:rsid w:val="0BCE5827"/>
    <w:rsid w:val="0DDA5BAA"/>
    <w:rsid w:val="0E561013"/>
    <w:rsid w:val="0E842633"/>
    <w:rsid w:val="103109BE"/>
    <w:rsid w:val="1047628F"/>
    <w:rsid w:val="107E6170"/>
    <w:rsid w:val="10CC52F7"/>
    <w:rsid w:val="140D0007"/>
    <w:rsid w:val="144018FC"/>
    <w:rsid w:val="1BA42A8E"/>
    <w:rsid w:val="1E26359B"/>
    <w:rsid w:val="1E491273"/>
    <w:rsid w:val="1E6B5B60"/>
    <w:rsid w:val="1F0D324E"/>
    <w:rsid w:val="204505AD"/>
    <w:rsid w:val="20E85DAE"/>
    <w:rsid w:val="23EE6D8C"/>
    <w:rsid w:val="24E24D18"/>
    <w:rsid w:val="24EC5A02"/>
    <w:rsid w:val="26CB631A"/>
    <w:rsid w:val="275135B6"/>
    <w:rsid w:val="296C29CE"/>
    <w:rsid w:val="2D600F4C"/>
    <w:rsid w:val="2E567099"/>
    <w:rsid w:val="2ED94800"/>
    <w:rsid w:val="302C44F1"/>
    <w:rsid w:val="30975408"/>
    <w:rsid w:val="32954240"/>
    <w:rsid w:val="337066A2"/>
    <w:rsid w:val="33CF2630"/>
    <w:rsid w:val="36CF10AF"/>
    <w:rsid w:val="37B625EF"/>
    <w:rsid w:val="380A05F1"/>
    <w:rsid w:val="39F5707E"/>
    <w:rsid w:val="3A0A3E69"/>
    <w:rsid w:val="3B073DC4"/>
    <w:rsid w:val="3C77021F"/>
    <w:rsid w:val="3CC11A84"/>
    <w:rsid w:val="3DFB3C74"/>
    <w:rsid w:val="3E9A2106"/>
    <w:rsid w:val="402D334F"/>
    <w:rsid w:val="417A669A"/>
    <w:rsid w:val="42417305"/>
    <w:rsid w:val="437368FD"/>
    <w:rsid w:val="44E37ACA"/>
    <w:rsid w:val="46841EBD"/>
    <w:rsid w:val="46DB063D"/>
    <w:rsid w:val="4CE76CFB"/>
    <w:rsid w:val="4F3A3B86"/>
    <w:rsid w:val="51CD61A5"/>
    <w:rsid w:val="54F9428D"/>
    <w:rsid w:val="58B36C53"/>
    <w:rsid w:val="58B91A1A"/>
    <w:rsid w:val="5E056C86"/>
    <w:rsid w:val="61AB2679"/>
    <w:rsid w:val="627666FF"/>
    <w:rsid w:val="64360FA4"/>
    <w:rsid w:val="645218B2"/>
    <w:rsid w:val="64E10284"/>
    <w:rsid w:val="65864EAB"/>
    <w:rsid w:val="65AC0BA1"/>
    <w:rsid w:val="681B2F11"/>
    <w:rsid w:val="684E7F52"/>
    <w:rsid w:val="6860573C"/>
    <w:rsid w:val="69007D35"/>
    <w:rsid w:val="6A8F2D01"/>
    <w:rsid w:val="6AA221E0"/>
    <w:rsid w:val="6AFE35FB"/>
    <w:rsid w:val="6BF33738"/>
    <w:rsid w:val="6C060AF4"/>
    <w:rsid w:val="6E5114E1"/>
    <w:rsid w:val="6E8B4575"/>
    <w:rsid w:val="6F441EB0"/>
    <w:rsid w:val="6F8659FF"/>
    <w:rsid w:val="70852816"/>
    <w:rsid w:val="73187DD2"/>
    <w:rsid w:val="78471C35"/>
    <w:rsid w:val="79213DD0"/>
    <w:rsid w:val="796450AB"/>
    <w:rsid w:val="7A117945"/>
    <w:rsid w:val="7BC17493"/>
    <w:rsid w:val="7CD36C81"/>
    <w:rsid w:val="7D2045FF"/>
    <w:rsid w:val="7E652935"/>
    <w:rsid w:val="7F0A22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character" w:default="1" w:styleId="5">
    <w:name w:val="Default Paragraph Font"/>
    <w:semiHidden/>
    <w:unhideWhenUsed/>
    <w:qFormat/>
    <w:uiPriority w:val="1"/>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spacing w:before="6"/>
    </w:pPr>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customStyle="1" w:styleId="6">
    <w:name w:val="Table Normal"/>
    <w:autoRedefine/>
    <w:semiHidden/>
    <w:unhideWhenUsed/>
    <w:qFormat/>
    <w:uiPriority w:val="2"/>
    <w:tblPr>
      <w:tblCellMar>
        <w:top w:w="0" w:type="dxa"/>
        <w:left w:w="0" w:type="dxa"/>
        <w:bottom w:w="0" w:type="dxa"/>
        <w:right w:w="0" w:type="dxa"/>
      </w:tblCellMar>
    </w:tblPr>
  </w:style>
  <w:style w:type="paragraph" w:styleId="7">
    <w:name w:val="List Paragraph"/>
    <w:basedOn w:val="1"/>
    <w:autoRedefine/>
    <w:qFormat/>
    <w:uiPriority w:val="1"/>
    <w:rPr>
      <w:lang w:val="zh-CN" w:eastAsia="zh-CN" w:bidi="zh-CN"/>
    </w:rPr>
  </w:style>
  <w:style w:type="paragraph" w:customStyle="1" w:styleId="8">
    <w:name w:val="Table Paragraph"/>
    <w:basedOn w:val="1"/>
    <w:autoRedefine/>
    <w:qFormat/>
    <w:uiPriority w:val="1"/>
    <w:pPr>
      <w:ind w:left="108"/>
    </w:pPr>
    <w:rPr>
      <w:rFonts w:ascii="宋体" w:hAnsi="宋体" w:eastAsia="宋体" w:cs="宋体"/>
      <w:lang w:val="zh-CN" w:eastAsia="zh-CN" w:bidi="zh-CN"/>
    </w:rPr>
  </w:style>
  <w:style w:type="paragraph" w:customStyle="1" w:styleId="9">
    <w:name w:val="12"/>
    <w:autoRedefine/>
    <w:qFormat/>
    <w:uiPriority w:val="0"/>
    <w:pPr>
      <w:widowControl w:val="0"/>
      <w:jc w:val="both"/>
    </w:pPr>
    <w:rPr>
      <w:rFonts w:ascii="Calibri" w:hAnsi="Calibri" w:eastAsia="宋体" w:cs="Times New Roman"/>
      <w:kern w:val="2"/>
      <w:lang w:val="en-US" w:eastAsia="zh-CN" w:bidi="ar-SA"/>
    </w:rPr>
  </w:style>
  <w:style w:type="paragraph" w:customStyle="1" w:styleId="10">
    <w:name w:val="正文5"/>
    <w:qFormat/>
    <w:uiPriority w:val="0"/>
    <w:pPr>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1956</Words>
  <Characters>2069</Characters>
  <TotalTime>36</TotalTime>
  <ScaleCrop>false</ScaleCrop>
  <LinksUpToDate>false</LinksUpToDate>
  <CharactersWithSpaces>2293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XIONG</dc:creator>
  <cp:lastModifiedBy>Zhaoyj</cp:lastModifiedBy>
  <cp:lastPrinted>2022-09-29T09:35:00Z</cp:lastPrinted>
  <dcterms:created xsi:type="dcterms:W3CDTF">2022-08-11T01:07:00Z</dcterms:created>
  <dcterms:modified xsi:type="dcterms:W3CDTF">2025-06-20T09:45:17Z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2022-07-12T00:00:00Z</vt:filetime>
  </property>
  <property fmtid="{D5CDD505-2E9C-101B-9397-08002B2CF9AE}" pid="3" name="Creator">
    <vt:lpwstr>Microsoft® Word 2010</vt:lpwstr>
  </property>
  <property fmtid="{D5CDD505-2E9C-101B-9397-08002B2CF9AE}" pid="4" name="LastSaved">
    <vt:filetime>2022-08-11T00:00:00Z</vt:filetime>
  </property>
  <property fmtid="{D5CDD505-2E9C-101B-9397-08002B2CF9AE}" pid="5" name="KSOProductBuildVer">
    <vt:lpwstr>2052-12.1.0.21541</vt:lpwstr>
  </property>
  <property fmtid="{D5CDD505-2E9C-101B-9397-08002B2CF9AE}" pid="6" name="ICV">
    <vt:lpwstr>6E1945CA5C9F494089D6157F79BDDFE9_13</vt:lpwstr>
  </property>
  <property fmtid="{D5CDD505-2E9C-101B-9397-08002B2CF9AE}" pid="7" name="KSOTemplateDocerSaveRecord">
    <vt:lpwstr>eyJoZGlkIjoiZTQ4ODQwNThiYTg4YTBlNDhkZDRmNGNiNWM5NWE1YzAiLCJ1c2VySWQiOiIyNDk3MTA2NDYifQ==</vt:lpwstr>
  </property>
</Properties>
</file>