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62CE4" w14:textId="77777777" w:rsidR="00CB6DA9" w:rsidRPr="00116F26" w:rsidRDefault="00E75E92" w:rsidP="00E16886">
      <w:pPr>
        <w:adjustRightInd w:val="0"/>
        <w:snapToGrid w:val="0"/>
        <w:rPr>
          <w:sz w:val="24"/>
        </w:rPr>
      </w:pPr>
      <w:r w:rsidRPr="00116F26">
        <w:rPr>
          <w:sz w:val="24"/>
        </w:rPr>
        <w:t>证券代码：</w:t>
      </w:r>
      <w:r w:rsidR="000960BB" w:rsidRPr="00116F26">
        <w:rPr>
          <w:sz w:val="24"/>
        </w:rPr>
        <w:t>688</w:t>
      </w:r>
      <w:r w:rsidR="001C117E" w:rsidRPr="00116F26">
        <w:rPr>
          <w:sz w:val="24"/>
        </w:rPr>
        <w:t>2</w:t>
      </w:r>
      <w:r w:rsidR="00AA05DF" w:rsidRPr="00116F26">
        <w:rPr>
          <w:sz w:val="24"/>
        </w:rPr>
        <w:t>66</w:t>
      </w:r>
      <w:r w:rsidR="000960BB" w:rsidRPr="00116F26">
        <w:rPr>
          <w:sz w:val="24"/>
        </w:rPr>
        <w:t xml:space="preserve">    </w:t>
      </w:r>
      <w:r w:rsidR="00CC54CA" w:rsidRPr="00116F26">
        <w:rPr>
          <w:sz w:val="24"/>
        </w:rPr>
        <w:t xml:space="preserve">     </w:t>
      </w:r>
      <w:r w:rsidR="00F907FE" w:rsidRPr="00116F26">
        <w:rPr>
          <w:sz w:val="24"/>
        </w:rPr>
        <w:t xml:space="preserve">                         </w:t>
      </w:r>
      <w:r w:rsidR="00E06948" w:rsidRPr="00116F26">
        <w:rPr>
          <w:sz w:val="24"/>
        </w:rPr>
        <w:t xml:space="preserve">  </w:t>
      </w:r>
      <w:r w:rsidR="000E2001" w:rsidRPr="00116F26">
        <w:rPr>
          <w:sz w:val="24"/>
        </w:rPr>
        <w:t xml:space="preserve"> </w:t>
      </w:r>
      <w:r w:rsidRPr="00116F26">
        <w:rPr>
          <w:sz w:val="24"/>
        </w:rPr>
        <w:t>证券简称：</w:t>
      </w:r>
      <w:r w:rsidR="00AA05DF" w:rsidRPr="00116F26">
        <w:rPr>
          <w:sz w:val="24"/>
        </w:rPr>
        <w:t>泽璟制药</w:t>
      </w:r>
    </w:p>
    <w:p w14:paraId="75E522FB" w14:textId="77777777" w:rsidR="000960BB" w:rsidRPr="00116F26" w:rsidRDefault="00AA05DF" w:rsidP="001673A5">
      <w:pPr>
        <w:adjustRightInd w:val="0"/>
        <w:snapToGrid w:val="0"/>
        <w:spacing w:beforeLines="50" w:before="156" w:line="600" w:lineRule="exact"/>
        <w:jc w:val="center"/>
        <w:rPr>
          <w:b/>
          <w:sz w:val="36"/>
          <w:szCs w:val="36"/>
        </w:rPr>
      </w:pPr>
      <w:r w:rsidRPr="00116F26">
        <w:rPr>
          <w:b/>
          <w:sz w:val="36"/>
          <w:szCs w:val="36"/>
        </w:rPr>
        <w:t>苏州泽璟生物制药</w:t>
      </w:r>
      <w:r w:rsidR="001C117E" w:rsidRPr="00116F26">
        <w:rPr>
          <w:b/>
          <w:sz w:val="36"/>
          <w:szCs w:val="36"/>
        </w:rPr>
        <w:t>股份</w:t>
      </w:r>
      <w:r w:rsidR="00E75E92" w:rsidRPr="00116F26">
        <w:rPr>
          <w:b/>
          <w:sz w:val="36"/>
          <w:szCs w:val="36"/>
        </w:rPr>
        <w:t>有限公司</w:t>
      </w:r>
    </w:p>
    <w:p w14:paraId="727BF68F" w14:textId="77777777" w:rsidR="007C2AD4" w:rsidRDefault="00F907FE" w:rsidP="00401385">
      <w:pPr>
        <w:adjustRightInd w:val="0"/>
        <w:snapToGrid w:val="0"/>
        <w:spacing w:line="500" w:lineRule="exact"/>
        <w:jc w:val="center"/>
        <w:rPr>
          <w:b/>
          <w:sz w:val="36"/>
          <w:szCs w:val="36"/>
        </w:rPr>
      </w:pPr>
      <w:r w:rsidRPr="00116F26">
        <w:rPr>
          <w:b/>
          <w:sz w:val="36"/>
          <w:szCs w:val="36"/>
        </w:rPr>
        <w:t>投资者关系活动记录表</w:t>
      </w:r>
    </w:p>
    <w:p w14:paraId="18AEC410" w14:textId="77777777" w:rsidR="001F329F" w:rsidRPr="001F329F" w:rsidRDefault="001F329F" w:rsidP="00E16886">
      <w:pPr>
        <w:adjustRightInd w:val="0"/>
        <w:snapToGrid w:val="0"/>
        <w:jc w:val="right"/>
        <w:rPr>
          <w:sz w:val="24"/>
          <w:szCs w:val="36"/>
        </w:rPr>
      </w:pPr>
      <w:r>
        <w:rPr>
          <w:sz w:val="24"/>
          <w:szCs w:val="36"/>
        </w:rPr>
        <w:t>编号：</w:t>
      </w:r>
      <w:r w:rsidRPr="00116F26">
        <w:rPr>
          <w:sz w:val="24"/>
          <w:szCs w:val="36"/>
        </w:rPr>
        <w:t>202</w:t>
      </w:r>
      <w:r w:rsidR="00234A7E">
        <w:rPr>
          <w:sz w:val="24"/>
          <w:szCs w:val="36"/>
        </w:rPr>
        <w:t>5</w:t>
      </w:r>
      <w:r w:rsidRPr="00116F26">
        <w:rPr>
          <w:sz w:val="24"/>
          <w:szCs w:val="36"/>
        </w:rPr>
        <w:t>-</w:t>
      </w:r>
      <w:r w:rsidR="00D30EBF" w:rsidRPr="00116F26">
        <w:rPr>
          <w:sz w:val="24"/>
          <w:szCs w:val="36"/>
        </w:rPr>
        <w:t>0</w:t>
      </w:r>
      <w:r w:rsidR="00D30EBF">
        <w:rPr>
          <w:sz w:val="24"/>
          <w:szCs w:val="36"/>
        </w:rPr>
        <w:t>0</w:t>
      </w:r>
      <w:r w:rsidR="00290337">
        <w:rPr>
          <w:sz w:val="24"/>
          <w:szCs w:val="36"/>
        </w:rPr>
        <w:t>2</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149"/>
      </w:tblGrid>
      <w:tr w:rsidR="00F907FE" w:rsidRPr="00116F26" w14:paraId="77B13A5C" w14:textId="77777777" w:rsidTr="001B74E3">
        <w:trPr>
          <w:jc w:val="center"/>
        </w:trPr>
        <w:tc>
          <w:tcPr>
            <w:tcW w:w="1493" w:type="dxa"/>
          </w:tcPr>
          <w:p w14:paraId="03A453E3" w14:textId="77777777" w:rsidR="00F907FE" w:rsidRPr="00116F26" w:rsidRDefault="001E6FA0" w:rsidP="00E02CDA">
            <w:pPr>
              <w:adjustRightInd w:val="0"/>
              <w:spacing w:line="360" w:lineRule="auto"/>
              <w:contextualSpacing/>
              <w:rPr>
                <w:sz w:val="24"/>
              </w:rPr>
            </w:pPr>
            <w:r w:rsidRPr="00116F26">
              <w:rPr>
                <w:sz w:val="24"/>
              </w:rPr>
              <w:t>投资者关系活动类别</w:t>
            </w:r>
          </w:p>
        </w:tc>
        <w:tc>
          <w:tcPr>
            <w:tcW w:w="7149" w:type="dxa"/>
          </w:tcPr>
          <w:p w14:paraId="5232D62C" w14:textId="77777777" w:rsidR="00F907FE" w:rsidRPr="00A26AF9" w:rsidRDefault="00336BF7" w:rsidP="00E02CDA">
            <w:pPr>
              <w:adjustRightInd w:val="0"/>
              <w:spacing w:line="360" w:lineRule="auto"/>
              <w:contextualSpacing/>
              <w:rPr>
                <w:rFonts w:ascii="宋体" w:hAnsi="宋体"/>
                <w:sz w:val="24"/>
              </w:rPr>
            </w:pPr>
            <w:r w:rsidRPr="00A26AF9">
              <w:rPr>
                <w:rFonts w:ascii="宋体" w:hAnsi="宋体"/>
                <w:sz w:val="24"/>
              </w:rPr>
              <w:t>□</w:t>
            </w:r>
            <w:r w:rsidR="00035E26" w:rsidRPr="00A26AF9">
              <w:rPr>
                <w:rFonts w:ascii="宋体" w:hAnsi="宋体"/>
                <w:sz w:val="24"/>
              </w:rPr>
              <w:t>特定对象调研</w:t>
            </w:r>
            <w:r w:rsidR="00421837" w:rsidRPr="00A26AF9">
              <w:rPr>
                <w:rFonts w:ascii="宋体" w:hAnsi="宋体"/>
                <w:sz w:val="24"/>
              </w:rPr>
              <w:t xml:space="preserve">             </w:t>
            </w:r>
            <w:r w:rsidR="00EA5250" w:rsidRPr="00A26AF9">
              <w:rPr>
                <w:rFonts w:ascii="宋体" w:hAnsi="宋体"/>
                <w:sz w:val="24"/>
              </w:rPr>
              <w:t>√</w:t>
            </w:r>
            <w:r w:rsidR="00421837" w:rsidRPr="00A26AF9">
              <w:rPr>
                <w:rFonts w:ascii="宋体" w:hAnsi="宋体"/>
                <w:sz w:val="24"/>
              </w:rPr>
              <w:t>分析师会议</w:t>
            </w:r>
          </w:p>
          <w:p w14:paraId="034F445C" w14:textId="5A2C9F9E" w:rsidR="001E6FA0" w:rsidRPr="00A26AF9" w:rsidRDefault="00421837" w:rsidP="00E02CDA">
            <w:pPr>
              <w:adjustRightInd w:val="0"/>
              <w:spacing w:line="360" w:lineRule="auto"/>
              <w:contextualSpacing/>
              <w:rPr>
                <w:rFonts w:ascii="宋体" w:hAnsi="宋体"/>
                <w:sz w:val="24"/>
              </w:rPr>
            </w:pPr>
            <w:bookmarkStart w:id="0" w:name="OLE_LINK188"/>
            <w:bookmarkStart w:id="1" w:name="OLE_LINK189"/>
            <w:r w:rsidRPr="00A26AF9">
              <w:rPr>
                <w:rFonts w:ascii="宋体" w:hAnsi="宋体"/>
                <w:sz w:val="24"/>
              </w:rPr>
              <w:t>□</w:t>
            </w:r>
            <w:bookmarkEnd w:id="0"/>
            <w:bookmarkEnd w:id="1"/>
            <w:r w:rsidR="005E0D5D" w:rsidRPr="00A26AF9">
              <w:rPr>
                <w:rFonts w:ascii="宋体" w:hAnsi="宋体"/>
                <w:sz w:val="24"/>
              </w:rPr>
              <w:t>媒体采访</w:t>
            </w:r>
            <w:r w:rsidRPr="00A26AF9">
              <w:rPr>
                <w:rFonts w:ascii="宋体" w:hAnsi="宋体"/>
                <w:sz w:val="24"/>
              </w:rPr>
              <w:t xml:space="preserve">                 </w:t>
            </w:r>
            <w:r w:rsidR="0023795A" w:rsidRPr="00A26AF9">
              <w:rPr>
                <w:rFonts w:ascii="宋体" w:hAnsi="宋体"/>
                <w:sz w:val="24"/>
              </w:rPr>
              <w:t>□</w:t>
            </w:r>
            <w:r w:rsidRPr="00A26AF9">
              <w:rPr>
                <w:rFonts w:ascii="宋体" w:hAnsi="宋体"/>
                <w:sz w:val="24"/>
              </w:rPr>
              <w:t>业绩说明会</w:t>
            </w:r>
          </w:p>
          <w:p w14:paraId="12FE1FE4" w14:textId="77777777" w:rsidR="001E6FA0" w:rsidRPr="00A26AF9" w:rsidRDefault="00421837" w:rsidP="00E02CDA">
            <w:pPr>
              <w:adjustRightInd w:val="0"/>
              <w:spacing w:line="360" w:lineRule="auto"/>
              <w:contextualSpacing/>
              <w:rPr>
                <w:rFonts w:ascii="宋体" w:hAnsi="宋体"/>
                <w:sz w:val="24"/>
              </w:rPr>
            </w:pPr>
            <w:r w:rsidRPr="00A26AF9">
              <w:rPr>
                <w:rFonts w:ascii="宋体" w:hAnsi="宋体"/>
                <w:sz w:val="24"/>
              </w:rPr>
              <w:t xml:space="preserve">□新闻发布会               </w:t>
            </w:r>
            <w:r w:rsidR="00CF6F51" w:rsidRPr="00A26AF9">
              <w:rPr>
                <w:rFonts w:ascii="宋体" w:hAnsi="宋体"/>
                <w:sz w:val="24"/>
              </w:rPr>
              <w:t>□</w:t>
            </w:r>
            <w:r w:rsidRPr="00A26AF9">
              <w:rPr>
                <w:rFonts w:ascii="宋体" w:hAnsi="宋体"/>
                <w:sz w:val="24"/>
              </w:rPr>
              <w:t>路演活动</w:t>
            </w:r>
          </w:p>
          <w:p w14:paraId="3A1A3696" w14:textId="77777777" w:rsidR="001E6FA0" w:rsidRPr="00A26AF9" w:rsidRDefault="00BC5456" w:rsidP="00E02CDA">
            <w:pPr>
              <w:adjustRightInd w:val="0"/>
              <w:spacing w:line="360" w:lineRule="auto"/>
              <w:contextualSpacing/>
              <w:rPr>
                <w:rFonts w:ascii="宋体" w:hAnsi="宋体"/>
                <w:sz w:val="24"/>
              </w:rPr>
            </w:pPr>
            <w:r w:rsidRPr="00A26AF9">
              <w:rPr>
                <w:rFonts w:ascii="宋体" w:hAnsi="宋体"/>
                <w:sz w:val="24"/>
              </w:rPr>
              <w:t>□</w:t>
            </w:r>
            <w:r w:rsidR="00421837" w:rsidRPr="00A26AF9">
              <w:rPr>
                <w:rFonts w:ascii="宋体" w:hAnsi="宋体"/>
                <w:sz w:val="24"/>
              </w:rPr>
              <w:t>现场参观</w:t>
            </w:r>
            <w:r w:rsidR="006B5448" w:rsidRPr="00A26AF9">
              <w:rPr>
                <w:rFonts w:ascii="宋体" w:hAnsi="宋体"/>
                <w:sz w:val="24"/>
              </w:rPr>
              <w:t xml:space="preserve">               </w:t>
            </w:r>
            <w:r w:rsidR="00AA7E9A" w:rsidRPr="00A26AF9">
              <w:rPr>
                <w:rFonts w:ascii="宋体" w:hAnsi="宋体"/>
                <w:sz w:val="24"/>
              </w:rPr>
              <w:t xml:space="preserve"> </w:t>
            </w:r>
            <w:r w:rsidR="006B5448" w:rsidRPr="00A26AF9">
              <w:rPr>
                <w:rFonts w:ascii="宋体" w:hAnsi="宋体"/>
                <w:sz w:val="24"/>
              </w:rPr>
              <w:t xml:space="preserve"> </w:t>
            </w:r>
            <w:r w:rsidR="00EA5250" w:rsidRPr="00A26AF9">
              <w:rPr>
                <w:rFonts w:ascii="宋体" w:hAnsi="宋体"/>
                <w:sz w:val="24"/>
              </w:rPr>
              <w:t>√</w:t>
            </w:r>
            <w:r w:rsidR="00421837" w:rsidRPr="00A26AF9">
              <w:rPr>
                <w:rFonts w:ascii="宋体" w:hAnsi="宋体"/>
                <w:sz w:val="24"/>
              </w:rPr>
              <w:t>一对一沟通</w:t>
            </w:r>
          </w:p>
          <w:p w14:paraId="1AACF149" w14:textId="77777777" w:rsidR="001E6FA0" w:rsidRPr="00116F26" w:rsidRDefault="00D6631E" w:rsidP="00D6631E">
            <w:pPr>
              <w:adjustRightInd w:val="0"/>
              <w:spacing w:line="360" w:lineRule="auto"/>
              <w:contextualSpacing/>
              <w:rPr>
                <w:sz w:val="24"/>
              </w:rPr>
            </w:pPr>
            <w:r w:rsidRPr="00A26AF9">
              <w:rPr>
                <w:rFonts w:ascii="宋体" w:hAnsi="宋体"/>
                <w:sz w:val="24"/>
              </w:rPr>
              <w:t>□</w:t>
            </w:r>
            <w:r w:rsidR="00421837" w:rsidRPr="00A26AF9">
              <w:rPr>
                <w:rFonts w:ascii="宋体" w:hAnsi="宋体"/>
                <w:sz w:val="24"/>
              </w:rPr>
              <w:t>其他</w:t>
            </w:r>
          </w:p>
        </w:tc>
      </w:tr>
      <w:tr w:rsidR="00F907FE" w:rsidRPr="00862904" w14:paraId="54E37AE6" w14:textId="77777777" w:rsidTr="001B74E3">
        <w:trPr>
          <w:trHeight w:val="416"/>
          <w:jc w:val="center"/>
        </w:trPr>
        <w:tc>
          <w:tcPr>
            <w:tcW w:w="1493" w:type="dxa"/>
          </w:tcPr>
          <w:p w14:paraId="6518C824" w14:textId="77777777" w:rsidR="00476A24" w:rsidRPr="00116F26" w:rsidRDefault="001E6FA0" w:rsidP="00E02CDA">
            <w:pPr>
              <w:adjustRightInd w:val="0"/>
              <w:spacing w:line="360" w:lineRule="auto"/>
              <w:contextualSpacing/>
              <w:rPr>
                <w:sz w:val="24"/>
              </w:rPr>
            </w:pPr>
            <w:r w:rsidRPr="00116F26">
              <w:rPr>
                <w:sz w:val="24"/>
              </w:rPr>
              <w:t>参与单位</w:t>
            </w:r>
          </w:p>
          <w:p w14:paraId="02C2FC80" w14:textId="77777777" w:rsidR="00F907FE" w:rsidRPr="00116F26" w:rsidRDefault="001E6FA0" w:rsidP="00E02CDA">
            <w:pPr>
              <w:adjustRightInd w:val="0"/>
              <w:spacing w:line="360" w:lineRule="auto"/>
              <w:contextualSpacing/>
              <w:rPr>
                <w:sz w:val="24"/>
              </w:rPr>
            </w:pPr>
            <w:r w:rsidRPr="00116F26">
              <w:rPr>
                <w:sz w:val="24"/>
              </w:rPr>
              <w:t>及人员</w:t>
            </w:r>
          </w:p>
        </w:tc>
        <w:tc>
          <w:tcPr>
            <w:tcW w:w="7149" w:type="dxa"/>
          </w:tcPr>
          <w:p w14:paraId="0D5D71CD" w14:textId="7FA17968" w:rsidR="00E10B60" w:rsidRPr="00116F26" w:rsidRDefault="00E10B60" w:rsidP="0023795A">
            <w:pPr>
              <w:tabs>
                <w:tab w:val="left" w:pos="1014"/>
                <w:tab w:val="left" w:pos="4360"/>
                <w:tab w:val="left" w:pos="5704"/>
              </w:tabs>
              <w:adjustRightInd w:val="0"/>
              <w:spacing w:line="312" w:lineRule="auto"/>
              <w:contextualSpacing/>
              <w:rPr>
                <w:sz w:val="22"/>
                <w:szCs w:val="22"/>
              </w:rPr>
            </w:pPr>
            <w:r w:rsidRPr="00E10B60">
              <w:rPr>
                <w:rFonts w:hint="eastAsia"/>
                <w:sz w:val="22"/>
                <w:szCs w:val="22"/>
              </w:rPr>
              <w:t>中邮基金、摩根基金、兴业基金、东吴基金、景顺长城基金、平安基金、</w:t>
            </w:r>
            <w:proofErr w:type="gramStart"/>
            <w:r w:rsidRPr="00E10B60">
              <w:rPr>
                <w:rFonts w:hint="eastAsia"/>
                <w:sz w:val="22"/>
                <w:szCs w:val="22"/>
              </w:rPr>
              <w:t>永赢基金</w:t>
            </w:r>
            <w:proofErr w:type="gramEnd"/>
            <w:r w:rsidRPr="00E10B60">
              <w:rPr>
                <w:rFonts w:hint="eastAsia"/>
                <w:sz w:val="22"/>
                <w:szCs w:val="22"/>
              </w:rPr>
              <w:t>、国泰基金、红土创新基金、</w:t>
            </w:r>
            <w:proofErr w:type="gramStart"/>
            <w:r w:rsidRPr="00E10B60">
              <w:rPr>
                <w:rFonts w:hint="eastAsia"/>
                <w:sz w:val="22"/>
                <w:szCs w:val="22"/>
              </w:rPr>
              <w:t>创金合</w:t>
            </w:r>
            <w:proofErr w:type="gramEnd"/>
            <w:r w:rsidRPr="00E10B60">
              <w:rPr>
                <w:rFonts w:hint="eastAsia"/>
                <w:sz w:val="22"/>
                <w:szCs w:val="22"/>
              </w:rPr>
              <w:t>信基金、长城基金、国投基金、鹏华基金、</w:t>
            </w:r>
            <w:proofErr w:type="gramStart"/>
            <w:r w:rsidRPr="00E10B60">
              <w:rPr>
                <w:rFonts w:hint="eastAsia"/>
                <w:sz w:val="22"/>
                <w:szCs w:val="22"/>
              </w:rPr>
              <w:t>工银瑞信</w:t>
            </w:r>
            <w:proofErr w:type="gramEnd"/>
            <w:r w:rsidRPr="00E10B60">
              <w:rPr>
                <w:rFonts w:hint="eastAsia"/>
                <w:sz w:val="22"/>
                <w:szCs w:val="22"/>
              </w:rPr>
              <w:t>基金、富国基金、大成基金、博时基金、红筹基金、安信资产、人保资产、华宝基金、泰康资产、</w:t>
            </w:r>
            <w:proofErr w:type="gramStart"/>
            <w:r w:rsidRPr="00E10B60">
              <w:rPr>
                <w:rFonts w:hint="eastAsia"/>
                <w:sz w:val="22"/>
                <w:szCs w:val="22"/>
              </w:rPr>
              <w:t>交银施罗</w:t>
            </w:r>
            <w:proofErr w:type="gramEnd"/>
            <w:r w:rsidRPr="00E10B60">
              <w:rPr>
                <w:rFonts w:hint="eastAsia"/>
                <w:sz w:val="22"/>
                <w:szCs w:val="22"/>
              </w:rPr>
              <w:t>德、申万菱信基金、嘉实基金、汇</w:t>
            </w:r>
            <w:proofErr w:type="gramStart"/>
            <w:r w:rsidRPr="00E10B60">
              <w:rPr>
                <w:rFonts w:hint="eastAsia"/>
                <w:sz w:val="22"/>
                <w:szCs w:val="22"/>
              </w:rPr>
              <w:t>丰晋信</w:t>
            </w:r>
            <w:proofErr w:type="gramEnd"/>
            <w:r w:rsidRPr="00E10B60">
              <w:rPr>
                <w:rFonts w:hint="eastAsia"/>
                <w:sz w:val="22"/>
                <w:szCs w:val="22"/>
              </w:rPr>
              <w:t>基金、建信基金、中银基金、景和资产、</w:t>
            </w:r>
            <w:proofErr w:type="gramStart"/>
            <w:r w:rsidRPr="00E10B60">
              <w:rPr>
                <w:rFonts w:hint="eastAsia"/>
                <w:sz w:val="22"/>
                <w:szCs w:val="22"/>
              </w:rPr>
              <w:t>诺鼎资产</w:t>
            </w:r>
            <w:proofErr w:type="gramEnd"/>
            <w:r w:rsidRPr="00E10B60">
              <w:rPr>
                <w:rFonts w:hint="eastAsia"/>
                <w:sz w:val="22"/>
                <w:szCs w:val="22"/>
              </w:rPr>
              <w:t>、</w:t>
            </w:r>
            <w:proofErr w:type="gramStart"/>
            <w:r w:rsidRPr="00E10B60">
              <w:rPr>
                <w:rFonts w:hint="eastAsia"/>
                <w:sz w:val="22"/>
                <w:szCs w:val="22"/>
              </w:rPr>
              <w:t>同巨投资</w:t>
            </w:r>
            <w:proofErr w:type="gramEnd"/>
            <w:r w:rsidRPr="00E10B60">
              <w:rPr>
                <w:rFonts w:hint="eastAsia"/>
                <w:sz w:val="22"/>
                <w:szCs w:val="22"/>
              </w:rPr>
              <w:t>、太平洋资产、太平基金、</w:t>
            </w:r>
            <w:proofErr w:type="gramStart"/>
            <w:r w:rsidRPr="00E10B60">
              <w:rPr>
                <w:rFonts w:hint="eastAsia"/>
                <w:sz w:val="22"/>
                <w:szCs w:val="22"/>
              </w:rPr>
              <w:t>国投瑞银</w:t>
            </w:r>
            <w:proofErr w:type="gramEnd"/>
            <w:r w:rsidRPr="00E10B60">
              <w:rPr>
                <w:rFonts w:hint="eastAsia"/>
                <w:sz w:val="22"/>
                <w:szCs w:val="22"/>
              </w:rPr>
              <w:t>基金、沃金投资、天弓投资、希瓦投资、融通基金、</w:t>
            </w:r>
            <w:proofErr w:type="gramStart"/>
            <w:r w:rsidRPr="00E10B60">
              <w:rPr>
                <w:rFonts w:hint="eastAsia"/>
                <w:sz w:val="22"/>
                <w:szCs w:val="22"/>
              </w:rPr>
              <w:t>慎知资产</w:t>
            </w:r>
            <w:proofErr w:type="gramEnd"/>
            <w:r w:rsidRPr="00E10B60">
              <w:rPr>
                <w:rFonts w:hint="eastAsia"/>
                <w:sz w:val="22"/>
                <w:szCs w:val="22"/>
              </w:rPr>
              <w:t>、长盛基金、</w:t>
            </w:r>
            <w:proofErr w:type="gramStart"/>
            <w:r w:rsidRPr="00E10B60">
              <w:rPr>
                <w:rFonts w:hint="eastAsia"/>
                <w:sz w:val="22"/>
                <w:szCs w:val="22"/>
              </w:rPr>
              <w:t>优益增</w:t>
            </w:r>
            <w:proofErr w:type="gramEnd"/>
            <w:r w:rsidRPr="00E10B60">
              <w:rPr>
                <w:rFonts w:hint="eastAsia"/>
                <w:sz w:val="22"/>
                <w:szCs w:val="22"/>
              </w:rPr>
              <w:t>基金、前海开源基金、建顺资产、华夏基金、中原自营、</w:t>
            </w:r>
            <w:proofErr w:type="gramStart"/>
            <w:r w:rsidRPr="00E10B60">
              <w:rPr>
                <w:rFonts w:hint="eastAsia"/>
                <w:sz w:val="22"/>
                <w:szCs w:val="22"/>
              </w:rPr>
              <w:t>鲸域资产</w:t>
            </w:r>
            <w:proofErr w:type="gramEnd"/>
            <w:r w:rsidRPr="00E10B60">
              <w:rPr>
                <w:rFonts w:hint="eastAsia"/>
                <w:sz w:val="22"/>
                <w:szCs w:val="22"/>
              </w:rPr>
              <w:t>、惠理投资、华安基金、中</w:t>
            </w:r>
            <w:proofErr w:type="gramStart"/>
            <w:r w:rsidRPr="00E10B60">
              <w:rPr>
                <w:rFonts w:hint="eastAsia"/>
                <w:sz w:val="22"/>
                <w:szCs w:val="22"/>
              </w:rPr>
              <w:t>金资管</w:t>
            </w:r>
            <w:proofErr w:type="gramEnd"/>
            <w:r w:rsidRPr="00E10B60">
              <w:rPr>
                <w:rFonts w:hint="eastAsia"/>
                <w:sz w:val="22"/>
                <w:szCs w:val="22"/>
              </w:rPr>
              <w:t>、国君资管、</w:t>
            </w:r>
            <w:r w:rsidRPr="0023795A">
              <w:rPr>
                <w:rFonts w:hint="eastAsia"/>
                <w:sz w:val="22"/>
                <w:szCs w:val="22"/>
              </w:rPr>
              <w:t>中</w:t>
            </w:r>
            <w:proofErr w:type="gramStart"/>
            <w:r w:rsidRPr="0023795A">
              <w:rPr>
                <w:rFonts w:hint="eastAsia"/>
                <w:sz w:val="22"/>
                <w:szCs w:val="22"/>
              </w:rPr>
              <w:t>银资管</w:t>
            </w:r>
            <w:proofErr w:type="gramEnd"/>
            <w:r>
              <w:rPr>
                <w:rFonts w:hint="eastAsia"/>
                <w:sz w:val="22"/>
                <w:szCs w:val="22"/>
              </w:rPr>
              <w:t>、</w:t>
            </w:r>
            <w:r w:rsidRPr="00E10B60">
              <w:rPr>
                <w:rFonts w:hint="eastAsia"/>
                <w:sz w:val="22"/>
                <w:szCs w:val="22"/>
              </w:rPr>
              <w:t>宝盈基金、财</w:t>
            </w:r>
            <w:proofErr w:type="gramStart"/>
            <w:r w:rsidRPr="00E10B60">
              <w:rPr>
                <w:rFonts w:hint="eastAsia"/>
                <w:sz w:val="22"/>
                <w:szCs w:val="22"/>
              </w:rPr>
              <w:t>通资管</w:t>
            </w:r>
            <w:proofErr w:type="gramEnd"/>
            <w:r w:rsidRPr="00E10B60">
              <w:rPr>
                <w:rFonts w:hint="eastAsia"/>
                <w:sz w:val="22"/>
                <w:szCs w:val="22"/>
              </w:rPr>
              <w:t>、明汯投资、上银基金、建信保险资管、清池资本、长江养老、东方阿尔法、东海基金</w:t>
            </w:r>
          </w:p>
        </w:tc>
      </w:tr>
      <w:tr w:rsidR="00F907FE" w:rsidRPr="00116F26" w14:paraId="5D96920D" w14:textId="77777777" w:rsidTr="001B74E3">
        <w:trPr>
          <w:trHeight w:val="544"/>
          <w:jc w:val="center"/>
        </w:trPr>
        <w:tc>
          <w:tcPr>
            <w:tcW w:w="1493" w:type="dxa"/>
          </w:tcPr>
          <w:p w14:paraId="35EEA797" w14:textId="77777777" w:rsidR="00F907FE" w:rsidRPr="00116F26" w:rsidRDefault="001E6FA0" w:rsidP="00E02CDA">
            <w:pPr>
              <w:adjustRightInd w:val="0"/>
              <w:spacing w:line="360" w:lineRule="auto"/>
              <w:contextualSpacing/>
              <w:rPr>
                <w:sz w:val="24"/>
              </w:rPr>
            </w:pPr>
            <w:r w:rsidRPr="00116F26">
              <w:rPr>
                <w:sz w:val="24"/>
              </w:rPr>
              <w:t>时间</w:t>
            </w:r>
          </w:p>
        </w:tc>
        <w:tc>
          <w:tcPr>
            <w:tcW w:w="7149" w:type="dxa"/>
            <w:vAlign w:val="center"/>
          </w:tcPr>
          <w:p w14:paraId="1FA02420" w14:textId="1B7B128D" w:rsidR="000A1B51" w:rsidRPr="00116F26" w:rsidRDefault="00093ADF" w:rsidP="00290337">
            <w:pPr>
              <w:tabs>
                <w:tab w:val="left" w:pos="1014"/>
                <w:tab w:val="left" w:pos="4360"/>
                <w:tab w:val="left" w:pos="5704"/>
              </w:tabs>
              <w:adjustRightInd w:val="0"/>
              <w:spacing w:line="312" w:lineRule="auto"/>
              <w:contextualSpacing/>
              <w:rPr>
                <w:sz w:val="22"/>
                <w:szCs w:val="22"/>
              </w:rPr>
            </w:pPr>
            <w:r w:rsidRPr="00116F26">
              <w:rPr>
                <w:sz w:val="22"/>
                <w:szCs w:val="22"/>
              </w:rPr>
              <w:t>202</w:t>
            </w:r>
            <w:r w:rsidR="00B974BE">
              <w:rPr>
                <w:sz w:val="22"/>
                <w:szCs w:val="22"/>
              </w:rPr>
              <w:t>5</w:t>
            </w:r>
            <w:r w:rsidRPr="00116F26">
              <w:rPr>
                <w:sz w:val="22"/>
                <w:szCs w:val="22"/>
              </w:rPr>
              <w:t>年</w:t>
            </w:r>
            <w:r w:rsidR="00290337">
              <w:rPr>
                <w:sz w:val="22"/>
                <w:szCs w:val="22"/>
              </w:rPr>
              <w:t>6</w:t>
            </w:r>
            <w:r w:rsidR="007B0DF0">
              <w:rPr>
                <w:rFonts w:hint="eastAsia"/>
                <w:sz w:val="22"/>
                <w:szCs w:val="22"/>
              </w:rPr>
              <w:t>月</w:t>
            </w:r>
            <w:r w:rsidR="0023795A">
              <w:rPr>
                <w:rFonts w:hint="eastAsia"/>
                <w:sz w:val="22"/>
                <w:szCs w:val="22"/>
              </w:rPr>
              <w:t>18</w:t>
            </w:r>
            <w:r w:rsidR="007B0DF0">
              <w:rPr>
                <w:rFonts w:hint="eastAsia"/>
                <w:sz w:val="22"/>
                <w:szCs w:val="22"/>
              </w:rPr>
              <w:t>日</w:t>
            </w:r>
            <w:r w:rsidR="00EA5250">
              <w:rPr>
                <w:rFonts w:hint="eastAsia"/>
                <w:sz w:val="22"/>
                <w:szCs w:val="22"/>
              </w:rPr>
              <w:t>、</w:t>
            </w:r>
            <w:r w:rsidR="00290337">
              <w:rPr>
                <w:sz w:val="22"/>
                <w:szCs w:val="22"/>
              </w:rPr>
              <w:t>6</w:t>
            </w:r>
            <w:r w:rsidR="00EA5250" w:rsidRPr="00EA5250">
              <w:rPr>
                <w:rFonts w:hint="eastAsia"/>
                <w:sz w:val="22"/>
                <w:szCs w:val="22"/>
              </w:rPr>
              <w:t>月</w:t>
            </w:r>
            <w:r w:rsidR="0023795A">
              <w:rPr>
                <w:rFonts w:hint="eastAsia"/>
                <w:sz w:val="22"/>
                <w:szCs w:val="22"/>
              </w:rPr>
              <w:t>19</w:t>
            </w:r>
            <w:r w:rsidR="00EA5250" w:rsidRPr="00EA5250">
              <w:rPr>
                <w:rFonts w:hint="eastAsia"/>
                <w:sz w:val="22"/>
                <w:szCs w:val="22"/>
              </w:rPr>
              <w:t>日、</w:t>
            </w:r>
            <w:r w:rsidR="00290337">
              <w:rPr>
                <w:sz w:val="22"/>
                <w:szCs w:val="22"/>
              </w:rPr>
              <w:t>6</w:t>
            </w:r>
            <w:r w:rsidR="00EA5250" w:rsidRPr="00EA5250">
              <w:rPr>
                <w:rFonts w:hint="eastAsia"/>
                <w:sz w:val="22"/>
                <w:szCs w:val="22"/>
              </w:rPr>
              <w:t>月</w:t>
            </w:r>
            <w:r w:rsidR="0023795A">
              <w:rPr>
                <w:rFonts w:hint="eastAsia"/>
                <w:sz w:val="22"/>
                <w:szCs w:val="22"/>
              </w:rPr>
              <w:t>20</w:t>
            </w:r>
            <w:r w:rsidR="00EA5250" w:rsidRPr="00EA5250">
              <w:rPr>
                <w:rFonts w:hint="eastAsia"/>
                <w:sz w:val="22"/>
                <w:szCs w:val="22"/>
              </w:rPr>
              <w:t>日</w:t>
            </w:r>
            <w:r w:rsidR="0023795A">
              <w:rPr>
                <w:rFonts w:hint="eastAsia"/>
                <w:sz w:val="22"/>
                <w:szCs w:val="22"/>
              </w:rPr>
              <w:t>、</w:t>
            </w:r>
            <w:r w:rsidR="0023795A" w:rsidRPr="00A26AF9">
              <w:rPr>
                <w:rFonts w:hint="eastAsia"/>
                <w:sz w:val="22"/>
                <w:szCs w:val="22"/>
              </w:rPr>
              <w:t>6</w:t>
            </w:r>
            <w:r w:rsidR="0023795A" w:rsidRPr="00A26AF9">
              <w:rPr>
                <w:rFonts w:hint="eastAsia"/>
                <w:sz w:val="22"/>
                <w:szCs w:val="22"/>
              </w:rPr>
              <w:t>月</w:t>
            </w:r>
            <w:r w:rsidR="0023795A" w:rsidRPr="00A26AF9">
              <w:rPr>
                <w:rFonts w:hint="eastAsia"/>
                <w:sz w:val="22"/>
                <w:szCs w:val="22"/>
              </w:rPr>
              <w:t>23</w:t>
            </w:r>
            <w:r w:rsidR="0023795A" w:rsidRPr="00A26AF9">
              <w:rPr>
                <w:rFonts w:hint="eastAsia"/>
                <w:sz w:val="22"/>
                <w:szCs w:val="22"/>
              </w:rPr>
              <w:t>日、</w:t>
            </w:r>
            <w:r w:rsidR="0023795A" w:rsidRPr="00A26AF9">
              <w:rPr>
                <w:rFonts w:hint="eastAsia"/>
                <w:sz w:val="22"/>
                <w:szCs w:val="22"/>
              </w:rPr>
              <w:t>6</w:t>
            </w:r>
            <w:r w:rsidR="0023795A" w:rsidRPr="00A26AF9">
              <w:rPr>
                <w:rFonts w:hint="eastAsia"/>
                <w:sz w:val="22"/>
                <w:szCs w:val="22"/>
              </w:rPr>
              <w:t>月</w:t>
            </w:r>
            <w:r w:rsidR="0023795A" w:rsidRPr="00A26AF9">
              <w:rPr>
                <w:rFonts w:hint="eastAsia"/>
                <w:sz w:val="22"/>
                <w:szCs w:val="22"/>
              </w:rPr>
              <w:t>24</w:t>
            </w:r>
            <w:r w:rsidR="0023795A" w:rsidRPr="00A26AF9">
              <w:rPr>
                <w:rFonts w:hint="eastAsia"/>
                <w:sz w:val="22"/>
                <w:szCs w:val="22"/>
              </w:rPr>
              <w:t>日、</w:t>
            </w:r>
            <w:r w:rsidR="0023795A" w:rsidRPr="00A26AF9">
              <w:rPr>
                <w:rFonts w:hint="eastAsia"/>
                <w:sz w:val="22"/>
                <w:szCs w:val="22"/>
              </w:rPr>
              <w:t>6</w:t>
            </w:r>
            <w:r w:rsidR="0023795A" w:rsidRPr="00A26AF9">
              <w:rPr>
                <w:rFonts w:hint="eastAsia"/>
                <w:sz w:val="22"/>
                <w:szCs w:val="22"/>
              </w:rPr>
              <w:t>月</w:t>
            </w:r>
            <w:r w:rsidR="0023795A" w:rsidRPr="00A26AF9">
              <w:rPr>
                <w:rFonts w:hint="eastAsia"/>
                <w:sz w:val="22"/>
                <w:szCs w:val="22"/>
              </w:rPr>
              <w:t>25</w:t>
            </w:r>
            <w:r w:rsidR="0023795A" w:rsidRPr="00A26AF9">
              <w:rPr>
                <w:rFonts w:hint="eastAsia"/>
                <w:sz w:val="22"/>
                <w:szCs w:val="22"/>
              </w:rPr>
              <w:t>日</w:t>
            </w:r>
          </w:p>
        </w:tc>
      </w:tr>
      <w:tr w:rsidR="00F907FE" w:rsidRPr="00116F26" w14:paraId="154C0859" w14:textId="77777777" w:rsidTr="001B74E3">
        <w:trPr>
          <w:jc w:val="center"/>
        </w:trPr>
        <w:tc>
          <w:tcPr>
            <w:tcW w:w="1493" w:type="dxa"/>
          </w:tcPr>
          <w:p w14:paraId="746DDFED" w14:textId="77777777" w:rsidR="00F907FE" w:rsidRPr="00116F26" w:rsidRDefault="001E6FA0" w:rsidP="00E02CDA">
            <w:pPr>
              <w:adjustRightInd w:val="0"/>
              <w:spacing w:line="360" w:lineRule="auto"/>
              <w:contextualSpacing/>
              <w:rPr>
                <w:sz w:val="24"/>
              </w:rPr>
            </w:pPr>
            <w:r w:rsidRPr="00116F26">
              <w:rPr>
                <w:sz w:val="24"/>
              </w:rPr>
              <w:t>地点</w:t>
            </w:r>
          </w:p>
        </w:tc>
        <w:tc>
          <w:tcPr>
            <w:tcW w:w="7149" w:type="dxa"/>
          </w:tcPr>
          <w:p w14:paraId="363473D2" w14:textId="0DBBC85E" w:rsidR="00F907FE" w:rsidRPr="00A2232A" w:rsidRDefault="0023795A" w:rsidP="00B62FCE">
            <w:pPr>
              <w:tabs>
                <w:tab w:val="left" w:pos="1014"/>
                <w:tab w:val="left" w:pos="4360"/>
                <w:tab w:val="left" w:pos="5704"/>
              </w:tabs>
              <w:adjustRightInd w:val="0"/>
              <w:spacing w:line="312" w:lineRule="auto"/>
              <w:contextualSpacing/>
              <w:rPr>
                <w:sz w:val="22"/>
                <w:szCs w:val="22"/>
              </w:rPr>
            </w:pPr>
            <w:r>
              <w:rPr>
                <w:rFonts w:hint="eastAsia"/>
                <w:sz w:val="22"/>
                <w:szCs w:val="22"/>
              </w:rPr>
              <w:t>券商策略会</w:t>
            </w:r>
            <w:r w:rsidR="00EA5250">
              <w:rPr>
                <w:rFonts w:hint="eastAsia"/>
                <w:sz w:val="22"/>
                <w:szCs w:val="22"/>
              </w:rPr>
              <w:t>、现场交流</w:t>
            </w:r>
            <w:r>
              <w:rPr>
                <w:rFonts w:hint="eastAsia"/>
                <w:sz w:val="22"/>
                <w:szCs w:val="22"/>
              </w:rPr>
              <w:t>、电话会</w:t>
            </w:r>
          </w:p>
        </w:tc>
      </w:tr>
      <w:tr w:rsidR="00F907FE" w:rsidRPr="00116F26" w14:paraId="13B853D4" w14:textId="77777777" w:rsidTr="001B74E3">
        <w:trPr>
          <w:jc w:val="center"/>
        </w:trPr>
        <w:tc>
          <w:tcPr>
            <w:tcW w:w="1493" w:type="dxa"/>
          </w:tcPr>
          <w:p w14:paraId="20E8F5A2" w14:textId="77777777" w:rsidR="00F907FE" w:rsidRPr="00116F26" w:rsidRDefault="001E6FA0" w:rsidP="00E02CDA">
            <w:pPr>
              <w:adjustRightInd w:val="0"/>
              <w:spacing w:line="360" w:lineRule="auto"/>
              <w:contextualSpacing/>
              <w:rPr>
                <w:sz w:val="24"/>
              </w:rPr>
            </w:pPr>
            <w:r w:rsidRPr="00116F26">
              <w:rPr>
                <w:sz w:val="24"/>
              </w:rPr>
              <w:t>接待人员</w:t>
            </w:r>
          </w:p>
        </w:tc>
        <w:tc>
          <w:tcPr>
            <w:tcW w:w="7149" w:type="dxa"/>
          </w:tcPr>
          <w:p w14:paraId="2423FD47" w14:textId="77777777" w:rsidR="00980DA0" w:rsidRPr="00116F26" w:rsidRDefault="00C905D8" w:rsidP="0047442B">
            <w:pPr>
              <w:tabs>
                <w:tab w:val="left" w:pos="1014"/>
                <w:tab w:val="left" w:pos="4360"/>
                <w:tab w:val="left" w:pos="5704"/>
              </w:tabs>
              <w:adjustRightInd w:val="0"/>
              <w:spacing w:line="360" w:lineRule="auto"/>
              <w:contextualSpacing/>
              <w:rPr>
                <w:sz w:val="22"/>
                <w:szCs w:val="22"/>
              </w:rPr>
            </w:pPr>
            <w:r>
              <w:rPr>
                <w:rFonts w:hint="eastAsia"/>
                <w:sz w:val="22"/>
                <w:szCs w:val="22"/>
              </w:rPr>
              <w:t>公司主要管理</w:t>
            </w:r>
            <w:r w:rsidR="008B6D0B">
              <w:rPr>
                <w:rFonts w:hint="eastAsia"/>
                <w:sz w:val="22"/>
                <w:szCs w:val="22"/>
              </w:rPr>
              <w:t>人员</w:t>
            </w:r>
          </w:p>
        </w:tc>
      </w:tr>
      <w:tr w:rsidR="00514468" w:rsidRPr="00116F26" w14:paraId="480F9ECA" w14:textId="77777777" w:rsidTr="001B74E3">
        <w:trPr>
          <w:jc w:val="center"/>
        </w:trPr>
        <w:tc>
          <w:tcPr>
            <w:tcW w:w="1493" w:type="dxa"/>
          </w:tcPr>
          <w:p w14:paraId="2174A6FD" w14:textId="77777777" w:rsidR="00F907FE" w:rsidRPr="00116F26" w:rsidRDefault="001E6FA0" w:rsidP="006321ED">
            <w:pPr>
              <w:adjustRightInd w:val="0"/>
              <w:spacing w:line="360" w:lineRule="auto"/>
              <w:contextualSpacing/>
              <w:jc w:val="left"/>
              <w:rPr>
                <w:sz w:val="24"/>
              </w:rPr>
            </w:pPr>
            <w:r w:rsidRPr="00116F26">
              <w:rPr>
                <w:sz w:val="24"/>
              </w:rPr>
              <w:t>投资者关系活动主要内容介绍</w:t>
            </w:r>
          </w:p>
        </w:tc>
        <w:tc>
          <w:tcPr>
            <w:tcW w:w="7149" w:type="dxa"/>
          </w:tcPr>
          <w:p w14:paraId="1336E984" w14:textId="454DFAAC" w:rsidR="00E36D10" w:rsidRDefault="002D1487" w:rsidP="002D1487">
            <w:pPr>
              <w:spacing w:line="360" w:lineRule="auto"/>
              <w:ind w:firstLineChars="200" w:firstLine="442"/>
              <w:rPr>
                <w:b/>
                <w:bCs/>
                <w:sz w:val="22"/>
                <w:szCs w:val="22"/>
              </w:rPr>
            </w:pPr>
            <w:r w:rsidRPr="00D30EBF">
              <w:rPr>
                <w:rFonts w:hint="eastAsia"/>
                <w:b/>
                <w:bCs/>
                <w:sz w:val="22"/>
                <w:szCs w:val="22"/>
              </w:rPr>
              <w:t>Q1</w:t>
            </w:r>
            <w:r w:rsidRPr="00D30EBF">
              <w:rPr>
                <w:rFonts w:hint="eastAsia"/>
                <w:b/>
                <w:bCs/>
                <w:sz w:val="22"/>
                <w:szCs w:val="22"/>
              </w:rPr>
              <w:t>、</w:t>
            </w:r>
            <w:r w:rsidR="00A27B66">
              <w:rPr>
                <w:rFonts w:hint="eastAsia"/>
                <w:b/>
                <w:bCs/>
                <w:sz w:val="22"/>
                <w:szCs w:val="22"/>
              </w:rPr>
              <w:t>近期公司</w:t>
            </w:r>
            <w:r w:rsidR="00A27B66" w:rsidRPr="00A27B66">
              <w:rPr>
                <w:rFonts w:hint="eastAsia"/>
                <w:b/>
                <w:bCs/>
                <w:sz w:val="22"/>
                <w:szCs w:val="22"/>
              </w:rPr>
              <w:t>盐酸</w:t>
            </w:r>
            <w:proofErr w:type="gramStart"/>
            <w:r w:rsidR="00A27B66" w:rsidRPr="00A27B66">
              <w:rPr>
                <w:rFonts w:hint="eastAsia"/>
                <w:b/>
                <w:bCs/>
                <w:sz w:val="22"/>
                <w:szCs w:val="22"/>
              </w:rPr>
              <w:t>吉卡昔替尼片</w:t>
            </w:r>
            <w:proofErr w:type="gramEnd"/>
            <w:r w:rsidR="00A27B66" w:rsidRPr="00A27B66">
              <w:rPr>
                <w:rFonts w:hint="eastAsia"/>
                <w:b/>
                <w:bCs/>
                <w:sz w:val="22"/>
                <w:szCs w:val="22"/>
              </w:rPr>
              <w:t>的新药上市申请获得批准</w:t>
            </w:r>
            <w:r w:rsidR="00A27B66">
              <w:rPr>
                <w:rFonts w:hint="eastAsia"/>
                <w:b/>
                <w:bCs/>
                <w:sz w:val="22"/>
                <w:szCs w:val="22"/>
              </w:rPr>
              <w:t>，请介绍一下</w:t>
            </w:r>
            <w:r w:rsidR="0020031B">
              <w:rPr>
                <w:rFonts w:hint="eastAsia"/>
                <w:b/>
                <w:bCs/>
                <w:sz w:val="22"/>
                <w:szCs w:val="22"/>
              </w:rPr>
              <w:t>相关情况</w:t>
            </w:r>
            <w:r w:rsidR="00E36D10">
              <w:rPr>
                <w:b/>
                <w:bCs/>
                <w:sz w:val="22"/>
                <w:szCs w:val="22"/>
              </w:rPr>
              <w:t>？</w:t>
            </w:r>
          </w:p>
          <w:p w14:paraId="78608152" w14:textId="3D8B9C63" w:rsidR="0020031B" w:rsidRDefault="00A27B66" w:rsidP="00DB3199">
            <w:pPr>
              <w:spacing w:line="360" w:lineRule="auto"/>
              <w:ind w:firstLineChars="200" w:firstLine="440"/>
              <w:rPr>
                <w:bCs/>
                <w:sz w:val="22"/>
                <w:szCs w:val="22"/>
              </w:rPr>
            </w:pPr>
            <w:r w:rsidRPr="00A27B66">
              <w:rPr>
                <w:rFonts w:hint="eastAsia"/>
                <w:bCs/>
                <w:sz w:val="22"/>
                <w:szCs w:val="22"/>
              </w:rPr>
              <w:t>公司自主研发的盐酸</w:t>
            </w:r>
            <w:proofErr w:type="gramStart"/>
            <w:r w:rsidRPr="00A27B66">
              <w:rPr>
                <w:rFonts w:hint="eastAsia"/>
                <w:bCs/>
                <w:sz w:val="22"/>
                <w:szCs w:val="22"/>
              </w:rPr>
              <w:t>吉卡昔替尼片</w:t>
            </w:r>
            <w:proofErr w:type="gramEnd"/>
            <w:r w:rsidRPr="00A27B66">
              <w:rPr>
                <w:rFonts w:hint="eastAsia"/>
                <w:bCs/>
                <w:sz w:val="22"/>
                <w:szCs w:val="22"/>
              </w:rPr>
              <w:t>（商品名：</w:t>
            </w:r>
            <w:r w:rsidR="0020031B" w:rsidRPr="0020031B">
              <w:rPr>
                <w:bCs/>
                <w:sz w:val="22"/>
                <w:szCs w:val="22"/>
              </w:rPr>
              <w:t>泽普平</w:t>
            </w:r>
            <w:r w:rsidR="0020031B" w:rsidRPr="0020031B">
              <w:rPr>
                <w:bCs/>
                <w:sz w:val="22"/>
                <w:szCs w:val="22"/>
                <w:vertAlign w:val="superscript"/>
              </w:rPr>
              <w:t>®</w:t>
            </w:r>
            <w:r w:rsidRPr="00A27B66">
              <w:rPr>
                <w:rFonts w:hint="eastAsia"/>
                <w:bCs/>
                <w:sz w:val="22"/>
                <w:szCs w:val="22"/>
              </w:rPr>
              <w:t>）</w:t>
            </w:r>
            <w:r w:rsidR="0020031B">
              <w:rPr>
                <w:rFonts w:hint="eastAsia"/>
                <w:bCs/>
                <w:sz w:val="22"/>
                <w:szCs w:val="22"/>
              </w:rPr>
              <w:t>已经获批上市，</w:t>
            </w:r>
            <w:r w:rsidR="0020031B">
              <w:rPr>
                <w:rFonts w:hint="eastAsia"/>
                <w:bCs/>
                <w:sz w:val="22"/>
                <w:szCs w:val="22"/>
              </w:rPr>
              <w:t>6</w:t>
            </w:r>
            <w:r w:rsidR="0020031B">
              <w:rPr>
                <w:rFonts w:hint="eastAsia"/>
                <w:bCs/>
                <w:sz w:val="22"/>
                <w:szCs w:val="22"/>
              </w:rPr>
              <w:t>月</w:t>
            </w:r>
            <w:r w:rsidR="0020031B">
              <w:rPr>
                <w:rFonts w:hint="eastAsia"/>
                <w:bCs/>
                <w:sz w:val="22"/>
                <w:szCs w:val="22"/>
              </w:rPr>
              <w:t>16</w:t>
            </w:r>
            <w:r w:rsidR="0020031B">
              <w:rPr>
                <w:rFonts w:hint="eastAsia"/>
                <w:bCs/>
                <w:sz w:val="22"/>
                <w:szCs w:val="22"/>
              </w:rPr>
              <w:t>日公司顺利完成了</w:t>
            </w:r>
            <w:r w:rsidR="0020031B" w:rsidRPr="0020031B">
              <w:rPr>
                <w:bCs/>
                <w:sz w:val="22"/>
                <w:szCs w:val="22"/>
              </w:rPr>
              <w:t>泽普平</w:t>
            </w:r>
            <w:r w:rsidR="0020031B" w:rsidRPr="0020031B">
              <w:rPr>
                <w:bCs/>
                <w:sz w:val="22"/>
                <w:szCs w:val="22"/>
                <w:vertAlign w:val="superscript"/>
              </w:rPr>
              <w:t>®</w:t>
            </w:r>
            <w:r w:rsidR="0020031B">
              <w:rPr>
                <w:rFonts w:hint="eastAsia"/>
                <w:bCs/>
                <w:sz w:val="22"/>
                <w:szCs w:val="22"/>
              </w:rPr>
              <w:t>首单出库，</w:t>
            </w:r>
            <w:r w:rsidR="0020031B" w:rsidRPr="0020031B">
              <w:rPr>
                <w:bCs/>
                <w:sz w:val="22"/>
                <w:szCs w:val="22"/>
              </w:rPr>
              <w:t>开始向全国各大医院和药房供药，为中国骨髓纤维化患者带去福音。</w:t>
            </w:r>
            <w:r w:rsidR="0020031B" w:rsidRPr="00A27B66">
              <w:rPr>
                <w:rFonts w:hint="eastAsia"/>
                <w:bCs/>
                <w:sz w:val="22"/>
                <w:szCs w:val="22"/>
              </w:rPr>
              <w:t>根据公开资料查询，盐酸</w:t>
            </w:r>
            <w:proofErr w:type="gramStart"/>
            <w:r w:rsidR="0020031B" w:rsidRPr="00A27B66">
              <w:rPr>
                <w:rFonts w:hint="eastAsia"/>
                <w:bCs/>
                <w:sz w:val="22"/>
                <w:szCs w:val="22"/>
              </w:rPr>
              <w:t>吉卡昔替尼片</w:t>
            </w:r>
            <w:proofErr w:type="gramEnd"/>
            <w:r w:rsidR="0020031B" w:rsidRPr="00A27B66">
              <w:rPr>
                <w:rFonts w:hint="eastAsia"/>
                <w:bCs/>
                <w:sz w:val="22"/>
                <w:szCs w:val="22"/>
              </w:rPr>
              <w:t>是首个获</w:t>
            </w:r>
            <w:proofErr w:type="gramStart"/>
            <w:r w:rsidR="0020031B" w:rsidRPr="00A27B66">
              <w:rPr>
                <w:rFonts w:hint="eastAsia"/>
                <w:bCs/>
                <w:sz w:val="22"/>
                <w:szCs w:val="22"/>
              </w:rPr>
              <w:t>批用于</w:t>
            </w:r>
            <w:proofErr w:type="gramEnd"/>
            <w:r w:rsidR="0020031B" w:rsidRPr="00A27B66">
              <w:rPr>
                <w:rFonts w:hint="eastAsia"/>
                <w:bCs/>
                <w:sz w:val="22"/>
                <w:szCs w:val="22"/>
              </w:rPr>
              <w:t>治疗骨髓纤维化的国产</w:t>
            </w:r>
            <w:r w:rsidR="0020031B" w:rsidRPr="00A27B66">
              <w:rPr>
                <w:rFonts w:hint="eastAsia"/>
                <w:bCs/>
                <w:sz w:val="22"/>
                <w:szCs w:val="22"/>
              </w:rPr>
              <w:t>JAK</w:t>
            </w:r>
            <w:r w:rsidR="0020031B" w:rsidRPr="00A27B66">
              <w:rPr>
                <w:rFonts w:hint="eastAsia"/>
                <w:bCs/>
                <w:sz w:val="22"/>
                <w:szCs w:val="22"/>
              </w:rPr>
              <w:t>抑制剂</w:t>
            </w:r>
            <w:proofErr w:type="gramStart"/>
            <w:r w:rsidR="0020031B" w:rsidRPr="00A27B66">
              <w:rPr>
                <w:rFonts w:hint="eastAsia"/>
                <w:bCs/>
                <w:sz w:val="22"/>
                <w:szCs w:val="22"/>
              </w:rPr>
              <w:t>类创新</w:t>
            </w:r>
            <w:proofErr w:type="gramEnd"/>
            <w:r w:rsidR="0020031B" w:rsidRPr="00A27B66">
              <w:rPr>
                <w:rFonts w:hint="eastAsia"/>
                <w:bCs/>
                <w:sz w:val="22"/>
                <w:szCs w:val="22"/>
              </w:rPr>
              <w:t>药物。</w:t>
            </w:r>
          </w:p>
          <w:p w14:paraId="25F4054B" w14:textId="11AF1707" w:rsidR="0020031B" w:rsidRPr="0020031B" w:rsidRDefault="0020031B" w:rsidP="0020031B">
            <w:pPr>
              <w:spacing w:line="360" w:lineRule="auto"/>
              <w:ind w:firstLineChars="200" w:firstLine="440"/>
              <w:rPr>
                <w:bCs/>
                <w:sz w:val="22"/>
                <w:szCs w:val="22"/>
              </w:rPr>
            </w:pPr>
            <w:r w:rsidRPr="0020031B">
              <w:rPr>
                <w:bCs/>
                <w:sz w:val="22"/>
                <w:szCs w:val="22"/>
              </w:rPr>
              <w:t>骨髓纤维化是一种弥漫性骨髓纤维组织增生性疾病，是骨髓中生成正</w:t>
            </w:r>
            <w:r w:rsidRPr="0020031B">
              <w:rPr>
                <w:bCs/>
                <w:sz w:val="22"/>
                <w:szCs w:val="22"/>
              </w:rPr>
              <w:lastRenderedPageBreak/>
              <w:t>常血细胞的前体细胞被纤维组织取代，引起异形红细胞生成、贫血和脾脏肿大的一种疾病。骨髓纤维化患者可根据国际预后积分系统（</w:t>
            </w:r>
            <w:r w:rsidRPr="0020031B">
              <w:rPr>
                <w:bCs/>
                <w:sz w:val="22"/>
                <w:szCs w:val="22"/>
              </w:rPr>
              <w:t>IPSS</w:t>
            </w:r>
            <w:r w:rsidRPr="0020031B">
              <w:rPr>
                <w:bCs/>
                <w:sz w:val="22"/>
                <w:szCs w:val="22"/>
              </w:rPr>
              <w:t>）和动态国际预后积分系统（</w:t>
            </w:r>
            <w:r w:rsidRPr="0020031B">
              <w:rPr>
                <w:bCs/>
                <w:sz w:val="22"/>
                <w:szCs w:val="22"/>
              </w:rPr>
              <w:t>DIPSS</w:t>
            </w:r>
            <w:r w:rsidRPr="0020031B">
              <w:rPr>
                <w:bCs/>
                <w:sz w:val="22"/>
                <w:szCs w:val="22"/>
              </w:rPr>
              <w:t>）的积分被分为低危、中危</w:t>
            </w:r>
            <w:r w:rsidRPr="0020031B">
              <w:rPr>
                <w:bCs/>
                <w:sz w:val="22"/>
                <w:szCs w:val="22"/>
              </w:rPr>
              <w:t>1</w:t>
            </w:r>
            <w:r w:rsidRPr="0020031B">
              <w:rPr>
                <w:bCs/>
                <w:sz w:val="22"/>
                <w:szCs w:val="22"/>
              </w:rPr>
              <w:t>、中危</w:t>
            </w:r>
            <w:r w:rsidRPr="0020031B">
              <w:rPr>
                <w:bCs/>
                <w:sz w:val="22"/>
                <w:szCs w:val="22"/>
              </w:rPr>
              <w:t>2</w:t>
            </w:r>
            <w:r w:rsidRPr="0020031B">
              <w:rPr>
                <w:bCs/>
                <w:sz w:val="22"/>
                <w:szCs w:val="22"/>
              </w:rPr>
              <w:t>和高危患者。根据</w:t>
            </w:r>
            <w:r w:rsidRPr="0020031B">
              <w:rPr>
                <w:bCs/>
                <w:sz w:val="22"/>
                <w:szCs w:val="22"/>
              </w:rPr>
              <w:t>DIPSS</w:t>
            </w:r>
            <w:r w:rsidRPr="0020031B">
              <w:rPr>
                <w:bCs/>
                <w:sz w:val="22"/>
                <w:szCs w:val="22"/>
              </w:rPr>
              <w:t>，中危</w:t>
            </w:r>
            <w:r w:rsidRPr="0020031B">
              <w:rPr>
                <w:bCs/>
                <w:sz w:val="22"/>
                <w:szCs w:val="22"/>
              </w:rPr>
              <w:t>2</w:t>
            </w:r>
            <w:r w:rsidRPr="0020031B">
              <w:rPr>
                <w:bCs/>
                <w:sz w:val="22"/>
                <w:szCs w:val="22"/>
              </w:rPr>
              <w:t>和高危骨髓纤维化患者的中位生存期分别为</w:t>
            </w:r>
            <w:r w:rsidRPr="0020031B">
              <w:rPr>
                <w:bCs/>
                <w:sz w:val="22"/>
                <w:szCs w:val="22"/>
              </w:rPr>
              <w:t>4</w:t>
            </w:r>
            <w:r w:rsidRPr="0020031B">
              <w:rPr>
                <w:bCs/>
                <w:sz w:val="22"/>
                <w:szCs w:val="22"/>
              </w:rPr>
              <w:t>年和</w:t>
            </w:r>
            <w:r w:rsidRPr="0020031B">
              <w:rPr>
                <w:bCs/>
                <w:sz w:val="22"/>
                <w:szCs w:val="22"/>
              </w:rPr>
              <w:t>1.5</w:t>
            </w:r>
            <w:r w:rsidRPr="0020031B">
              <w:rPr>
                <w:bCs/>
                <w:sz w:val="22"/>
                <w:szCs w:val="22"/>
              </w:rPr>
              <w:t>年，严重影响患者的生活质量和寿命。</w:t>
            </w:r>
          </w:p>
          <w:p w14:paraId="724A5776" w14:textId="003FBE3C" w:rsidR="002D1487" w:rsidRDefault="002D1487" w:rsidP="002D1487">
            <w:pPr>
              <w:spacing w:line="360" w:lineRule="auto"/>
              <w:ind w:firstLineChars="200" w:firstLine="442"/>
              <w:rPr>
                <w:b/>
                <w:sz w:val="22"/>
                <w:szCs w:val="22"/>
              </w:rPr>
            </w:pPr>
            <w:r>
              <w:rPr>
                <w:rFonts w:hint="eastAsia"/>
                <w:b/>
                <w:sz w:val="22"/>
                <w:szCs w:val="22"/>
              </w:rPr>
              <w:t>Q</w:t>
            </w:r>
            <w:r w:rsidR="00F14D2E">
              <w:rPr>
                <w:rFonts w:hint="eastAsia"/>
                <w:b/>
                <w:sz w:val="22"/>
                <w:szCs w:val="22"/>
              </w:rPr>
              <w:t>2</w:t>
            </w:r>
            <w:r>
              <w:rPr>
                <w:rFonts w:hint="eastAsia"/>
                <w:b/>
                <w:sz w:val="22"/>
                <w:szCs w:val="22"/>
              </w:rPr>
              <w:t>、</w:t>
            </w:r>
            <w:r w:rsidR="0020031B">
              <w:rPr>
                <w:rFonts w:hint="eastAsia"/>
                <w:b/>
                <w:sz w:val="22"/>
                <w:szCs w:val="22"/>
              </w:rPr>
              <w:t>请问</w:t>
            </w:r>
            <w:r w:rsidR="007425F9" w:rsidRPr="007425F9">
              <w:rPr>
                <w:rFonts w:hint="eastAsia"/>
                <w:b/>
                <w:sz w:val="22"/>
                <w:szCs w:val="22"/>
              </w:rPr>
              <w:t>盐酸</w:t>
            </w:r>
            <w:proofErr w:type="gramStart"/>
            <w:r w:rsidR="007425F9" w:rsidRPr="007425F9">
              <w:rPr>
                <w:rFonts w:hint="eastAsia"/>
                <w:b/>
                <w:sz w:val="22"/>
                <w:szCs w:val="22"/>
              </w:rPr>
              <w:t>吉卡昔替尼片</w:t>
            </w:r>
            <w:proofErr w:type="gramEnd"/>
            <w:r w:rsidR="007425F9">
              <w:rPr>
                <w:rFonts w:hint="eastAsia"/>
                <w:b/>
                <w:sz w:val="22"/>
                <w:szCs w:val="22"/>
              </w:rPr>
              <w:t>在治疗骨髓纤维化方面的</w:t>
            </w:r>
            <w:r w:rsidR="0020031B">
              <w:rPr>
                <w:rFonts w:hint="eastAsia"/>
                <w:b/>
                <w:sz w:val="22"/>
                <w:szCs w:val="22"/>
              </w:rPr>
              <w:t>临床优势和市场空间</w:t>
            </w:r>
            <w:r w:rsidR="00BF606A" w:rsidRPr="00BF606A">
              <w:rPr>
                <w:rFonts w:hint="eastAsia"/>
                <w:b/>
                <w:sz w:val="22"/>
                <w:szCs w:val="22"/>
              </w:rPr>
              <w:t>？</w:t>
            </w:r>
            <w:r w:rsidRPr="009B459E">
              <w:rPr>
                <w:rFonts w:hint="eastAsia"/>
                <w:b/>
                <w:sz w:val="22"/>
                <w:szCs w:val="22"/>
              </w:rPr>
              <w:t xml:space="preserve"> </w:t>
            </w:r>
          </w:p>
          <w:p w14:paraId="43D179F3" w14:textId="546A209A" w:rsidR="0020031B" w:rsidRPr="0020031B" w:rsidRDefault="0020031B" w:rsidP="0020031B">
            <w:pPr>
              <w:spacing w:line="360" w:lineRule="auto"/>
              <w:ind w:firstLineChars="200" w:firstLine="440"/>
              <w:rPr>
                <w:sz w:val="22"/>
                <w:szCs w:val="22"/>
              </w:rPr>
            </w:pPr>
            <w:r w:rsidRPr="0020031B">
              <w:rPr>
                <w:sz w:val="22"/>
                <w:szCs w:val="22"/>
              </w:rPr>
              <w:t>《一项随机、双盲、双模拟、平行对照、多中心评价盐酸吉卡昔替尼片对照羟基脲片治疗中高危骨髓纤维化患者的有效性和安全性的</w:t>
            </w:r>
            <w:r w:rsidRPr="0020031B">
              <w:rPr>
                <w:sz w:val="22"/>
                <w:szCs w:val="22"/>
              </w:rPr>
              <w:t>III</w:t>
            </w:r>
            <w:r w:rsidRPr="0020031B">
              <w:rPr>
                <w:sz w:val="22"/>
                <w:szCs w:val="22"/>
              </w:rPr>
              <w:t>期临床试验》主要疗效终点结果显示盐酸</w:t>
            </w:r>
            <w:proofErr w:type="gramStart"/>
            <w:r w:rsidRPr="0020031B">
              <w:rPr>
                <w:sz w:val="22"/>
                <w:szCs w:val="22"/>
              </w:rPr>
              <w:t>吉卡昔替尼治疗</w:t>
            </w:r>
            <w:proofErr w:type="gramEnd"/>
            <w:r w:rsidRPr="0020031B">
              <w:rPr>
                <w:sz w:val="22"/>
                <w:szCs w:val="22"/>
              </w:rPr>
              <w:t>24</w:t>
            </w:r>
            <w:r w:rsidRPr="0020031B">
              <w:rPr>
                <w:sz w:val="22"/>
                <w:szCs w:val="22"/>
              </w:rPr>
              <w:t>周时脾脏体积较基线缩小</w:t>
            </w:r>
            <w:r w:rsidRPr="0020031B">
              <w:rPr>
                <w:sz w:val="22"/>
                <w:szCs w:val="22"/>
              </w:rPr>
              <w:t>≥35%</w:t>
            </w:r>
            <w:r w:rsidRPr="0020031B">
              <w:rPr>
                <w:sz w:val="22"/>
                <w:szCs w:val="22"/>
              </w:rPr>
              <w:t>的受试者比例（</w:t>
            </w:r>
            <w:r w:rsidRPr="0020031B">
              <w:rPr>
                <w:sz w:val="22"/>
                <w:szCs w:val="22"/>
              </w:rPr>
              <w:t>SVR35</w:t>
            </w:r>
            <w:r w:rsidRPr="0020031B">
              <w:rPr>
                <w:sz w:val="22"/>
                <w:szCs w:val="22"/>
              </w:rPr>
              <w:t>）为</w:t>
            </w:r>
            <w:r w:rsidRPr="0020031B">
              <w:rPr>
                <w:sz w:val="22"/>
                <w:szCs w:val="22"/>
              </w:rPr>
              <w:t>72.3%</w:t>
            </w:r>
            <w:r w:rsidRPr="0020031B">
              <w:rPr>
                <w:sz w:val="22"/>
                <w:szCs w:val="22"/>
              </w:rPr>
              <w:t>，其它终点指标临床改善、贫血响应、血红蛋白的改善、疾病症状评分等指标均显示出良好获益。另外，《盐酸吉卡昔替尼片用于芦可替尼不耐受的骨髓纤维化患者的安全性和有效性的</w:t>
            </w:r>
            <w:r w:rsidRPr="0020031B">
              <w:rPr>
                <w:sz w:val="22"/>
                <w:szCs w:val="22"/>
              </w:rPr>
              <w:t>IIB</w:t>
            </w:r>
            <w:r w:rsidRPr="0020031B">
              <w:rPr>
                <w:sz w:val="22"/>
                <w:szCs w:val="22"/>
              </w:rPr>
              <w:t>期临床试验》主要疗效终点结果显示</w:t>
            </w:r>
            <w:r w:rsidRPr="0020031B">
              <w:rPr>
                <w:sz w:val="22"/>
                <w:szCs w:val="22"/>
              </w:rPr>
              <w:t>24</w:t>
            </w:r>
            <w:r w:rsidRPr="0020031B">
              <w:rPr>
                <w:sz w:val="22"/>
                <w:szCs w:val="22"/>
              </w:rPr>
              <w:t>周时</w:t>
            </w:r>
            <w:r w:rsidRPr="0020031B">
              <w:rPr>
                <w:sz w:val="22"/>
                <w:szCs w:val="22"/>
              </w:rPr>
              <w:t>SVR35</w:t>
            </w:r>
            <w:r w:rsidRPr="0020031B">
              <w:rPr>
                <w:sz w:val="22"/>
                <w:szCs w:val="22"/>
              </w:rPr>
              <w:t>达</w:t>
            </w:r>
            <w:r w:rsidRPr="0020031B">
              <w:rPr>
                <w:sz w:val="22"/>
                <w:szCs w:val="22"/>
              </w:rPr>
              <w:t>43.2%</w:t>
            </w:r>
            <w:r w:rsidRPr="0020031B">
              <w:rPr>
                <w:sz w:val="22"/>
                <w:szCs w:val="22"/>
              </w:rPr>
              <w:t>；《盐酸吉卡昔替尼片用于芦可替尼难治或复发的骨髓纤维化</w:t>
            </w:r>
            <w:r w:rsidRPr="0020031B">
              <w:rPr>
                <w:sz w:val="22"/>
                <w:szCs w:val="22"/>
              </w:rPr>
              <w:t>II</w:t>
            </w:r>
            <w:r w:rsidRPr="0020031B">
              <w:rPr>
                <w:sz w:val="22"/>
                <w:szCs w:val="22"/>
              </w:rPr>
              <w:t>期临床试验》主要疗效终点结果显示</w:t>
            </w:r>
            <w:r w:rsidRPr="0020031B">
              <w:rPr>
                <w:sz w:val="22"/>
                <w:szCs w:val="22"/>
              </w:rPr>
              <w:t>24</w:t>
            </w:r>
            <w:r w:rsidRPr="0020031B">
              <w:rPr>
                <w:sz w:val="22"/>
                <w:szCs w:val="22"/>
              </w:rPr>
              <w:t>周时</w:t>
            </w:r>
            <w:r w:rsidRPr="0020031B">
              <w:rPr>
                <w:sz w:val="22"/>
                <w:szCs w:val="22"/>
              </w:rPr>
              <w:t>SVR35</w:t>
            </w:r>
            <w:r w:rsidRPr="0020031B">
              <w:rPr>
                <w:sz w:val="22"/>
                <w:szCs w:val="22"/>
              </w:rPr>
              <w:t>达</w:t>
            </w:r>
            <w:r w:rsidRPr="0020031B">
              <w:rPr>
                <w:sz w:val="22"/>
                <w:szCs w:val="22"/>
              </w:rPr>
              <w:t>32.4%</w:t>
            </w:r>
            <w:r w:rsidRPr="0020031B">
              <w:rPr>
                <w:sz w:val="22"/>
                <w:szCs w:val="22"/>
              </w:rPr>
              <w:t>。同时，临床研究结果也显示盐酸</w:t>
            </w:r>
            <w:proofErr w:type="gramStart"/>
            <w:r w:rsidRPr="0020031B">
              <w:rPr>
                <w:sz w:val="22"/>
                <w:szCs w:val="22"/>
              </w:rPr>
              <w:t>吉卡昔替尼</w:t>
            </w:r>
            <w:proofErr w:type="gramEnd"/>
            <w:r w:rsidRPr="0020031B">
              <w:rPr>
                <w:sz w:val="22"/>
                <w:szCs w:val="22"/>
              </w:rPr>
              <w:t>在上述患者人群中安全性与耐受性良好。</w:t>
            </w:r>
          </w:p>
          <w:p w14:paraId="0A5E0B26" w14:textId="172DC017" w:rsidR="00A60363" w:rsidRPr="00E410EB" w:rsidRDefault="00A60363" w:rsidP="002D1487">
            <w:pPr>
              <w:spacing w:line="360" w:lineRule="auto"/>
              <w:ind w:firstLineChars="200" w:firstLine="440"/>
              <w:rPr>
                <w:sz w:val="22"/>
                <w:szCs w:val="22"/>
              </w:rPr>
            </w:pPr>
            <w:r w:rsidRPr="00A60363">
              <w:rPr>
                <w:rFonts w:hint="eastAsia"/>
                <w:sz w:val="22"/>
                <w:szCs w:val="22"/>
              </w:rPr>
              <w:t>根据弗若斯特沙利文预测数据，中国骨髓纤维化药物市场规模在</w:t>
            </w:r>
            <w:r w:rsidRPr="00A60363">
              <w:rPr>
                <w:rFonts w:hint="eastAsia"/>
                <w:sz w:val="22"/>
                <w:szCs w:val="22"/>
              </w:rPr>
              <w:t>2020</w:t>
            </w:r>
            <w:r w:rsidRPr="00A60363">
              <w:rPr>
                <w:rFonts w:hint="eastAsia"/>
                <w:sz w:val="22"/>
                <w:szCs w:val="22"/>
              </w:rPr>
              <w:t>年为</w:t>
            </w:r>
            <w:r w:rsidRPr="00A60363">
              <w:rPr>
                <w:rFonts w:hint="eastAsia"/>
                <w:sz w:val="22"/>
                <w:szCs w:val="22"/>
              </w:rPr>
              <w:t>17.3</w:t>
            </w:r>
            <w:r w:rsidRPr="00A60363">
              <w:rPr>
                <w:rFonts w:hint="eastAsia"/>
                <w:sz w:val="22"/>
                <w:szCs w:val="22"/>
              </w:rPr>
              <w:t>亿元，预计到</w:t>
            </w:r>
            <w:r w:rsidRPr="00A60363">
              <w:rPr>
                <w:rFonts w:hint="eastAsia"/>
                <w:sz w:val="22"/>
                <w:szCs w:val="22"/>
              </w:rPr>
              <w:t>2025</w:t>
            </w:r>
            <w:r w:rsidRPr="00A60363">
              <w:rPr>
                <w:rFonts w:hint="eastAsia"/>
                <w:sz w:val="22"/>
                <w:szCs w:val="22"/>
              </w:rPr>
              <w:t>年和</w:t>
            </w:r>
            <w:r w:rsidRPr="00A60363">
              <w:rPr>
                <w:rFonts w:hint="eastAsia"/>
                <w:sz w:val="22"/>
                <w:szCs w:val="22"/>
              </w:rPr>
              <w:t>2030</w:t>
            </w:r>
            <w:r w:rsidRPr="00A60363">
              <w:rPr>
                <w:rFonts w:hint="eastAsia"/>
                <w:sz w:val="22"/>
                <w:szCs w:val="22"/>
              </w:rPr>
              <w:t>年药物市场规模将增长至</w:t>
            </w:r>
            <w:r w:rsidRPr="00A60363">
              <w:rPr>
                <w:rFonts w:hint="eastAsia"/>
                <w:sz w:val="22"/>
                <w:szCs w:val="22"/>
              </w:rPr>
              <w:t>29.3</w:t>
            </w:r>
            <w:r w:rsidRPr="00A60363">
              <w:rPr>
                <w:rFonts w:hint="eastAsia"/>
                <w:sz w:val="22"/>
                <w:szCs w:val="22"/>
              </w:rPr>
              <w:t>亿元和</w:t>
            </w:r>
            <w:r w:rsidRPr="00A60363">
              <w:rPr>
                <w:rFonts w:hint="eastAsia"/>
                <w:sz w:val="22"/>
                <w:szCs w:val="22"/>
              </w:rPr>
              <w:t>33.0</w:t>
            </w:r>
            <w:r w:rsidRPr="00A60363">
              <w:rPr>
                <w:rFonts w:hint="eastAsia"/>
                <w:sz w:val="22"/>
                <w:szCs w:val="22"/>
              </w:rPr>
              <w:t>亿元。</w:t>
            </w:r>
            <w:r>
              <w:rPr>
                <w:rFonts w:hint="eastAsia"/>
                <w:sz w:val="22"/>
                <w:szCs w:val="22"/>
              </w:rPr>
              <w:t>后续公司将</w:t>
            </w:r>
            <w:r w:rsidRPr="00A60363">
              <w:rPr>
                <w:rFonts w:hint="eastAsia"/>
                <w:sz w:val="22"/>
                <w:szCs w:val="22"/>
              </w:rPr>
              <w:t>依托</w:t>
            </w:r>
            <w:proofErr w:type="gramStart"/>
            <w:r w:rsidRPr="00A60363">
              <w:rPr>
                <w:rFonts w:hint="eastAsia"/>
                <w:sz w:val="22"/>
                <w:szCs w:val="22"/>
              </w:rPr>
              <w:t>吉卡昔替尼片</w:t>
            </w:r>
            <w:proofErr w:type="gramEnd"/>
            <w:r w:rsidR="0020031B">
              <w:rPr>
                <w:rFonts w:hint="eastAsia"/>
                <w:sz w:val="22"/>
                <w:szCs w:val="22"/>
              </w:rPr>
              <w:t>的临床</w:t>
            </w:r>
            <w:r w:rsidRPr="00A60363">
              <w:rPr>
                <w:rFonts w:hint="eastAsia"/>
                <w:sz w:val="22"/>
                <w:szCs w:val="22"/>
              </w:rPr>
              <w:t>有效性和安全性优势，</w:t>
            </w:r>
            <w:r>
              <w:rPr>
                <w:rFonts w:hint="eastAsia"/>
                <w:sz w:val="22"/>
                <w:szCs w:val="22"/>
              </w:rPr>
              <w:t>做好相关市场推广工作，</w:t>
            </w:r>
            <w:r w:rsidRPr="00A60363">
              <w:rPr>
                <w:rFonts w:hint="eastAsia"/>
                <w:sz w:val="22"/>
                <w:szCs w:val="22"/>
              </w:rPr>
              <w:t>不断提升市场占有率，为国内骨髓纤维化患者带来新的治疗选择。</w:t>
            </w:r>
          </w:p>
          <w:p w14:paraId="54DE70CB" w14:textId="77777777" w:rsidR="002D1487" w:rsidRPr="008A1999" w:rsidRDefault="002D1487" w:rsidP="008A1999">
            <w:pPr>
              <w:spacing w:line="360" w:lineRule="auto"/>
              <w:rPr>
                <w:b/>
                <w:sz w:val="22"/>
              </w:rPr>
            </w:pPr>
            <w:r>
              <w:rPr>
                <w:rFonts w:hint="eastAsia"/>
                <w:sz w:val="22"/>
                <w:szCs w:val="22"/>
              </w:rPr>
              <w:t xml:space="preserve">    </w:t>
            </w:r>
            <w:r>
              <w:rPr>
                <w:b/>
                <w:sz w:val="22"/>
              </w:rPr>
              <w:t>Q</w:t>
            </w:r>
            <w:r w:rsidR="00F14D2E">
              <w:rPr>
                <w:rFonts w:hint="eastAsia"/>
                <w:b/>
                <w:sz w:val="22"/>
              </w:rPr>
              <w:t>3</w:t>
            </w:r>
            <w:r w:rsidR="00DA1388">
              <w:rPr>
                <w:rFonts w:hint="eastAsia"/>
                <w:b/>
                <w:sz w:val="22"/>
              </w:rPr>
              <w:t>、</w:t>
            </w:r>
            <w:r w:rsidRPr="00B129C0">
              <w:rPr>
                <w:rFonts w:hint="eastAsia"/>
                <w:b/>
                <w:sz w:val="22"/>
                <w:szCs w:val="22"/>
              </w:rPr>
              <w:t>公司</w:t>
            </w:r>
            <w:r w:rsidR="004A1092">
              <w:rPr>
                <w:rFonts w:hint="eastAsia"/>
                <w:b/>
                <w:sz w:val="22"/>
                <w:szCs w:val="22"/>
              </w:rPr>
              <w:t>在</w:t>
            </w:r>
            <w:r w:rsidR="004A1092">
              <w:rPr>
                <w:rFonts w:hint="eastAsia"/>
                <w:b/>
                <w:sz w:val="22"/>
                <w:szCs w:val="22"/>
              </w:rPr>
              <w:t>2</w:t>
            </w:r>
            <w:r w:rsidR="004A1092">
              <w:rPr>
                <w:b/>
                <w:sz w:val="22"/>
                <w:szCs w:val="22"/>
              </w:rPr>
              <w:t>025 ASCO</w:t>
            </w:r>
            <w:r w:rsidR="004A1092">
              <w:rPr>
                <w:b/>
                <w:sz w:val="22"/>
                <w:szCs w:val="22"/>
              </w:rPr>
              <w:t>披露的</w:t>
            </w:r>
            <w:r w:rsidR="006D4057" w:rsidRPr="00B129C0">
              <w:rPr>
                <w:rFonts w:hint="eastAsia"/>
                <w:b/>
                <w:sz w:val="22"/>
                <w:szCs w:val="22"/>
              </w:rPr>
              <w:t>ZG005</w:t>
            </w:r>
            <w:r w:rsidR="004A1092">
              <w:rPr>
                <w:b/>
                <w:sz w:val="22"/>
                <w:szCs w:val="22"/>
              </w:rPr>
              <w:t>相关数据情况</w:t>
            </w:r>
            <w:r>
              <w:rPr>
                <w:rFonts w:hint="eastAsia"/>
                <w:b/>
                <w:sz w:val="22"/>
                <w:szCs w:val="22"/>
              </w:rPr>
              <w:t>？</w:t>
            </w:r>
            <w:r w:rsidR="00010AD7" w:rsidRPr="008A1999">
              <w:rPr>
                <w:b/>
                <w:sz w:val="22"/>
              </w:rPr>
              <w:t xml:space="preserve"> </w:t>
            </w:r>
          </w:p>
          <w:p w14:paraId="7499FA3A" w14:textId="2E674B2D" w:rsidR="00E12E13" w:rsidRDefault="00E12E13" w:rsidP="00E12E13">
            <w:pPr>
              <w:spacing w:line="360" w:lineRule="auto"/>
              <w:ind w:firstLineChars="200" w:firstLine="440"/>
              <w:rPr>
                <w:sz w:val="22"/>
                <w:szCs w:val="22"/>
              </w:rPr>
            </w:pPr>
            <w:r>
              <w:rPr>
                <w:rFonts w:hint="eastAsia"/>
                <w:sz w:val="22"/>
                <w:szCs w:val="22"/>
              </w:rPr>
              <w:t>公司</w:t>
            </w:r>
            <w:r w:rsidRPr="00E12E13">
              <w:rPr>
                <w:rFonts w:hint="eastAsia"/>
                <w:sz w:val="22"/>
                <w:szCs w:val="22"/>
              </w:rPr>
              <w:t>在</w:t>
            </w:r>
            <w:r w:rsidRPr="00E12E13">
              <w:rPr>
                <w:rFonts w:hint="eastAsia"/>
                <w:sz w:val="22"/>
                <w:szCs w:val="22"/>
              </w:rPr>
              <w:t>2025</w:t>
            </w:r>
            <w:r w:rsidRPr="00E12E13">
              <w:rPr>
                <w:rFonts w:hint="eastAsia"/>
                <w:sz w:val="22"/>
                <w:szCs w:val="22"/>
              </w:rPr>
              <w:t>年</w:t>
            </w:r>
            <w:r w:rsidRPr="00E12E13">
              <w:rPr>
                <w:rFonts w:hint="eastAsia"/>
                <w:sz w:val="22"/>
                <w:szCs w:val="22"/>
              </w:rPr>
              <w:t>ASCO</w:t>
            </w:r>
            <w:r w:rsidRPr="00E12E13">
              <w:rPr>
                <w:rFonts w:hint="eastAsia"/>
                <w:sz w:val="22"/>
                <w:szCs w:val="22"/>
              </w:rPr>
              <w:t>年会</w:t>
            </w:r>
            <w:r>
              <w:rPr>
                <w:rFonts w:hint="eastAsia"/>
                <w:sz w:val="22"/>
                <w:szCs w:val="22"/>
              </w:rPr>
              <w:t>上发布了</w:t>
            </w:r>
            <w:r w:rsidRPr="00E12E13">
              <w:rPr>
                <w:rFonts w:hint="eastAsia"/>
                <w:sz w:val="22"/>
                <w:szCs w:val="22"/>
              </w:rPr>
              <w:t>ZG005</w:t>
            </w:r>
            <w:r>
              <w:rPr>
                <w:rFonts w:hint="eastAsia"/>
                <w:sz w:val="22"/>
                <w:szCs w:val="22"/>
              </w:rPr>
              <w:t>的多项研究成果，其中在</w:t>
            </w:r>
            <w:r w:rsidRPr="00E12E13">
              <w:rPr>
                <w:rFonts w:hint="eastAsia"/>
                <w:sz w:val="22"/>
                <w:szCs w:val="22"/>
              </w:rPr>
              <w:t>ZG005</w:t>
            </w:r>
            <w:r w:rsidRPr="00E12E13">
              <w:rPr>
                <w:rFonts w:hint="eastAsia"/>
                <w:sz w:val="22"/>
                <w:szCs w:val="22"/>
              </w:rPr>
              <w:t>在晚期实体瘤患者中的剂量递增、耐受性、安全性、药代动力学和多队列扩展的</w:t>
            </w:r>
            <w:r w:rsidRPr="00E12E13">
              <w:rPr>
                <w:rFonts w:hint="eastAsia"/>
                <w:sz w:val="22"/>
                <w:szCs w:val="22"/>
              </w:rPr>
              <w:t>I/II</w:t>
            </w:r>
            <w:r w:rsidRPr="00E12E13">
              <w:rPr>
                <w:rFonts w:hint="eastAsia"/>
                <w:sz w:val="22"/>
                <w:szCs w:val="22"/>
              </w:rPr>
              <w:t>期临床研究（</w:t>
            </w:r>
            <w:r w:rsidRPr="00E12E13">
              <w:rPr>
                <w:rFonts w:hint="eastAsia"/>
                <w:sz w:val="22"/>
                <w:szCs w:val="22"/>
              </w:rPr>
              <w:t>ZG005-001</w:t>
            </w:r>
            <w:r w:rsidRPr="00E12E13">
              <w:rPr>
                <w:rFonts w:hint="eastAsia"/>
                <w:sz w:val="22"/>
                <w:szCs w:val="22"/>
              </w:rPr>
              <w:t>）</w:t>
            </w:r>
            <w:r>
              <w:rPr>
                <w:rFonts w:hint="eastAsia"/>
                <w:sz w:val="22"/>
                <w:szCs w:val="22"/>
              </w:rPr>
              <w:t>中，</w:t>
            </w:r>
            <w:r w:rsidRPr="00E12E13">
              <w:rPr>
                <w:rFonts w:hint="eastAsia"/>
                <w:sz w:val="22"/>
                <w:szCs w:val="22"/>
              </w:rPr>
              <w:t>截至</w:t>
            </w:r>
            <w:r w:rsidRPr="00E12E13">
              <w:rPr>
                <w:rFonts w:hint="eastAsia"/>
                <w:sz w:val="22"/>
                <w:szCs w:val="22"/>
              </w:rPr>
              <w:t>2024</w:t>
            </w:r>
            <w:r w:rsidRPr="00E12E13">
              <w:rPr>
                <w:rFonts w:hint="eastAsia"/>
                <w:sz w:val="22"/>
                <w:szCs w:val="22"/>
              </w:rPr>
              <w:t>年</w:t>
            </w:r>
            <w:r w:rsidRPr="00E12E13">
              <w:rPr>
                <w:rFonts w:hint="eastAsia"/>
                <w:sz w:val="22"/>
                <w:szCs w:val="22"/>
              </w:rPr>
              <w:t>12</w:t>
            </w:r>
            <w:r w:rsidRPr="00E12E13">
              <w:rPr>
                <w:rFonts w:hint="eastAsia"/>
                <w:sz w:val="22"/>
                <w:szCs w:val="22"/>
              </w:rPr>
              <w:t>月</w:t>
            </w:r>
            <w:r w:rsidRPr="00E12E13">
              <w:rPr>
                <w:rFonts w:hint="eastAsia"/>
                <w:sz w:val="22"/>
                <w:szCs w:val="22"/>
              </w:rPr>
              <w:t>5</w:t>
            </w:r>
            <w:r w:rsidRPr="00E12E13">
              <w:rPr>
                <w:rFonts w:hint="eastAsia"/>
                <w:sz w:val="22"/>
                <w:szCs w:val="22"/>
              </w:rPr>
              <w:t>日，</w:t>
            </w:r>
            <w:r w:rsidRPr="00E12E13">
              <w:rPr>
                <w:rFonts w:hint="eastAsia"/>
                <w:sz w:val="22"/>
                <w:szCs w:val="22"/>
              </w:rPr>
              <w:t>ZG005-001</w:t>
            </w:r>
            <w:r w:rsidRPr="00E12E13">
              <w:rPr>
                <w:rFonts w:hint="eastAsia"/>
                <w:sz w:val="22"/>
                <w:szCs w:val="22"/>
              </w:rPr>
              <w:t>项目</w:t>
            </w:r>
            <w:r w:rsidRPr="00E12E13">
              <w:rPr>
                <w:rFonts w:hint="eastAsia"/>
                <w:sz w:val="22"/>
                <w:szCs w:val="22"/>
              </w:rPr>
              <w:t>I</w:t>
            </w:r>
            <w:r w:rsidRPr="00E12E13">
              <w:rPr>
                <w:rFonts w:hint="eastAsia"/>
                <w:sz w:val="22"/>
                <w:szCs w:val="22"/>
              </w:rPr>
              <w:t>期剂量递增阶段已完成；</w:t>
            </w:r>
            <w:r w:rsidRPr="00E12E13">
              <w:rPr>
                <w:rFonts w:hint="eastAsia"/>
                <w:sz w:val="22"/>
                <w:szCs w:val="22"/>
              </w:rPr>
              <w:t>II</w:t>
            </w:r>
            <w:r w:rsidRPr="00E12E13">
              <w:rPr>
                <w:rFonts w:hint="eastAsia"/>
                <w:sz w:val="22"/>
                <w:szCs w:val="22"/>
              </w:rPr>
              <w:t>期剂量扩展阶段中，共</w:t>
            </w:r>
            <w:r w:rsidRPr="00E12E13">
              <w:rPr>
                <w:rFonts w:hint="eastAsia"/>
                <w:sz w:val="22"/>
                <w:szCs w:val="22"/>
              </w:rPr>
              <w:t>55</w:t>
            </w:r>
            <w:r w:rsidRPr="00E12E13">
              <w:rPr>
                <w:rFonts w:hint="eastAsia"/>
                <w:sz w:val="22"/>
                <w:szCs w:val="22"/>
              </w:rPr>
              <w:t>例二线及以上宫颈癌患者接受（</w:t>
            </w:r>
            <w:r w:rsidRPr="00E12E13">
              <w:rPr>
                <w:rFonts w:hint="eastAsia"/>
                <w:sz w:val="22"/>
                <w:szCs w:val="22"/>
              </w:rPr>
              <w:t>ZG005</w:t>
            </w:r>
            <w:r w:rsidRPr="00E12E13">
              <w:rPr>
                <w:rFonts w:hint="eastAsia"/>
                <w:sz w:val="22"/>
                <w:szCs w:val="22"/>
              </w:rPr>
              <w:t>）治疗，按</w:t>
            </w:r>
            <w:r w:rsidRPr="00E12E13">
              <w:rPr>
                <w:rFonts w:hint="eastAsia"/>
                <w:sz w:val="22"/>
                <w:szCs w:val="22"/>
              </w:rPr>
              <w:t>1:1</w:t>
            </w:r>
            <w:r w:rsidRPr="00E12E13">
              <w:rPr>
                <w:rFonts w:hint="eastAsia"/>
                <w:sz w:val="22"/>
                <w:szCs w:val="22"/>
              </w:rPr>
              <w:t>随机接受</w:t>
            </w:r>
            <w:r w:rsidRPr="00E12E13">
              <w:rPr>
                <w:rFonts w:hint="eastAsia"/>
                <w:sz w:val="22"/>
                <w:szCs w:val="22"/>
              </w:rPr>
              <w:t>10mg/kg</w:t>
            </w:r>
            <w:r w:rsidR="00467AAC">
              <w:rPr>
                <w:sz w:val="22"/>
                <w:szCs w:val="22"/>
              </w:rPr>
              <w:t xml:space="preserve"> </w:t>
            </w:r>
            <w:r w:rsidRPr="00E12E13">
              <w:rPr>
                <w:rFonts w:hint="eastAsia"/>
                <w:sz w:val="22"/>
                <w:szCs w:val="22"/>
              </w:rPr>
              <w:t>Q3W</w:t>
            </w:r>
            <w:r w:rsidRPr="00E12E13">
              <w:rPr>
                <w:rFonts w:hint="eastAsia"/>
                <w:sz w:val="22"/>
                <w:szCs w:val="22"/>
              </w:rPr>
              <w:t>或</w:t>
            </w:r>
            <w:r w:rsidRPr="00E12E13">
              <w:rPr>
                <w:rFonts w:hint="eastAsia"/>
                <w:sz w:val="22"/>
                <w:szCs w:val="22"/>
              </w:rPr>
              <w:t>20mg/kg</w:t>
            </w:r>
            <w:r w:rsidR="00467AAC">
              <w:rPr>
                <w:sz w:val="22"/>
                <w:szCs w:val="22"/>
              </w:rPr>
              <w:t xml:space="preserve"> </w:t>
            </w:r>
            <w:r w:rsidRPr="00E12E13">
              <w:rPr>
                <w:rFonts w:hint="eastAsia"/>
                <w:sz w:val="22"/>
                <w:szCs w:val="22"/>
              </w:rPr>
              <w:t>Q3W</w:t>
            </w:r>
            <w:r w:rsidRPr="00E12E13">
              <w:rPr>
                <w:rFonts w:hint="eastAsia"/>
                <w:sz w:val="22"/>
                <w:szCs w:val="22"/>
              </w:rPr>
              <w:t>治疗。有效性方面，</w:t>
            </w:r>
            <w:r w:rsidRPr="00E12E13">
              <w:rPr>
                <w:rFonts w:hint="eastAsia"/>
                <w:sz w:val="22"/>
                <w:szCs w:val="22"/>
              </w:rPr>
              <w:t>20mg/kg</w:t>
            </w:r>
            <w:r w:rsidRPr="00E12E13">
              <w:rPr>
                <w:rFonts w:hint="eastAsia"/>
                <w:sz w:val="22"/>
                <w:szCs w:val="22"/>
              </w:rPr>
              <w:t>组</w:t>
            </w:r>
            <w:r w:rsidRPr="00E12E13">
              <w:rPr>
                <w:rFonts w:hint="eastAsia"/>
                <w:sz w:val="22"/>
                <w:szCs w:val="22"/>
              </w:rPr>
              <w:t>ORR</w:t>
            </w:r>
            <w:r w:rsidRPr="00E12E13">
              <w:rPr>
                <w:rFonts w:hint="eastAsia"/>
                <w:sz w:val="22"/>
                <w:szCs w:val="22"/>
              </w:rPr>
              <w:t>为</w:t>
            </w:r>
            <w:r w:rsidRPr="00E12E13">
              <w:rPr>
                <w:rFonts w:hint="eastAsia"/>
                <w:sz w:val="22"/>
                <w:szCs w:val="22"/>
              </w:rPr>
              <w:lastRenderedPageBreak/>
              <w:t>40.9%</w:t>
            </w:r>
            <w:r w:rsidRPr="00E12E13">
              <w:rPr>
                <w:rFonts w:hint="eastAsia"/>
                <w:sz w:val="22"/>
                <w:szCs w:val="22"/>
              </w:rPr>
              <w:t>，</w:t>
            </w:r>
            <w:r w:rsidRPr="00E12E13">
              <w:rPr>
                <w:rFonts w:hint="eastAsia"/>
                <w:sz w:val="22"/>
                <w:szCs w:val="22"/>
              </w:rPr>
              <w:t>DCR</w:t>
            </w:r>
            <w:r w:rsidRPr="00E12E13">
              <w:rPr>
                <w:rFonts w:hint="eastAsia"/>
                <w:sz w:val="22"/>
                <w:szCs w:val="22"/>
              </w:rPr>
              <w:t>为</w:t>
            </w:r>
            <w:r w:rsidRPr="00E12E13">
              <w:rPr>
                <w:rFonts w:hint="eastAsia"/>
                <w:sz w:val="22"/>
                <w:szCs w:val="22"/>
              </w:rPr>
              <w:t>68.2%</w:t>
            </w:r>
            <w:r w:rsidRPr="00E12E13">
              <w:rPr>
                <w:rFonts w:hint="eastAsia"/>
                <w:sz w:val="22"/>
                <w:szCs w:val="22"/>
              </w:rPr>
              <w:t>，</w:t>
            </w:r>
            <w:r w:rsidRPr="00E12E13">
              <w:rPr>
                <w:rFonts w:hint="eastAsia"/>
                <w:sz w:val="22"/>
                <w:szCs w:val="22"/>
              </w:rPr>
              <w:t>20mg/kg</w:t>
            </w:r>
            <w:r w:rsidRPr="00E12E13">
              <w:rPr>
                <w:rFonts w:hint="eastAsia"/>
                <w:sz w:val="22"/>
                <w:szCs w:val="22"/>
              </w:rPr>
              <w:t>组</w:t>
            </w:r>
            <w:proofErr w:type="spellStart"/>
            <w:r w:rsidRPr="00E12E13">
              <w:rPr>
                <w:rFonts w:hint="eastAsia"/>
                <w:sz w:val="22"/>
                <w:szCs w:val="22"/>
              </w:rPr>
              <w:t>mPFS</w:t>
            </w:r>
            <w:proofErr w:type="spellEnd"/>
            <w:r w:rsidRPr="00E12E13">
              <w:rPr>
                <w:rFonts w:hint="eastAsia"/>
                <w:sz w:val="22"/>
                <w:szCs w:val="22"/>
              </w:rPr>
              <w:t>已超过</w:t>
            </w:r>
            <w:r w:rsidRPr="00E12E13">
              <w:rPr>
                <w:rFonts w:hint="eastAsia"/>
                <w:sz w:val="22"/>
                <w:szCs w:val="22"/>
              </w:rPr>
              <w:t>11</w:t>
            </w:r>
            <w:r w:rsidRPr="00E12E13">
              <w:rPr>
                <w:rFonts w:hint="eastAsia"/>
                <w:sz w:val="22"/>
                <w:szCs w:val="22"/>
              </w:rPr>
              <w:t>个月。安全性方面，两组整体耐受性和安全性均良好。</w:t>
            </w:r>
            <w:r w:rsidRPr="00E12E13">
              <w:rPr>
                <w:rFonts w:hint="eastAsia"/>
                <w:sz w:val="22"/>
                <w:szCs w:val="22"/>
              </w:rPr>
              <w:t>ZG005</w:t>
            </w:r>
            <w:r w:rsidR="00467AAC">
              <w:rPr>
                <w:sz w:val="22"/>
                <w:szCs w:val="22"/>
              </w:rPr>
              <w:t xml:space="preserve"> </w:t>
            </w:r>
            <w:r w:rsidRPr="00E12E13">
              <w:rPr>
                <w:rFonts w:hint="eastAsia"/>
                <w:sz w:val="22"/>
                <w:szCs w:val="22"/>
              </w:rPr>
              <w:t>20mg/kg</w:t>
            </w:r>
            <w:r w:rsidR="00384756">
              <w:rPr>
                <w:sz w:val="22"/>
                <w:szCs w:val="22"/>
              </w:rPr>
              <w:t xml:space="preserve"> </w:t>
            </w:r>
            <w:r w:rsidRPr="00E12E13">
              <w:rPr>
                <w:rFonts w:hint="eastAsia"/>
                <w:sz w:val="22"/>
                <w:szCs w:val="22"/>
              </w:rPr>
              <w:t>Q3W</w:t>
            </w:r>
            <w:r w:rsidRPr="00E12E13">
              <w:rPr>
                <w:rFonts w:hint="eastAsia"/>
                <w:sz w:val="22"/>
                <w:szCs w:val="22"/>
              </w:rPr>
              <w:t>给药剂量下，在二线及以上宫颈癌患者中，展现出优异的抗肿瘤活性和良好的安全性。</w:t>
            </w:r>
          </w:p>
          <w:p w14:paraId="52218525" w14:textId="6FB67957" w:rsidR="00E12E13" w:rsidRDefault="0020031B" w:rsidP="00E12E13">
            <w:pPr>
              <w:spacing w:line="360" w:lineRule="auto"/>
              <w:ind w:firstLineChars="200" w:firstLine="440"/>
              <w:rPr>
                <w:sz w:val="22"/>
                <w:szCs w:val="22"/>
              </w:rPr>
            </w:pPr>
            <w:r>
              <w:rPr>
                <w:rFonts w:hint="eastAsia"/>
                <w:sz w:val="22"/>
                <w:szCs w:val="22"/>
              </w:rPr>
              <w:t>此外，本次</w:t>
            </w:r>
            <w:r>
              <w:rPr>
                <w:rFonts w:hint="eastAsia"/>
                <w:sz w:val="22"/>
                <w:szCs w:val="22"/>
              </w:rPr>
              <w:t>ASCO</w:t>
            </w:r>
            <w:r>
              <w:rPr>
                <w:rFonts w:hint="eastAsia"/>
                <w:sz w:val="22"/>
                <w:szCs w:val="22"/>
              </w:rPr>
              <w:t>发布了</w:t>
            </w:r>
            <w:r>
              <w:rPr>
                <w:rFonts w:hint="eastAsia"/>
                <w:sz w:val="22"/>
                <w:szCs w:val="22"/>
              </w:rPr>
              <w:t>ZG005</w:t>
            </w:r>
            <w:r>
              <w:rPr>
                <w:rFonts w:hint="eastAsia"/>
                <w:sz w:val="22"/>
                <w:szCs w:val="22"/>
              </w:rPr>
              <w:t>另</w:t>
            </w:r>
            <w:r w:rsidR="00E12E13">
              <w:rPr>
                <w:rFonts w:hint="eastAsia"/>
                <w:sz w:val="22"/>
                <w:szCs w:val="22"/>
              </w:rPr>
              <w:t>两项联用</w:t>
            </w:r>
            <w:r>
              <w:rPr>
                <w:rFonts w:hint="eastAsia"/>
                <w:sz w:val="22"/>
                <w:szCs w:val="22"/>
              </w:rPr>
              <w:t>临床</w:t>
            </w:r>
            <w:r w:rsidR="00E12E13">
              <w:rPr>
                <w:rFonts w:hint="eastAsia"/>
                <w:sz w:val="22"/>
                <w:szCs w:val="22"/>
              </w:rPr>
              <w:t>研究</w:t>
            </w:r>
            <w:r>
              <w:rPr>
                <w:rFonts w:hint="eastAsia"/>
                <w:sz w:val="22"/>
                <w:szCs w:val="22"/>
              </w:rPr>
              <w:t>的早期临床数据</w:t>
            </w:r>
            <w:r w:rsidR="00E12E13">
              <w:rPr>
                <w:rFonts w:hint="eastAsia"/>
                <w:sz w:val="22"/>
                <w:szCs w:val="22"/>
              </w:rPr>
              <w:t>，也均</w:t>
            </w:r>
            <w:r w:rsidR="00E12E13" w:rsidRPr="00E12E13">
              <w:rPr>
                <w:rFonts w:hint="eastAsia"/>
                <w:sz w:val="22"/>
                <w:szCs w:val="22"/>
              </w:rPr>
              <w:t>展现出</w:t>
            </w:r>
            <w:r w:rsidR="00E12E13">
              <w:rPr>
                <w:rFonts w:hint="eastAsia"/>
                <w:sz w:val="22"/>
                <w:szCs w:val="22"/>
              </w:rPr>
              <w:t>了</w:t>
            </w:r>
            <w:r w:rsidR="00E12E13" w:rsidRPr="00E12E13">
              <w:rPr>
                <w:rFonts w:hint="eastAsia"/>
                <w:sz w:val="22"/>
                <w:szCs w:val="22"/>
              </w:rPr>
              <w:t>良好的疗效</w:t>
            </w:r>
            <w:r w:rsidR="00E12E13">
              <w:rPr>
                <w:rFonts w:hint="eastAsia"/>
                <w:sz w:val="22"/>
                <w:szCs w:val="22"/>
              </w:rPr>
              <w:t>和</w:t>
            </w:r>
            <w:r w:rsidR="00E12E13" w:rsidRPr="00E12E13">
              <w:rPr>
                <w:rFonts w:hint="eastAsia"/>
                <w:sz w:val="22"/>
                <w:szCs w:val="22"/>
              </w:rPr>
              <w:t>良好的安全性</w:t>
            </w:r>
            <w:r w:rsidR="00E12E13">
              <w:rPr>
                <w:rFonts w:hint="eastAsia"/>
                <w:sz w:val="22"/>
                <w:szCs w:val="22"/>
              </w:rPr>
              <w:t>、</w:t>
            </w:r>
            <w:r w:rsidR="00E12E13" w:rsidRPr="00E12E13">
              <w:rPr>
                <w:rFonts w:hint="eastAsia"/>
                <w:sz w:val="22"/>
                <w:szCs w:val="22"/>
              </w:rPr>
              <w:t>耐受性，支持其进一步研究和临床应用。</w:t>
            </w:r>
          </w:p>
          <w:p w14:paraId="6AFDC2DE" w14:textId="6C41FC84" w:rsidR="00CD2ABF" w:rsidRPr="00E12E13" w:rsidRDefault="00CD2ABF" w:rsidP="00E12E13">
            <w:pPr>
              <w:spacing w:line="360" w:lineRule="auto"/>
              <w:ind w:firstLineChars="200" w:firstLine="440"/>
              <w:rPr>
                <w:sz w:val="22"/>
                <w:szCs w:val="22"/>
              </w:rPr>
            </w:pPr>
            <w:r>
              <w:rPr>
                <w:rFonts w:hint="eastAsia"/>
                <w:sz w:val="22"/>
                <w:szCs w:val="22"/>
              </w:rPr>
              <w:t>目前，</w:t>
            </w:r>
            <w:r w:rsidRPr="00CD2ABF">
              <w:rPr>
                <w:rFonts w:hint="eastAsia"/>
                <w:sz w:val="22"/>
                <w:szCs w:val="22"/>
              </w:rPr>
              <w:t>公司正在积极推进</w:t>
            </w:r>
            <w:r>
              <w:rPr>
                <w:rFonts w:hint="eastAsia"/>
                <w:sz w:val="22"/>
                <w:szCs w:val="22"/>
              </w:rPr>
              <w:t>ZG005</w:t>
            </w:r>
            <w:r w:rsidRPr="00CD2ABF">
              <w:rPr>
                <w:rFonts w:hint="eastAsia"/>
                <w:sz w:val="22"/>
                <w:szCs w:val="22"/>
              </w:rPr>
              <w:t>单药或联合用药治疗肝癌、宫颈癌、神经内分泌癌等实体瘤的多项临床研究。</w:t>
            </w:r>
          </w:p>
          <w:p w14:paraId="2429A41A" w14:textId="77777777" w:rsidR="00C428EB" w:rsidRPr="00B86595" w:rsidRDefault="00C428EB" w:rsidP="00C428EB">
            <w:pPr>
              <w:spacing w:line="360" w:lineRule="auto"/>
              <w:ind w:firstLineChars="200" w:firstLine="442"/>
              <w:rPr>
                <w:b/>
                <w:bCs/>
                <w:sz w:val="22"/>
                <w:szCs w:val="22"/>
              </w:rPr>
            </w:pPr>
            <w:r w:rsidRPr="00B86595">
              <w:rPr>
                <w:rFonts w:hint="eastAsia"/>
                <w:b/>
                <w:bCs/>
                <w:sz w:val="22"/>
                <w:szCs w:val="22"/>
              </w:rPr>
              <w:t>Q4</w:t>
            </w:r>
            <w:r w:rsidRPr="00B86595">
              <w:rPr>
                <w:rFonts w:hint="eastAsia"/>
                <w:b/>
                <w:bCs/>
                <w:sz w:val="22"/>
                <w:szCs w:val="22"/>
              </w:rPr>
              <w:t>、</w:t>
            </w:r>
            <w:r w:rsidR="006D4057" w:rsidRPr="00B129C0">
              <w:rPr>
                <w:rFonts w:hint="eastAsia"/>
                <w:b/>
                <w:sz w:val="22"/>
                <w:szCs w:val="22"/>
              </w:rPr>
              <w:t>公司</w:t>
            </w:r>
            <w:r w:rsidR="006D4057">
              <w:rPr>
                <w:rFonts w:hint="eastAsia"/>
                <w:b/>
                <w:sz w:val="22"/>
                <w:szCs w:val="22"/>
              </w:rPr>
              <w:t>在</w:t>
            </w:r>
            <w:r w:rsidR="006D4057">
              <w:rPr>
                <w:rFonts w:hint="eastAsia"/>
                <w:b/>
                <w:sz w:val="22"/>
                <w:szCs w:val="22"/>
              </w:rPr>
              <w:t>2</w:t>
            </w:r>
            <w:r w:rsidR="006D4057">
              <w:rPr>
                <w:b/>
                <w:sz w:val="22"/>
                <w:szCs w:val="22"/>
              </w:rPr>
              <w:t>025 ASCO</w:t>
            </w:r>
            <w:r w:rsidR="006D4057">
              <w:rPr>
                <w:b/>
                <w:sz w:val="22"/>
                <w:szCs w:val="22"/>
              </w:rPr>
              <w:t>披露的</w:t>
            </w:r>
            <w:r w:rsidR="006D4057" w:rsidRPr="00B129C0">
              <w:rPr>
                <w:rFonts w:hint="eastAsia"/>
                <w:b/>
                <w:sz w:val="22"/>
                <w:szCs w:val="22"/>
              </w:rPr>
              <w:t>ZG00</w:t>
            </w:r>
            <w:r w:rsidR="006D4057">
              <w:rPr>
                <w:b/>
                <w:sz w:val="22"/>
                <w:szCs w:val="22"/>
              </w:rPr>
              <w:t>6</w:t>
            </w:r>
            <w:r w:rsidR="006D4057">
              <w:rPr>
                <w:b/>
                <w:sz w:val="22"/>
                <w:szCs w:val="22"/>
              </w:rPr>
              <w:t>相关数据情况</w:t>
            </w:r>
            <w:r w:rsidR="006D4057">
              <w:rPr>
                <w:rFonts w:hint="eastAsia"/>
                <w:b/>
                <w:sz w:val="22"/>
                <w:szCs w:val="22"/>
              </w:rPr>
              <w:t>？</w:t>
            </w:r>
          </w:p>
          <w:p w14:paraId="6C89512F" w14:textId="25489AC4" w:rsidR="00C428EB" w:rsidRDefault="00467AAC" w:rsidP="007C436B">
            <w:pPr>
              <w:spacing w:line="360" w:lineRule="auto"/>
              <w:ind w:firstLineChars="200" w:firstLine="440"/>
              <w:rPr>
                <w:sz w:val="22"/>
                <w:szCs w:val="22"/>
              </w:rPr>
            </w:pPr>
            <w:r w:rsidRPr="00467AAC">
              <w:rPr>
                <w:rFonts w:hint="eastAsia"/>
                <w:sz w:val="22"/>
                <w:szCs w:val="22"/>
              </w:rPr>
              <w:t>在</w:t>
            </w:r>
            <w:r w:rsidRPr="00467AAC">
              <w:rPr>
                <w:rFonts w:hint="eastAsia"/>
                <w:sz w:val="22"/>
                <w:szCs w:val="22"/>
              </w:rPr>
              <w:t>2025</w:t>
            </w:r>
            <w:r w:rsidRPr="00467AAC">
              <w:rPr>
                <w:rFonts w:hint="eastAsia"/>
                <w:sz w:val="22"/>
                <w:szCs w:val="22"/>
              </w:rPr>
              <w:t>年</w:t>
            </w:r>
            <w:r w:rsidRPr="00467AAC">
              <w:rPr>
                <w:rFonts w:hint="eastAsia"/>
                <w:sz w:val="22"/>
                <w:szCs w:val="22"/>
              </w:rPr>
              <w:t>ASCO</w:t>
            </w:r>
            <w:r w:rsidRPr="00467AAC">
              <w:rPr>
                <w:rFonts w:hint="eastAsia"/>
                <w:sz w:val="22"/>
                <w:szCs w:val="22"/>
              </w:rPr>
              <w:t>年会上，</w:t>
            </w:r>
            <w:r w:rsidR="0020031B" w:rsidRPr="0020031B">
              <w:rPr>
                <w:rFonts w:hint="eastAsia"/>
                <w:sz w:val="22"/>
                <w:szCs w:val="22"/>
              </w:rPr>
              <w:t>ZG006</w:t>
            </w:r>
            <w:r w:rsidR="0020031B" w:rsidRPr="0020031B">
              <w:rPr>
                <w:rFonts w:hint="eastAsia"/>
                <w:sz w:val="22"/>
                <w:szCs w:val="22"/>
              </w:rPr>
              <w:t>单药治疗在难治性晚期小细胞肺癌患者中的</w:t>
            </w:r>
            <w:r w:rsidR="0020031B" w:rsidRPr="0020031B">
              <w:rPr>
                <w:rFonts w:hint="eastAsia"/>
                <w:sz w:val="22"/>
                <w:szCs w:val="22"/>
              </w:rPr>
              <w:t>II</w:t>
            </w:r>
            <w:r w:rsidR="0020031B" w:rsidRPr="0020031B">
              <w:rPr>
                <w:rFonts w:hint="eastAsia"/>
                <w:sz w:val="22"/>
                <w:szCs w:val="22"/>
              </w:rPr>
              <w:t>期剂量优化临床研究（</w:t>
            </w:r>
            <w:r w:rsidR="0020031B" w:rsidRPr="0020031B">
              <w:rPr>
                <w:sz w:val="22"/>
                <w:szCs w:val="22"/>
              </w:rPr>
              <w:t>ZG006-002</w:t>
            </w:r>
            <w:r w:rsidR="0020031B" w:rsidRPr="0020031B">
              <w:rPr>
                <w:rFonts w:hint="eastAsia"/>
                <w:sz w:val="22"/>
                <w:szCs w:val="22"/>
              </w:rPr>
              <w:t>）入选肺癌专场口头报告</w:t>
            </w:r>
            <w:r w:rsidRPr="00467AAC">
              <w:rPr>
                <w:rFonts w:hint="eastAsia"/>
                <w:sz w:val="22"/>
                <w:szCs w:val="22"/>
              </w:rPr>
              <w:t>。截至</w:t>
            </w:r>
            <w:r w:rsidRPr="00467AAC">
              <w:rPr>
                <w:rFonts w:hint="eastAsia"/>
                <w:sz w:val="22"/>
                <w:szCs w:val="22"/>
              </w:rPr>
              <w:t>2025</w:t>
            </w:r>
            <w:r w:rsidRPr="00467AAC">
              <w:rPr>
                <w:rFonts w:hint="eastAsia"/>
                <w:sz w:val="22"/>
                <w:szCs w:val="22"/>
              </w:rPr>
              <w:t>年</w:t>
            </w:r>
            <w:r w:rsidRPr="00467AAC">
              <w:rPr>
                <w:rFonts w:hint="eastAsia"/>
                <w:sz w:val="22"/>
                <w:szCs w:val="22"/>
              </w:rPr>
              <w:t>2</w:t>
            </w:r>
            <w:r w:rsidRPr="00467AAC">
              <w:rPr>
                <w:rFonts w:hint="eastAsia"/>
                <w:sz w:val="22"/>
                <w:szCs w:val="22"/>
              </w:rPr>
              <w:t>月</w:t>
            </w:r>
            <w:r w:rsidRPr="00467AAC">
              <w:rPr>
                <w:rFonts w:hint="eastAsia"/>
                <w:sz w:val="22"/>
                <w:szCs w:val="22"/>
              </w:rPr>
              <w:t>14</w:t>
            </w:r>
            <w:r w:rsidRPr="00467AAC">
              <w:rPr>
                <w:rFonts w:hint="eastAsia"/>
                <w:sz w:val="22"/>
                <w:szCs w:val="22"/>
              </w:rPr>
              <w:t>日数据分析集，该研究共</w:t>
            </w:r>
            <w:r w:rsidRPr="00467AAC">
              <w:rPr>
                <w:rFonts w:hint="eastAsia"/>
                <w:sz w:val="22"/>
                <w:szCs w:val="22"/>
              </w:rPr>
              <w:t>48</w:t>
            </w:r>
            <w:r w:rsidRPr="00467AAC">
              <w:rPr>
                <w:rFonts w:hint="eastAsia"/>
                <w:sz w:val="22"/>
                <w:szCs w:val="22"/>
              </w:rPr>
              <w:t>例三线及以上小细胞肺癌（</w:t>
            </w:r>
            <w:r w:rsidRPr="00467AAC">
              <w:rPr>
                <w:rFonts w:hint="eastAsia"/>
                <w:sz w:val="22"/>
                <w:szCs w:val="22"/>
              </w:rPr>
              <w:t>SCLC</w:t>
            </w:r>
            <w:r w:rsidRPr="00467AAC">
              <w:rPr>
                <w:rFonts w:hint="eastAsia"/>
                <w:sz w:val="22"/>
                <w:szCs w:val="22"/>
              </w:rPr>
              <w:t>）患者按</w:t>
            </w:r>
            <w:r w:rsidRPr="00467AAC">
              <w:rPr>
                <w:rFonts w:hint="eastAsia"/>
                <w:sz w:val="22"/>
                <w:szCs w:val="22"/>
              </w:rPr>
              <w:t>1:1</w:t>
            </w:r>
            <w:r w:rsidRPr="00467AAC">
              <w:rPr>
                <w:rFonts w:hint="eastAsia"/>
                <w:sz w:val="22"/>
                <w:szCs w:val="22"/>
              </w:rPr>
              <w:t>随机接受</w:t>
            </w:r>
            <w:r w:rsidRPr="00467AAC">
              <w:rPr>
                <w:rFonts w:hint="eastAsia"/>
                <w:sz w:val="22"/>
                <w:szCs w:val="22"/>
              </w:rPr>
              <w:t>ZG006</w:t>
            </w:r>
            <w:r w:rsidR="00CD7662">
              <w:rPr>
                <w:sz w:val="22"/>
                <w:szCs w:val="22"/>
              </w:rPr>
              <w:t xml:space="preserve"> </w:t>
            </w:r>
            <w:r w:rsidRPr="00467AAC">
              <w:rPr>
                <w:rFonts w:hint="eastAsia"/>
                <w:sz w:val="22"/>
                <w:szCs w:val="22"/>
              </w:rPr>
              <w:t>10mg</w:t>
            </w:r>
            <w:r>
              <w:rPr>
                <w:sz w:val="22"/>
                <w:szCs w:val="22"/>
              </w:rPr>
              <w:t xml:space="preserve"> </w:t>
            </w:r>
            <w:r w:rsidRPr="00467AAC">
              <w:rPr>
                <w:rFonts w:hint="eastAsia"/>
                <w:sz w:val="22"/>
                <w:szCs w:val="22"/>
              </w:rPr>
              <w:t>Q2W</w:t>
            </w:r>
            <w:r w:rsidRPr="00467AAC">
              <w:rPr>
                <w:rFonts w:hint="eastAsia"/>
                <w:sz w:val="22"/>
                <w:szCs w:val="22"/>
              </w:rPr>
              <w:t>或</w:t>
            </w:r>
            <w:r w:rsidRPr="00467AAC">
              <w:rPr>
                <w:rFonts w:hint="eastAsia"/>
                <w:sz w:val="22"/>
                <w:szCs w:val="22"/>
              </w:rPr>
              <w:t>30mg</w:t>
            </w:r>
            <w:r>
              <w:rPr>
                <w:sz w:val="22"/>
                <w:szCs w:val="22"/>
              </w:rPr>
              <w:t xml:space="preserve"> </w:t>
            </w:r>
            <w:r w:rsidRPr="00467AAC">
              <w:rPr>
                <w:rFonts w:hint="eastAsia"/>
                <w:sz w:val="22"/>
                <w:szCs w:val="22"/>
              </w:rPr>
              <w:t>Q2W</w:t>
            </w:r>
            <w:r w:rsidRPr="00467AAC">
              <w:rPr>
                <w:rFonts w:hint="eastAsia"/>
                <w:sz w:val="22"/>
                <w:szCs w:val="22"/>
              </w:rPr>
              <w:t>治疗并完成至少一次疗效评估，首次给药均为</w:t>
            </w:r>
            <w:r w:rsidRPr="00467AAC">
              <w:rPr>
                <w:rFonts w:hint="eastAsia"/>
                <w:sz w:val="22"/>
                <w:szCs w:val="22"/>
              </w:rPr>
              <w:t>1mg</w:t>
            </w:r>
            <w:r w:rsidRPr="00467AAC">
              <w:rPr>
                <w:rFonts w:hint="eastAsia"/>
                <w:sz w:val="22"/>
                <w:szCs w:val="22"/>
              </w:rPr>
              <w:t>滴定剂量。两组患者的基线特征总体均衡。有效性方面，基于</w:t>
            </w:r>
            <w:r w:rsidRPr="00467AAC">
              <w:rPr>
                <w:rFonts w:hint="eastAsia"/>
                <w:sz w:val="22"/>
                <w:szCs w:val="22"/>
              </w:rPr>
              <w:t>IRC</w:t>
            </w:r>
            <w:r w:rsidRPr="00467AAC">
              <w:rPr>
                <w:rFonts w:hint="eastAsia"/>
                <w:sz w:val="22"/>
                <w:szCs w:val="22"/>
              </w:rPr>
              <w:t>评估，</w:t>
            </w:r>
            <w:r w:rsidRPr="00467AAC">
              <w:rPr>
                <w:rFonts w:hint="eastAsia"/>
                <w:sz w:val="22"/>
                <w:szCs w:val="22"/>
              </w:rPr>
              <w:t>10mg</w:t>
            </w:r>
            <w:r w:rsidRPr="00467AAC">
              <w:rPr>
                <w:rFonts w:hint="eastAsia"/>
                <w:sz w:val="22"/>
                <w:szCs w:val="22"/>
              </w:rPr>
              <w:t>和</w:t>
            </w:r>
            <w:r w:rsidRPr="00467AAC">
              <w:rPr>
                <w:rFonts w:hint="eastAsia"/>
                <w:sz w:val="22"/>
                <w:szCs w:val="22"/>
              </w:rPr>
              <w:t>30mg</w:t>
            </w:r>
            <w:r w:rsidRPr="00467AAC">
              <w:rPr>
                <w:rFonts w:hint="eastAsia"/>
                <w:sz w:val="22"/>
                <w:szCs w:val="22"/>
              </w:rPr>
              <w:t>组的</w:t>
            </w:r>
            <w:r w:rsidRPr="00467AAC">
              <w:rPr>
                <w:rFonts w:hint="eastAsia"/>
                <w:sz w:val="22"/>
                <w:szCs w:val="22"/>
              </w:rPr>
              <w:t>ORR</w:t>
            </w:r>
            <w:r w:rsidRPr="00467AAC">
              <w:rPr>
                <w:rFonts w:hint="eastAsia"/>
                <w:sz w:val="22"/>
                <w:szCs w:val="22"/>
              </w:rPr>
              <w:t>分别为</w:t>
            </w:r>
            <w:r w:rsidRPr="00467AAC">
              <w:rPr>
                <w:rFonts w:hint="eastAsia"/>
                <w:sz w:val="22"/>
                <w:szCs w:val="22"/>
              </w:rPr>
              <w:t>62.5%</w:t>
            </w:r>
            <w:r w:rsidRPr="00467AAC">
              <w:rPr>
                <w:rFonts w:hint="eastAsia"/>
                <w:sz w:val="22"/>
                <w:szCs w:val="22"/>
              </w:rPr>
              <w:t>和</w:t>
            </w:r>
            <w:r w:rsidRPr="00467AAC">
              <w:rPr>
                <w:rFonts w:hint="eastAsia"/>
                <w:sz w:val="22"/>
                <w:szCs w:val="22"/>
              </w:rPr>
              <w:t>58.3%</w:t>
            </w:r>
            <w:r w:rsidRPr="00467AAC">
              <w:rPr>
                <w:rFonts w:hint="eastAsia"/>
                <w:sz w:val="22"/>
                <w:szCs w:val="22"/>
              </w:rPr>
              <w:t>，</w:t>
            </w:r>
            <w:r w:rsidRPr="00467AAC">
              <w:rPr>
                <w:rFonts w:hint="eastAsia"/>
                <w:sz w:val="22"/>
                <w:szCs w:val="22"/>
              </w:rPr>
              <w:t>DCR</w:t>
            </w:r>
            <w:r w:rsidRPr="00467AAC">
              <w:rPr>
                <w:rFonts w:hint="eastAsia"/>
                <w:sz w:val="22"/>
                <w:szCs w:val="22"/>
              </w:rPr>
              <w:t>分别为</w:t>
            </w:r>
            <w:r w:rsidRPr="00467AAC">
              <w:rPr>
                <w:rFonts w:hint="eastAsia"/>
                <w:sz w:val="22"/>
                <w:szCs w:val="22"/>
              </w:rPr>
              <w:t>70.8%</w:t>
            </w:r>
            <w:r w:rsidRPr="00467AAC">
              <w:rPr>
                <w:rFonts w:hint="eastAsia"/>
                <w:sz w:val="22"/>
                <w:szCs w:val="22"/>
              </w:rPr>
              <w:t>和</w:t>
            </w:r>
            <w:r w:rsidRPr="00467AAC">
              <w:rPr>
                <w:rFonts w:hint="eastAsia"/>
                <w:sz w:val="22"/>
                <w:szCs w:val="22"/>
              </w:rPr>
              <w:t>66.7%</w:t>
            </w:r>
            <w:r w:rsidRPr="00467AAC">
              <w:rPr>
                <w:rFonts w:hint="eastAsia"/>
                <w:sz w:val="22"/>
                <w:szCs w:val="22"/>
              </w:rPr>
              <w:t>。安全性方面，两组的整体耐受性和安全性均良好。数据显示，</w:t>
            </w:r>
            <w:r w:rsidRPr="00467AAC">
              <w:rPr>
                <w:rFonts w:hint="eastAsia"/>
                <w:sz w:val="22"/>
                <w:szCs w:val="22"/>
              </w:rPr>
              <w:t>ZG006</w:t>
            </w:r>
            <w:r w:rsidRPr="00467AAC">
              <w:rPr>
                <w:rFonts w:hint="eastAsia"/>
                <w:sz w:val="22"/>
                <w:szCs w:val="22"/>
              </w:rPr>
              <w:t>单药</w:t>
            </w:r>
            <w:r w:rsidRPr="00467AAC">
              <w:rPr>
                <w:rFonts w:hint="eastAsia"/>
                <w:sz w:val="22"/>
                <w:szCs w:val="22"/>
              </w:rPr>
              <w:t>10mg</w:t>
            </w:r>
            <w:r w:rsidR="00CD7662">
              <w:rPr>
                <w:sz w:val="22"/>
                <w:szCs w:val="22"/>
              </w:rPr>
              <w:t xml:space="preserve"> </w:t>
            </w:r>
            <w:r w:rsidRPr="00467AAC">
              <w:rPr>
                <w:rFonts w:hint="eastAsia"/>
                <w:sz w:val="22"/>
                <w:szCs w:val="22"/>
              </w:rPr>
              <w:t>Q2W</w:t>
            </w:r>
            <w:r w:rsidRPr="00467AAC">
              <w:rPr>
                <w:rFonts w:hint="eastAsia"/>
                <w:sz w:val="22"/>
                <w:szCs w:val="22"/>
              </w:rPr>
              <w:t>和</w:t>
            </w:r>
            <w:r w:rsidRPr="00467AAC">
              <w:rPr>
                <w:rFonts w:hint="eastAsia"/>
                <w:sz w:val="22"/>
                <w:szCs w:val="22"/>
              </w:rPr>
              <w:t>30mg</w:t>
            </w:r>
            <w:r w:rsidR="00CD7662">
              <w:rPr>
                <w:sz w:val="22"/>
                <w:szCs w:val="22"/>
              </w:rPr>
              <w:t xml:space="preserve"> </w:t>
            </w:r>
            <w:r w:rsidRPr="00467AAC">
              <w:rPr>
                <w:rFonts w:hint="eastAsia"/>
                <w:sz w:val="22"/>
                <w:szCs w:val="22"/>
              </w:rPr>
              <w:t>Q2W</w:t>
            </w:r>
            <w:r w:rsidRPr="00467AAC">
              <w:rPr>
                <w:rFonts w:hint="eastAsia"/>
                <w:sz w:val="22"/>
                <w:szCs w:val="22"/>
              </w:rPr>
              <w:t>剂量在三线及以上小细胞肺癌患者中均展现出显著的抗肿瘤活性及良好的安全性，支持其在该适应症中开展进一步的注册研究。</w:t>
            </w:r>
          </w:p>
          <w:p w14:paraId="6AFC6CCF" w14:textId="7FB42306" w:rsidR="000F55EF" w:rsidRDefault="0020031B" w:rsidP="0020031B">
            <w:pPr>
              <w:spacing w:line="360" w:lineRule="auto"/>
              <w:ind w:firstLineChars="200" w:firstLine="440"/>
              <w:rPr>
                <w:sz w:val="22"/>
                <w:szCs w:val="22"/>
              </w:rPr>
            </w:pPr>
            <w:r w:rsidRPr="0020031B">
              <w:rPr>
                <w:rFonts w:hint="eastAsia"/>
                <w:sz w:val="22"/>
                <w:szCs w:val="22"/>
              </w:rPr>
              <w:t>此外，</w:t>
            </w:r>
            <w:r w:rsidRPr="0020031B">
              <w:rPr>
                <w:rFonts w:hint="eastAsia"/>
                <w:sz w:val="22"/>
                <w:szCs w:val="22"/>
              </w:rPr>
              <w:t>ZG006</w:t>
            </w:r>
            <w:r w:rsidRPr="0020031B">
              <w:rPr>
                <w:rFonts w:hint="eastAsia"/>
                <w:sz w:val="22"/>
                <w:szCs w:val="22"/>
              </w:rPr>
              <w:t>在晚期小细胞肺癌或神经内分泌癌患者中的剂量递增和扩展的</w:t>
            </w:r>
            <w:r w:rsidRPr="0020031B">
              <w:rPr>
                <w:rFonts w:hint="eastAsia"/>
                <w:sz w:val="22"/>
                <w:szCs w:val="22"/>
              </w:rPr>
              <w:t xml:space="preserve"> I/II </w:t>
            </w:r>
            <w:r w:rsidRPr="0020031B">
              <w:rPr>
                <w:rFonts w:hint="eastAsia"/>
                <w:sz w:val="22"/>
                <w:szCs w:val="22"/>
              </w:rPr>
              <w:t>期临床研究（</w:t>
            </w:r>
            <w:r w:rsidRPr="0020031B">
              <w:rPr>
                <w:sz w:val="22"/>
                <w:szCs w:val="22"/>
              </w:rPr>
              <w:t>ZG006-001</w:t>
            </w:r>
            <w:r w:rsidRPr="0020031B">
              <w:rPr>
                <w:rFonts w:hint="eastAsia"/>
                <w:sz w:val="22"/>
                <w:szCs w:val="22"/>
              </w:rPr>
              <w:t>）、</w:t>
            </w:r>
            <w:r w:rsidRPr="0020031B">
              <w:rPr>
                <w:sz w:val="22"/>
                <w:szCs w:val="22"/>
              </w:rPr>
              <w:t>在晚期神经内分泌癌患者中的</w:t>
            </w:r>
            <w:r w:rsidRPr="0020031B">
              <w:rPr>
                <w:sz w:val="22"/>
                <w:szCs w:val="22"/>
              </w:rPr>
              <w:t>Ⅱ</w:t>
            </w:r>
            <w:r w:rsidRPr="0020031B">
              <w:rPr>
                <w:sz w:val="22"/>
                <w:szCs w:val="22"/>
              </w:rPr>
              <w:t>期剂量扩展临床研究</w:t>
            </w:r>
            <w:r w:rsidRPr="0020031B">
              <w:rPr>
                <w:rFonts w:hint="eastAsia"/>
                <w:sz w:val="22"/>
                <w:szCs w:val="22"/>
              </w:rPr>
              <w:t>（</w:t>
            </w:r>
            <w:r w:rsidRPr="0020031B">
              <w:rPr>
                <w:sz w:val="22"/>
                <w:szCs w:val="22"/>
              </w:rPr>
              <w:t>ZG006-00</w:t>
            </w:r>
            <w:r w:rsidRPr="0020031B">
              <w:rPr>
                <w:rFonts w:hint="eastAsia"/>
                <w:sz w:val="22"/>
                <w:szCs w:val="22"/>
              </w:rPr>
              <w:t>3</w:t>
            </w:r>
            <w:r w:rsidR="00CD7662">
              <w:rPr>
                <w:rFonts w:hint="eastAsia"/>
                <w:sz w:val="22"/>
                <w:szCs w:val="22"/>
              </w:rPr>
              <w:t>）</w:t>
            </w:r>
            <w:r>
              <w:rPr>
                <w:rFonts w:hint="eastAsia"/>
                <w:sz w:val="22"/>
                <w:szCs w:val="22"/>
              </w:rPr>
              <w:t>也</w:t>
            </w:r>
            <w:r w:rsidR="000F55EF" w:rsidRPr="0020031B">
              <w:rPr>
                <w:rFonts w:hint="eastAsia"/>
                <w:sz w:val="22"/>
                <w:szCs w:val="22"/>
              </w:rPr>
              <w:t>展现</w:t>
            </w:r>
            <w:r w:rsidR="000F55EF" w:rsidRPr="000F55EF">
              <w:rPr>
                <w:rFonts w:hint="eastAsia"/>
                <w:sz w:val="22"/>
                <w:szCs w:val="22"/>
              </w:rPr>
              <w:t>出良好的安全性、耐受性及优异的抗肿瘤活性，为其进一步临床研究奠定了坚实基础。</w:t>
            </w:r>
          </w:p>
          <w:p w14:paraId="70E74166" w14:textId="1AE39A20" w:rsidR="00CD2ABF" w:rsidRPr="00467AAC" w:rsidRDefault="00CD2ABF" w:rsidP="007C436B">
            <w:pPr>
              <w:spacing w:line="360" w:lineRule="auto"/>
              <w:ind w:firstLineChars="200" w:firstLine="440"/>
              <w:rPr>
                <w:sz w:val="22"/>
                <w:szCs w:val="22"/>
              </w:rPr>
            </w:pPr>
            <w:r>
              <w:rPr>
                <w:rFonts w:hint="eastAsia"/>
                <w:sz w:val="22"/>
                <w:szCs w:val="22"/>
              </w:rPr>
              <w:t>公司</w:t>
            </w:r>
            <w:r w:rsidR="0020031B">
              <w:rPr>
                <w:rFonts w:hint="eastAsia"/>
                <w:sz w:val="22"/>
                <w:szCs w:val="22"/>
              </w:rPr>
              <w:t>将进一步集中资源，</w:t>
            </w:r>
            <w:r>
              <w:rPr>
                <w:rFonts w:hint="eastAsia"/>
                <w:sz w:val="22"/>
                <w:szCs w:val="22"/>
              </w:rPr>
              <w:t>积极推进</w:t>
            </w:r>
            <w:r>
              <w:rPr>
                <w:rFonts w:hint="eastAsia"/>
                <w:sz w:val="22"/>
                <w:szCs w:val="22"/>
              </w:rPr>
              <w:t>ZG006</w:t>
            </w:r>
            <w:r w:rsidRPr="00CD2ABF">
              <w:rPr>
                <w:rFonts w:hint="eastAsia"/>
                <w:sz w:val="22"/>
                <w:szCs w:val="22"/>
              </w:rPr>
              <w:t>治疗小细胞肺癌、神经内分泌癌</w:t>
            </w:r>
            <w:r w:rsidR="0020031B">
              <w:rPr>
                <w:rFonts w:hint="eastAsia"/>
                <w:sz w:val="22"/>
                <w:szCs w:val="22"/>
              </w:rPr>
              <w:t>等多项临床研究</w:t>
            </w:r>
            <w:r w:rsidRPr="00CD2ABF">
              <w:rPr>
                <w:rFonts w:hint="eastAsia"/>
                <w:sz w:val="22"/>
                <w:szCs w:val="22"/>
              </w:rPr>
              <w:t>。</w:t>
            </w:r>
          </w:p>
          <w:p w14:paraId="72C4DE29" w14:textId="77777777" w:rsidR="007B0DF0" w:rsidRDefault="002D1487" w:rsidP="007B0DF0">
            <w:pPr>
              <w:spacing w:line="360" w:lineRule="auto"/>
              <w:ind w:firstLineChars="200" w:firstLine="442"/>
              <w:rPr>
                <w:b/>
                <w:sz w:val="22"/>
                <w:szCs w:val="22"/>
              </w:rPr>
            </w:pPr>
            <w:r w:rsidRPr="00116F26">
              <w:rPr>
                <w:rFonts w:hint="eastAsia"/>
                <w:b/>
                <w:sz w:val="22"/>
                <w:szCs w:val="22"/>
              </w:rPr>
              <w:t>Q</w:t>
            </w:r>
            <w:r w:rsidR="00C428EB">
              <w:rPr>
                <w:rFonts w:hint="eastAsia"/>
                <w:b/>
                <w:sz w:val="22"/>
                <w:szCs w:val="22"/>
              </w:rPr>
              <w:t>5</w:t>
            </w:r>
            <w:r w:rsidR="007B0DF0" w:rsidRPr="00116F26">
              <w:rPr>
                <w:rFonts w:hint="eastAsia"/>
                <w:b/>
                <w:sz w:val="22"/>
                <w:szCs w:val="22"/>
              </w:rPr>
              <w:t>、</w:t>
            </w:r>
            <w:r w:rsidR="0093033C" w:rsidRPr="00B129C0">
              <w:rPr>
                <w:rFonts w:hint="eastAsia"/>
                <w:b/>
                <w:sz w:val="22"/>
                <w:szCs w:val="22"/>
              </w:rPr>
              <w:t>公司</w:t>
            </w:r>
            <w:r w:rsidR="0093033C">
              <w:rPr>
                <w:rFonts w:hint="eastAsia"/>
                <w:b/>
                <w:sz w:val="22"/>
                <w:szCs w:val="22"/>
              </w:rPr>
              <w:t>在</w:t>
            </w:r>
            <w:r w:rsidR="0093033C">
              <w:rPr>
                <w:rFonts w:hint="eastAsia"/>
                <w:b/>
                <w:sz w:val="22"/>
                <w:szCs w:val="22"/>
              </w:rPr>
              <w:t>2</w:t>
            </w:r>
            <w:r w:rsidR="0093033C">
              <w:rPr>
                <w:b/>
                <w:sz w:val="22"/>
                <w:szCs w:val="22"/>
              </w:rPr>
              <w:t>025 ASCO</w:t>
            </w:r>
            <w:r w:rsidR="0093033C">
              <w:rPr>
                <w:b/>
                <w:sz w:val="22"/>
                <w:szCs w:val="22"/>
              </w:rPr>
              <w:t>披露的</w:t>
            </w:r>
            <w:r w:rsidR="0093033C" w:rsidRPr="00B129C0">
              <w:rPr>
                <w:rFonts w:hint="eastAsia"/>
                <w:b/>
                <w:sz w:val="22"/>
                <w:szCs w:val="22"/>
              </w:rPr>
              <w:t>ZG</w:t>
            </w:r>
            <w:r w:rsidR="0093033C">
              <w:rPr>
                <w:b/>
                <w:sz w:val="22"/>
                <w:szCs w:val="22"/>
              </w:rPr>
              <w:t>GS15</w:t>
            </w:r>
            <w:r w:rsidR="0093033C">
              <w:rPr>
                <w:b/>
                <w:sz w:val="22"/>
                <w:szCs w:val="22"/>
              </w:rPr>
              <w:t>相关数据情况</w:t>
            </w:r>
            <w:r w:rsidR="0093033C">
              <w:rPr>
                <w:rFonts w:hint="eastAsia"/>
                <w:b/>
                <w:sz w:val="22"/>
                <w:szCs w:val="22"/>
              </w:rPr>
              <w:t>？</w:t>
            </w:r>
            <w:r w:rsidR="008956EB" w:rsidDel="008956EB">
              <w:rPr>
                <w:rFonts w:hint="eastAsia"/>
                <w:b/>
                <w:sz w:val="22"/>
                <w:szCs w:val="22"/>
              </w:rPr>
              <w:t xml:space="preserve"> </w:t>
            </w:r>
          </w:p>
          <w:p w14:paraId="058BD1B2" w14:textId="38E28179" w:rsidR="00BF02E4" w:rsidRPr="00BF02E4" w:rsidRDefault="00BF02E4" w:rsidP="00BF02E4">
            <w:pPr>
              <w:spacing w:line="360" w:lineRule="auto"/>
              <w:ind w:firstLineChars="200" w:firstLine="440"/>
              <w:rPr>
                <w:sz w:val="22"/>
                <w:szCs w:val="22"/>
              </w:rPr>
            </w:pPr>
            <w:r w:rsidRPr="00BF02E4">
              <w:rPr>
                <w:rFonts w:hint="eastAsia"/>
                <w:sz w:val="22"/>
                <w:szCs w:val="22"/>
              </w:rPr>
              <w:t>公司在</w:t>
            </w:r>
            <w:r w:rsidR="00AE19A3" w:rsidRPr="00E12E13">
              <w:rPr>
                <w:rFonts w:hint="eastAsia"/>
                <w:sz w:val="22"/>
                <w:szCs w:val="22"/>
              </w:rPr>
              <w:t>2025</w:t>
            </w:r>
            <w:r w:rsidR="00AE19A3" w:rsidRPr="00E12E13">
              <w:rPr>
                <w:rFonts w:hint="eastAsia"/>
                <w:sz w:val="22"/>
                <w:szCs w:val="22"/>
              </w:rPr>
              <w:t>年</w:t>
            </w:r>
            <w:r w:rsidR="00AE19A3" w:rsidRPr="00E12E13">
              <w:rPr>
                <w:rFonts w:hint="eastAsia"/>
                <w:sz w:val="22"/>
                <w:szCs w:val="22"/>
              </w:rPr>
              <w:t>ASCO</w:t>
            </w:r>
            <w:r w:rsidR="00AE19A3" w:rsidRPr="00E12E13">
              <w:rPr>
                <w:rFonts w:hint="eastAsia"/>
                <w:sz w:val="22"/>
                <w:szCs w:val="22"/>
              </w:rPr>
              <w:t>年会</w:t>
            </w:r>
            <w:r w:rsidR="00AE19A3">
              <w:rPr>
                <w:rFonts w:hint="eastAsia"/>
                <w:sz w:val="22"/>
                <w:szCs w:val="22"/>
              </w:rPr>
              <w:t>上</w:t>
            </w:r>
            <w:bookmarkStart w:id="2" w:name="_GoBack"/>
            <w:bookmarkEnd w:id="2"/>
            <w:r w:rsidRPr="00BF02E4">
              <w:rPr>
                <w:sz w:val="22"/>
                <w:szCs w:val="22"/>
              </w:rPr>
              <w:t>披露了</w:t>
            </w:r>
            <w:r w:rsidRPr="00BF02E4">
              <w:rPr>
                <w:rFonts w:hint="eastAsia"/>
                <w:sz w:val="22"/>
                <w:szCs w:val="22"/>
              </w:rPr>
              <w:t>ZGGS15</w:t>
            </w:r>
            <w:r w:rsidRPr="00BF02E4">
              <w:rPr>
                <w:rFonts w:hint="eastAsia"/>
                <w:sz w:val="22"/>
                <w:szCs w:val="22"/>
              </w:rPr>
              <w:t>在晚期实体瘤患者中的剂量递增、耐受性、安全性、药代动力学的</w:t>
            </w:r>
            <w:r w:rsidRPr="00BF02E4">
              <w:rPr>
                <w:rFonts w:hint="eastAsia"/>
                <w:sz w:val="22"/>
                <w:szCs w:val="22"/>
              </w:rPr>
              <w:t>I</w:t>
            </w:r>
            <w:r w:rsidRPr="00BF02E4">
              <w:rPr>
                <w:rFonts w:hint="eastAsia"/>
                <w:sz w:val="22"/>
                <w:szCs w:val="22"/>
              </w:rPr>
              <w:t>期临床研究（</w:t>
            </w:r>
            <w:r w:rsidRPr="00BF02E4">
              <w:rPr>
                <w:rFonts w:hint="eastAsia"/>
                <w:sz w:val="22"/>
                <w:szCs w:val="22"/>
              </w:rPr>
              <w:t>ZGGS15-001</w:t>
            </w:r>
            <w:r w:rsidRPr="00BF02E4">
              <w:rPr>
                <w:rFonts w:hint="eastAsia"/>
                <w:sz w:val="22"/>
                <w:szCs w:val="22"/>
              </w:rPr>
              <w:t>）的相关数据。截至</w:t>
            </w:r>
            <w:r w:rsidRPr="00BF02E4">
              <w:rPr>
                <w:rFonts w:hint="eastAsia"/>
                <w:sz w:val="22"/>
                <w:szCs w:val="22"/>
              </w:rPr>
              <w:t>2025</w:t>
            </w:r>
            <w:r w:rsidRPr="00BF02E4">
              <w:rPr>
                <w:rFonts w:hint="eastAsia"/>
                <w:sz w:val="22"/>
                <w:szCs w:val="22"/>
              </w:rPr>
              <w:t>年</w:t>
            </w:r>
            <w:r w:rsidRPr="00BF02E4">
              <w:rPr>
                <w:rFonts w:hint="eastAsia"/>
                <w:sz w:val="22"/>
                <w:szCs w:val="22"/>
              </w:rPr>
              <w:t>1</w:t>
            </w:r>
            <w:r w:rsidRPr="00BF02E4">
              <w:rPr>
                <w:rFonts w:hint="eastAsia"/>
                <w:sz w:val="22"/>
                <w:szCs w:val="22"/>
              </w:rPr>
              <w:t>月</w:t>
            </w:r>
            <w:r w:rsidRPr="00BF02E4">
              <w:rPr>
                <w:rFonts w:hint="eastAsia"/>
                <w:sz w:val="22"/>
                <w:szCs w:val="22"/>
              </w:rPr>
              <w:t>8</w:t>
            </w:r>
            <w:r w:rsidRPr="00BF02E4">
              <w:rPr>
                <w:rFonts w:hint="eastAsia"/>
                <w:sz w:val="22"/>
                <w:szCs w:val="22"/>
              </w:rPr>
              <w:t>日，该研究共入组</w:t>
            </w:r>
            <w:r w:rsidRPr="00BF02E4">
              <w:rPr>
                <w:rFonts w:hint="eastAsia"/>
                <w:sz w:val="22"/>
                <w:szCs w:val="22"/>
              </w:rPr>
              <w:t>22</w:t>
            </w:r>
            <w:r w:rsidRPr="00BF02E4">
              <w:rPr>
                <w:rFonts w:hint="eastAsia"/>
                <w:sz w:val="22"/>
                <w:szCs w:val="22"/>
              </w:rPr>
              <w:t>例患者，其中</w:t>
            </w:r>
            <w:r w:rsidRPr="00BF02E4">
              <w:rPr>
                <w:rFonts w:hint="eastAsia"/>
                <w:sz w:val="22"/>
                <w:szCs w:val="22"/>
              </w:rPr>
              <w:t>11</w:t>
            </w:r>
            <w:r w:rsidRPr="00BF02E4">
              <w:rPr>
                <w:rFonts w:hint="eastAsia"/>
                <w:sz w:val="22"/>
                <w:szCs w:val="22"/>
              </w:rPr>
              <w:lastRenderedPageBreak/>
              <w:t>例（</w:t>
            </w:r>
            <w:r w:rsidRPr="00BF02E4">
              <w:rPr>
                <w:rFonts w:hint="eastAsia"/>
                <w:sz w:val="22"/>
                <w:szCs w:val="22"/>
              </w:rPr>
              <w:t>50.0%</w:t>
            </w:r>
            <w:r w:rsidRPr="00BF02E4">
              <w:rPr>
                <w:rFonts w:hint="eastAsia"/>
                <w:sz w:val="22"/>
                <w:szCs w:val="22"/>
              </w:rPr>
              <w:t>）既往接受过至少</w:t>
            </w:r>
            <w:r w:rsidRPr="00BF02E4">
              <w:rPr>
                <w:rFonts w:hint="eastAsia"/>
                <w:sz w:val="22"/>
                <w:szCs w:val="22"/>
              </w:rPr>
              <w:t>3</w:t>
            </w:r>
            <w:r w:rsidRPr="00BF02E4">
              <w:rPr>
                <w:rFonts w:hint="eastAsia"/>
                <w:sz w:val="22"/>
                <w:szCs w:val="22"/>
              </w:rPr>
              <w:t>线系统治疗，</w:t>
            </w:r>
            <w:r w:rsidRPr="00BF02E4">
              <w:rPr>
                <w:rFonts w:hint="eastAsia"/>
                <w:sz w:val="22"/>
                <w:szCs w:val="22"/>
              </w:rPr>
              <w:t>8</w:t>
            </w:r>
            <w:r w:rsidRPr="00BF02E4">
              <w:rPr>
                <w:rFonts w:hint="eastAsia"/>
                <w:sz w:val="22"/>
                <w:szCs w:val="22"/>
              </w:rPr>
              <w:t>例（</w:t>
            </w:r>
            <w:r w:rsidRPr="00BF02E4">
              <w:rPr>
                <w:rFonts w:hint="eastAsia"/>
                <w:sz w:val="22"/>
                <w:szCs w:val="22"/>
              </w:rPr>
              <w:t>36.4%</w:t>
            </w:r>
            <w:r w:rsidRPr="00BF02E4">
              <w:rPr>
                <w:rFonts w:hint="eastAsia"/>
                <w:sz w:val="22"/>
                <w:szCs w:val="22"/>
              </w:rPr>
              <w:t>）既往接受过</w:t>
            </w:r>
            <w:r w:rsidRPr="00BF02E4">
              <w:rPr>
                <w:rFonts w:hint="eastAsia"/>
                <w:sz w:val="22"/>
                <w:szCs w:val="22"/>
              </w:rPr>
              <w:t>PD-1</w:t>
            </w:r>
            <w:r w:rsidRPr="00BF02E4">
              <w:rPr>
                <w:rFonts w:hint="eastAsia"/>
                <w:sz w:val="22"/>
                <w:szCs w:val="22"/>
              </w:rPr>
              <w:t>或</w:t>
            </w:r>
            <w:r w:rsidRPr="00BF02E4">
              <w:rPr>
                <w:rFonts w:hint="eastAsia"/>
                <w:sz w:val="22"/>
                <w:szCs w:val="22"/>
              </w:rPr>
              <w:t>PD-L1</w:t>
            </w:r>
            <w:r w:rsidRPr="00BF02E4">
              <w:rPr>
                <w:rFonts w:hint="eastAsia"/>
                <w:sz w:val="22"/>
                <w:szCs w:val="22"/>
              </w:rPr>
              <w:t>抑制剂治疗。数据显示，</w:t>
            </w:r>
            <w:r w:rsidRPr="00BF02E4">
              <w:rPr>
                <w:rFonts w:hint="eastAsia"/>
                <w:sz w:val="22"/>
                <w:szCs w:val="22"/>
              </w:rPr>
              <w:t>ZGGS15</w:t>
            </w:r>
            <w:r w:rsidRPr="00BF02E4">
              <w:rPr>
                <w:rFonts w:hint="eastAsia"/>
                <w:sz w:val="22"/>
                <w:szCs w:val="22"/>
              </w:rPr>
              <w:t>单药呈现出良好的耐受性和安全性以及抗肿瘤疗效。</w:t>
            </w:r>
            <w:r w:rsidRPr="00BF02E4">
              <w:rPr>
                <w:rFonts w:hint="eastAsia"/>
                <w:sz w:val="22"/>
                <w:szCs w:val="22"/>
              </w:rPr>
              <w:t>ZGGS15</w:t>
            </w:r>
            <w:r w:rsidRPr="00BF02E4">
              <w:rPr>
                <w:rFonts w:hint="eastAsia"/>
                <w:sz w:val="22"/>
                <w:szCs w:val="22"/>
              </w:rPr>
              <w:t>有望与其它抗肿瘤疗法（如</w:t>
            </w:r>
            <w:r w:rsidRPr="00BF02E4">
              <w:rPr>
                <w:rFonts w:hint="eastAsia"/>
                <w:sz w:val="22"/>
                <w:szCs w:val="22"/>
              </w:rPr>
              <w:t>PD-1</w:t>
            </w:r>
            <w:r w:rsidRPr="00BF02E4">
              <w:rPr>
                <w:rFonts w:hint="eastAsia"/>
                <w:sz w:val="22"/>
                <w:szCs w:val="22"/>
              </w:rPr>
              <w:t>或</w:t>
            </w:r>
            <w:r w:rsidRPr="00BF02E4">
              <w:rPr>
                <w:rFonts w:hint="eastAsia"/>
                <w:sz w:val="22"/>
                <w:szCs w:val="22"/>
              </w:rPr>
              <w:t>PD-L1</w:t>
            </w:r>
            <w:r w:rsidRPr="00BF02E4">
              <w:rPr>
                <w:rFonts w:hint="eastAsia"/>
                <w:sz w:val="22"/>
                <w:szCs w:val="22"/>
              </w:rPr>
              <w:t>抑制剂等）联合治疗，起到良好的协同增效抗肿瘤作用</w:t>
            </w:r>
            <w:r w:rsidR="00C318F4">
              <w:rPr>
                <w:rFonts w:hint="eastAsia"/>
                <w:sz w:val="22"/>
                <w:szCs w:val="22"/>
              </w:rPr>
              <w:t>，公司</w:t>
            </w:r>
            <w:r w:rsidR="00C318F4" w:rsidRPr="00C318F4">
              <w:rPr>
                <w:rFonts w:hint="eastAsia"/>
                <w:sz w:val="22"/>
                <w:szCs w:val="22"/>
              </w:rPr>
              <w:t>将积极探索其临床应用方案。</w:t>
            </w:r>
          </w:p>
          <w:p w14:paraId="5FF84472" w14:textId="1AF95E5C" w:rsidR="009F3C01" w:rsidRPr="00116F26" w:rsidRDefault="002D1487" w:rsidP="006B777B">
            <w:pPr>
              <w:spacing w:line="360" w:lineRule="auto"/>
              <w:ind w:firstLineChars="200" w:firstLine="442"/>
              <w:rPr>
                <w:sz w:val="22"/>
                <w:szCs w:val="22"/>
              </w:rPr>
            </w:pPr>
            <w:r>
              <w:rPr>
                <w:rFonts w:hint="eastAsia"/>
                <w:b/>
                <w:sz w:val="22"/>
                <w:szCs w:val="22"/>
              </w:rPr>
              <w:t>Q</w:t>
            </w:r>
            <w:r w:rsidR="00C428EB">
              <w:rPr>
                <w:rFonts w:hint="eastAsia"/>
                <w:b/>
                <w:sz w:val="22"/>
                <w:szCs w:val="22"/>
              </w:rPr>
              <w:t>6</w:t>
            </w:r>
            <w:r w:rsidR="007B0DF0">
              <w:rPr>
                <w:rFonts w:hint="eastAsia"/>
                <w:b/>
                <w:sz w:val="22"/>
                <w:szCs w:val="22"/>
              </w:rPr>
              <w:t>、</w:t>
            </w:r>
            <w:r w:rsidR="00C77146">
              <w:rPr>
                <w:rFonts w:hint="eastAsia"/>
                <w:b/>
                <w:sz w:val="22"/>
                <w:szCs w:val="22"/>
              </w:rPr>
              <w:t>请介绍一下公司与默克</w:t>
            </w:r>
            <w:r w:rsidR="0020031B">
              <w:rPr>
                <w:rFonts w:hint="eastAsia"/>
                <w:b/>
                <w:sz w:val="22"/>
                <w:szCs w:val="22"/>
              </w:rPr>
              <w:t>子公司</w:t>
            </w:r>
            <w:r w:rsidR="00C77146">
              <w:rPr>
                <w:rFonts w:hint="eastAsia"/>
                <w:b/>
                <w:sz w:val="22"/>
                <w:szCs w:val="22"/>
              </w:rPr>
              <w:t>关于</w:t>
            </w:r>
            <w:r w:rsidR="00540B31" w:rsidRPr="00540B31">
              <w:rPr>
                <w:rFonts w:hint="eastAsia"/>
                <w:b/>
                <w:sz w:val="22"/>
                <w:szCs w:val="22"/>
              </w:rPr>
              <w:t>重组人促甲状腺激素</w:t>
            </w:r>
            <w:r w:rsidR="00C77146">
              <w:rPr>
                <w:rFonts w:hint="eastAsia"/>
                <w:b/>
                <w:sz w:val="22"/>
                <w:szCs w:val="22"/>
              </w:rPr>
              <w:t>商业化的合作情况</w:t>
            </w:r>
            <w:r w:rsidR="00540B31" w:rsidRPr="00540B31">
              <w:rPr>
                <w:rFonts w:hint="eastAsia"/>
                <w:b/>
                <w:sz w:val="22"/>
                <w:szCs w:val="22"/>
              </w:rPr>
              <w:t>？</w:t>
            </w:r>
          </w:p>
          <w:p w14:paraId="6D9901A0" w14:textId="43423118" w:rsidR="0020031B" w:rsidRDefault="006B777B" w:rsidP="0020031B">
            <w:pPr>
              <w:spacing w:line="360" w:lineRule="auto"/>
              <w:ind w:firstLineChars="200" w:firstLine="440"/>
              <w:rPr>
                <w:sz w:val="22"/>
                <w:szCs w:val="22"/>
              </w:rPr>
            </w:pPr>
            <w:r>
              <w:rPr>
                <w:rFonts w:hint="eastAsia"/>
                <w:sz w:val="22"/>
                <w:szCs w:val="22"/>
              </w:rPr>
              <w:t>近期，公司</w:t>
            </w:r>
            <w:r w:rsidRPr="006B777B">
              <w:rPr>
                <w:rFonts w:hint="eastAsia"/>
                <w:sz w:val="22"/>
                <w:szCs w:val="22"/>
              </w:rPr>
              <w:t>与默克</w:t>
            </w:r>
            <w:r>
              <w:rPr>
                <w:rFonts w:hint="eastAsia"/>
                <w:sz w:val="22"/>
                <w:szCs w:val="22"/>
              </w:rPr>
              <w:t>的瑞士子公司（</w:t>
            </w:r>
            <w:r>
              <w:rPr>
                <w:rFonts w:hint="eastAsia"/>
                <w:sz w:val="22"/>
                <w:szCs w:val="22"/>
              </w:rPr>
              <w:t>A</w:t>
            </w:r>
            <w:r>
              <w:rPr>
                <w:sz w:val="22"/>
                <w:szCs w:val="22"/>
              </w:rPr>
              <w:t>TSA</w:t>
            </w:r>
            <w:r>
              <w:rPr>
                <w:rFonts w:hint="eastAsia"/>
                <w:sz w:val="22"/>
                <w:szCs w:val="22"/>
              </w:rPr>
              <w:t>）</w:t>
            </w:r>
            <w:r w:rsidRPr="006B777B">
              <w:rPr>
                <w:rFonts w:hint="eastAsia"/>
                <w:sz w:val="22"/>
                <w:szCs w:val="22"/>
              </w:rPr>
              <w:t>达成合作协议，</w:t>
            </w:r>
            <w:r>
              <w:rPr>
                <w:rFonts w:hint="eastAsia"/>
                <w:sz w:val="22"/>
                <w:szCs w:val="22"/>
              </w:rPr>
              <w:t>A</w:t>
            </w:r>
            <w:r>
              <w:rPr>
                <w:sz w:val="22"/>
                <w:szCs w:val="22"/>
              </w:rPr>
              <w:t>TSA</w:t>
            </w:r>
            <w:r>
              <w:rPr>
                <w:rFonts w:hint="eastAsia"/>
                <w:sz w:val="22"/>
                <w:szCs w:val="22"/>
              </w:rPr>
              <w:t>成为公司</w:t>
            </w:r>
            <w:bookmarkStart w:id="3" w:name="OLE_LINK1"/>
            <w:r w:rsidRPr="006B777B">
              <w:rPr>
                <w:rFonts w:hint="eastAsia"/>
                <w:sz w:val="22"/>
                <w:szCs w:val="22"/>
              </w:rPr>
              <w:t>注射用重组人促甲状腺激素</w:t>
            </w:r>
            <w:bookmarkEnd w:id="3"/>
            <w:r w:rsidRPr="006B777B">
              <w:rPr>
                <w:rFonts w:hint="eastAsia"/>
                <w:sz w:val="22"/>
                <w:szCs w:val="22"/>
              </w:rPr>
              <w:t>（</w:t>
            </w:r>
            <w:proofErr w:type="spellStart"/>
            <w:r w:rsidRPr="006B777B">
              <w:rPr>
                <w:rFonts w:hint="eastAsia"/>
                <w:sz w:val="22"/>
                <w:szCs w:val="22"/>
              </w:rPr>
              <w:t>rhTSH</w:t>
            </w:r>
            <w:proofErr w:type="spellEnd"/>
            <w:r w:rsidRPr="006B777B">
              <w:rPr>
                <w:rFonts w:hint="eastAsia"/>
                <w:sz w:val="22"/>
                <w:szCs w:val="22"/>
              </w:rPr>
              <w:t>）在</w:t>
            </w:r>
            <w:r>
              <w:rPr>
                <w:rFonts w:hint="eastAsia"/>
                <w:sz w:val="22"/>
                <w:szCs w:val="22"/>
              </w:rPr>
              <w:t>中国大陆地区</w:t>
            </w:r>
            <w:r w:rsidRPr="006B777B">
              <w:rPr>
                <w:rFonts w:hint="eastAsia"/>
                <w:sz w:val="22"/>
                <w:szCs w:val="22"/>
              </w:rPr>
              <w:t>的独家市场推广服务商。</w:t>
            </w:r>
            <w:r w:rsidR="00512511" w:rsidRPr="006B777B">
              <w:rPr>
                <w:rFonts w:hint="eastAsia"/>
                <w:sz w:val="22"/>
                <w:szCs w:val="22"/>
              </w:rPr>
              <w:t>默克已</w:t>
            </w:r>
            <w:r w:rsidR="00512511">
              <w:rPr>
                <w:rFonts w:hint="eastAsia"/>
                <w:sz w:val="22"/>
                <w:szCs w:val="22"/>
              </w:rPr>
              <w:t>在国内</w:t>
            </w:r>
            <w:r w:rsidR="00512511" w:rsidRPr="006B777B">
              <w:rPr>
                <w:rFonts w:hint="eastAsia"/>
                <w:sz w:val="22"/>
                <w:szCs w:val="22"/>
              </w:rPr>
              <w:t>深耕甲状腺疾病领域近</w:t>
            </w:r>
            <w:r w:rsidR="00512511" w:rsidRPr="006B777B">
              <w:rPr>
                <w:rFonts w:hint="eastAsia"/>
                <w:sz w:val="22"/>
                <w:szCs w:val="22"/>
              </w:rPr>
              <w:t>30</w:t>
            </w:r>
            <w:r w:rsidR="00512511" w:rsidRPr="006B777B">
              <w:rPr>
                <w:rFonts w:hint="eastAsia"/>
                <w:sz w:val="22"/>
                <w:szCs w:val="22"/>
              </w:rPr>
              <w:t>年，</w:t>
            </w:r>
            <w:r w:rsidR="00512511">
              <w:rPr>
                <w:rFonts w:hint="eastAsia"/>
                <w:sz w:val="22"/>
                <w:szCs w:val="22"/>
              </w:rPr>
              <w:t>其</w:t>
            </w:r>
            <w:r w:rsidR="00512511" w:rsidRPr="006B777B">
              <w:rPr>
                <w:rFonts w:hint="eastAsia"/>
                <w:sz w:val="22"/>
                <w:szCs w:val="22"/>
              </w:rPr>
              <w:t>两款甲状腺药物均属于指南推荐的首选药物类别，惠及了庞大的甲状腺疾病患者群体。</w:t>
            </w:r>
          </w:p>
          <w:p w14:paraId="5266BEC0" w14:textId="5D623045" w:rsidR="006B777B" w:rsidRDefault="0020031B" w:rsidP="007C436B">
            <w:pPr>
              <w:spacing w:line="360" w:lineRule="auto"/>
              <w:ind w:firstLineChars="200" w:firstLine="440"/>
              <w:rPr>
                <w:sz w:val="22"/>
                <w:szCs w:val="22"/>
              </w:rPr>
            </w:pPr>
            <w:r w:rsidRPr="0020031B">
              <w:rPr>
                <w:rFonts w:hint="eastAsia"/>
                <w:sz w:val="22"/>
                <w:szCs w:val="22"/>
              </w:rPr>
              <w:t>国家药品监督管理局（</w:t>
            </w:r>
            <w:r w:rsidRPr="0020031B">
              <w:rPr>
                <w:rFonts w:hint="eastAsia"/>
                <w:sz w:val="22"/>
                <w:szCs w:val="22"/>
              </w:rPr>
              <w:t>NMPA</w:t>
            </w:r>
            <w:r w:rsidRPr="0020031B">
              <w:rPr>
                <w:rFonts w:hint="eastAsia"/>
                <w:sz w:val="22"/>
                <w:szCs w:val="22"/>
              </w:rPr>
              <w:t>）</w:t>
            </w:r>
            <w:r>
              <w:rPr>
                <w:rFonts w:hint="eastAsia"/>
                <w:sz w:val="22"/>
                <w:szCs w:val="22"/>
              </w:rPr>
              <w:t>于</w:t>
            </w:r>
            <w:r w:rsidRPr="0020031B">
              <w:rPr>
                <w:rFonts w:hint="eastAsia"/>
                <w:sz w:val="22"/>
                <w:szCs w:val="22"/>
              </w:rPr>
              <w:t>2024</w:t>
            </w:r>
            <w:r w:rsidRPr="0020031B">
              <w:rPr>
                <w:rFonts w:hint="eastAsia"/>
                <w:sz w:val="22"/>
                <w:szCs w:val="22"/>
              </w:rPr>
              <w:t>年</w:t>
            </w:r>
            <w:r w:rsidRPr="0020031B">
              <w:rPr>
                <w:rFonts w:hint="eastAsia"/>
                <w:sz w:val="22"/>
                <w:szCs w:val="22"/>
              </w:rPr>
              <w:t>6</w:t>
            </w:r>
            <w:r w:rsidRPr="0020031B">
              <w:rPr>
                <w:rFonts w:hint="eastAsia"/>
                <w:sz w:val="22"/>
                <w:szCs w:val="22"/>
              </w:rPr>
              <w:t>月正式受理注射用重组人促甲状腺激素生物制品上市许可申请（</w:t>
            </w:r>
            <w:r w:rsidRPr="0020031B">
              <w:rPr>
                <w:rFonts w:hint="eastAsia"/>
                <w:sz w:val="22"/>
                <w:szCs w:val="22"/>
              </w:rPr>
              <w:t>BLA</w:t>
            </w:r>
            <w:r w:rsidRPr="0020031B">
              <w:rPr>
                <w:rFonts w:hint="eastAsia"/>
                <w:sz w:val="22"/>
                <w:szCs w:val="22"/>
              </w:rPr>
              <w:t>），目前处于药品上市申请审评流程中。</w:t>
            </w:r>
            <w:r w:rsidRPr="006B777B">
              <w:rPr>
                <w:rFonts w:hint="eastAsia"/>
                <w:sz w:val="22"/>
                <w:szCs w:val="22"/>
              </w:rPr>
              <w:t>甲状腺癌为中国</w:t>
            </w:r>
            <w:proofErr w:type="gramStart"/>
            <w:r w:rsidRPr="006B777B">
              <w:rPr>
                <w:rFonts w:hint="eastAsia"/>
                <w:sz w:val="22"/>
                <w:szCs w:val="22"/>
              </w:rPr>
              <w:t>最高发</w:t>
            </w:r>
            <w:proofErr w:type="gramEnd"/>
            <w:r w:rsidRPr="006B777B">
              <w:rPr>
                <w:rFonts w:hint="eastAsia"/>
                <w:sz w:val="22"/>
                <w:szCs w:val="22"/>
              </w:rPr>
              <w:t>的恶性肿瘤之一，注射用重组人促甲状腺激素</w:t>
            </w:r>
            <w:r w:rsidR="00512511">
              <w:rPr>
                <w:rFonts w:hint="eastAsia"/>
                <w:sz w:val="22"/>
                <w:szCs w:val="22"/>
              </w:rPr>
              <w:t>一旦</w:t>
            </w:r>
            <w:r>
              <w:rPr>
                <w:rFonts w:hint="eastAsia"/>
                <w:sz w:val="22"/>
                <w:szCs w:val="22"/>
              </w:rPr>
              <w:t>获批</w:t>
            </w:r>
            <w:r w:rsidRPr="006B777B">
              <w:rPr>
                <w:rFonts w:hint="eastAsia"/>
                <w:sz w:val="22"/>
                <w:szCs w:val="22"/>
              </w:rPr>
              <w:t>上市</w:t>
            </w:r>
            <w:r w:rsidR="00512511">
              <w:rPr>
                <w:rFonts w:hint="eastAsia"/>
                <w:sz w:val="22"/>
                <w:szCs w:val="22"/>
              </w:rPr>
              <w:t>，</w:t>
            </w:r>
            <w:r w:rsidRPr="006B777B">
              <w:rPr>
                <w:rFonts w:hint="eastAsia"/>
                <w:sz w:val="22"/>
                <w:szCs w:val="22"/>
              </w:rPr>
              <w:t>将</w:t>
            </w:r>
            <w:r>
              <w:rPr>
                <w:rFonts w:hint="eastAsia"/>
                <w:sz w:val="22"/>
                <w:szCs w:val="22"/>
              </w:rPr>
              <w:t>有望</w:t>
            </w:r>
            <w:r w:rsidRPr="006B777B">
              <w:rPr>
                <w:rFonts w:hint="eastAsia"/>
                <w:sz w:val="22"/>
                <w:szCs w:val="22"/>
              </w:rPr>
              <w:t>为甲状腺癌患者带来有效的术后管理方案，填补国内临床用药空白。</w:t>
            </w:r>
          </w:p>
          <w:p w14:paraId="786285C7" w14:textId="7A8E2563" w:rsidR="007173A3" w:rsidRPr="0020031B" w:rsidRDefault="006B777B" w:rsidP="0020031B">
            <w:pPr>
              <w:spacing w:line="360" w:lineRule="auto"/>
              <w:ind w:firstLineChars="200" w:firstLine="440"/>
              <w:rPr>
                <w:sz w:val="22"/>
                <w:szCs w:val="22"/>
              </w:rPr>
            </w:pPr>
            <w:r w:rsidRPr="006B777B">
              <w:rPr>
                <w:rFonts w:hint="eastAsia"/>
                <w:sz w:val="22"/>
                <w:szCs w:val="22"/>
              </w:rPr>
              <w:t>此次合作</w:t>
            </w:r>
            <w:r>
              <w:rPr>
                <w:rFonts w:hint="eastAsia"/>
                <w:sz w:val="22"/>
                <w:szCs w:val="22"/>
              </w:rPr>
              <w:t>将使</w:t>
            </w:r>
            <w:r w:rsidRPr="006B777B">
              <w:rPr>
                <w:rFonts w:hint="eastAsia"/>
                <w:sz w:val="22"/>
                <w:szCs w:val="22"/>
              </w:rPr>
              <w:t>双方</w:t>
            </w:r>
            <w:r>
              <w:rPr>
                <w:rFonts w:hint="eastAsia"/>
                <w:sz w:val="22"/>
                <w:szCs w:val="22"/>
              </w:rPr>
              <w:t>能够</w:t>
            </w:r>
            <w:r w:rsidRPr="006B777B">
              <w:rPr>
                <w:rFonts w:hint="eastAsia"/>
                <w:sz w:val="22"/>
                <w:szCs w:val="22"/>
              </w:rPr>
              <w:t>整合默克全球化商业网络与泽璟制药的研发实力，加速填补国内甲状腺癌术后精准管理药物空白</w:t>
            </w:r>
            <w:r>
              <w:rPr>
                <w:rFonts w:hint="eastAsia"/>
                <w:sz w:val="22"/>
                <w:szCs w:val="22"/>
              </w:rPr>
              <w:t>，</w:t>
            </w:r>
            <w:r w:rsidRPr="006B777B">
              <w:rPr>
                <w:rFonts w:hint="eastAsia"/>
                <w:sz w:val="22"/>
                <w:szCs w:val="22"/>
              </w:rPr>
              <w:t>加速重组人促甲状腺激素</w:t>
            </w:r>
            <w:r w:rsidR="0020031B">
              <w:rPr>
                <w:rFonts w:hint="eastAsia"/>
                <w:sz w:val="22"/>
                <w:szCs w:val="22"/>
              </w:rPr>
              <w:t>后续获批上市后</w:t>
            </w:r>
            <w:r w:rsidRPr="006B777B">
              <w:rPr>
                <w:rFonts w:hint="eastAsia"/>
                <w:sz w:val="22"/>
                <w:szCs w:val="22"/>
              </w:rPr>
              <w:t>的商业化进程，惠及广大患者</w:t>
            </w:r>
            <w:r w:rsidR="000F100F">
              <w:rPr>
                <w:rFonts w:hint="eastAsia"/>
                <w:sz w:val="22"/>
                <w:szCs w:val="22"/>
              </w:rPr>
              <w:t>，</w:t>
            </w:r>
            <w:r w:rsidRPr="006B777B">
              <w:rPr>
                <w:rFonts w:hint="eastAsia"/>
                <w:sz w:val="22"/>
                <w:szCs w:val="22"/>
              </w:rPr>
              <w:t>满足临床需求。</w:t>
            </w:r>
          </w:p>
          <w:p w14:paraId="76B32E48" w14:textId="77777777" w:rsidR="00C62CC9" w:rsidRDefault="00C62CC9" w:rsidP="00C62CC9">
            <w:pPr>
              <w:spacing w:line="360" w:lineRule="auto"/>
              <w:ind w:firstLineChars="200" w:firstLine="442"/>
              <w:rPr>
                <w:b/>
                <w:sz w:val="22"/>
                <w:szCs w:val="22"/>
              </w:rPr>
            </w:pPr>
            <w:r>
              <w:rPr>
                <w:rFonts w:hint="eastAsia"/>
                <w:b/>
                <w:sz w:val="22"/>
                <w:szCs w:val="22"/>
              </w:rPr>
              <w:t>Q</w:t>
            </w:r>
            <w:r>
              <w:rPr>
                <w:b/>
                <w:sz w:val="22"/>
                <w:szCs w:val="22"/>
              </w:rPr>
              <w:t>7</w:t>
            </w:r>
            <w:r>
              <w:rPr>
                <w:rFonts w:hint="eastAsia"/>
                <w:b/>
                <w:sz w:val="22"/>
                <w:szCs w:val="22"/>
              </w:rPr>
              <w:t>、公司</w:t>
            </w:r>
            <w:r w:rsidRPr="00C62CC9">
              <w:rPr>
                <w:rFonts w:hint="eastAsia"/>
                <w:b/>
                <w:sz w:val="22"/>
                <w:szCs w:val="22"/>
              </w:rPr>
              <w:t>盐酸</w:t>
            </w:r>
            <w:proofErr w:type="gramStart"/>
            <w:r w:rsidRPr="00C62CC9">
              <w:rPr>
                <w:rFonts w:hint="eastAsia"/>
                <w:b/>
                <w:sz w:val="22"/>
                <w:szCs w:val="22"/>
              </w:rPr>
              <w:t>吉卡昔替尼片</w:t>
            </w:r>
            <w:proofErr w:type="gramEnd"/>
            <w:r w:rsidRPr="00C62CC9">
              <w:rPr>
                <w:rFonts w:hint="eastAsia"/>
                <w:b/>
                <w:sz w:val="22"/>
                <w:szCs w:val="22"/>
              </w:rPr>
              <w:t>治疗重度斑秃的上市申请</w:t>
            </w:r>
            <w:r>
              <w:rPr>
                <w:rFonts w:hint="eastAsia"/>
                <w:b/>
                <w:sz w:val="22"/>
                <w:szCs w:val="22"/>
              </w:rPr>
              <w:t>进展？</w:t>
            </w:r>
          </w:p>
          <w:p w14:paraId="53037E42" w14:textId="77777777" w:rsidR="00C62CC9" w:rsidRPr="008A7C2F" w:rsidRDefault="00746DD3" w:rsidP="00746DD3">
            <w:pPr>
              <w:spacing w:line="360" w:lineRule="auto"/>
              <w:ind w:firstLineChars="200" w:firstLine="440"/>
              <w:rPr>
                <w:sz w:val="22"/>
                <w:szCs w:val="22"/>
              </w:rPr>
            </w:pPr>
            <w:r>
              <w:rPr>
                <w:rFonts w:hint="eastAsia"/>
                <w:sz w:val="22"/>
                <w:szCs w:val="22"/>
              </w:rPr>
              <w:t>公司于</w:t>
            </w:r>
            <w:r w:rsidRPr="00746DD3">
              <w:rPr>
                <w:rFonts w:hint="eastAsia"/>
                <w:sz w:val="22"/>
                <w:szCs w:val="22"/>
              </w:rPr>
              <w:t>5</w:t>
            </w:r>
            <w:r w:rsidRPr="00746DD3">
              <w:rPr>
                <w:rFonts w:hint="eastAsia"/>
                <w:sz w:val="22"/>
                <w:szCs w:val="22"/>
              </w:rPr>
              <w:t>月</w:t>
            </w:r>
            <w:r w:rsidRPr="00746DD3">
              <w:rPr>
                <w:rFonts w:hint="eastAsia"/>
                <w:sz w:val="22"/>
                <w:szCs w:val="22"/>
              </w:rPr>
              <w:t>12</w:t>
            </w:r>
            <w:r w:rsidRPr="00746DD3">
              <w:rPr>
                <w:rFonts w:hint="eastAsia"/>
                <w:sz w:val="22"/>
                <w:szCs w:val="22"/>
              </w:rPr>
              <w:t>日</w:t>
            </w:r>
            <w:r>
              <w:rPr>
                <w:rFonts w:hint="eastAsia"/>
                <w:sz w:val="22"/>
                <w:szCs w:val="22"/>
              </w:rPr>
              <w:t>收到国家药</w:t>
            </w:r>
            <w:r w:rsidRPr="00746DD3">
              <w:rPr>
                <w:rFonts w:hint="eastAsia"/>
                <w:sz w:val="22"/>
                <w:szCs w:val="22"/>
              </w:rPr>
              <w:t>监</w:t>
            </w:r>
            <w:r>
              <w:rPr>
                <w:rFonts w:hint="eastAsia"/>
                <w:sz w:val="22"/>
                <w:szCs w:val="22"/>
              </w:rPr>
              <w:t>局核准签发的《受理通知书》，</w:t>
            </w:r>
            <w:r w:rsidRPr="00746DD3">
              <w:rPr>
                <w:rFonts w:hint="eastAsia"/>
                <w:sz w:val="22"/>
                <w:szCs w:val="22"/>
              </w:rPr>
              <w:t>盐酸</w:t>
            </w:r>
            <w:proofErr w:type="gramStart"/>
            <w:r w:rsidRPr="00746DD3">
              <w:rPr>
                <w:rFonts w:hint="eastAsia"/>
                <w:sz w:val="22"/>
                <w:szCs w:val="22"/>
              </w:rPr>
              <w:t>吉卡昔替尼片</w:t>
            </w:r>
            <w:proofErr w:type="gramEnd"/>
            <w:r w:rsidRPr="00746DD3">
              <w:rPr>
                <w:rFonts w:hint="eastAsia"/>
                <w:sz w:val="22"/>
                <w:szCs w:val="22"/>
              </w:rPr>
              <w:t>治疗重度斑秃的新药上市申请（</w:t>
            </w:r>
            <w:r w:rsidRPr="00746DD3">
              <w:rPr>
                <w:rFonts w:hint="eastAsia"/>
                <w:sz w:val="22"/>
                <w:szCs w:val="22"/>
              </w:rPr>
              <w:t>NDA</w:t>
            </w:r>
            <w:r w:rsidRPr="00746DD3">
              <w:rPr>
                <w:rFonts w:hint="eastAsia"/>
                <w:sz w:val="22"/>
                <w:szCs w:val="22"/>
              </w:rPr>
              <w:t>）获得受理，这是盐酸</w:t>
            </w:r>
            <w:proofErr w:type="gramStart"/>
            <w:r w:rsidRPr="00746DD3">
              <w:rPr>
                <w:rFonts w:hint="eastAsia"/>
                <w:sz w:val="22"/>
                <w:szCs w:val="22"/>
              </w:rPr>
              <w:t>吉卡昔替尼片</w:t>
            </w:r>
            <w:proofErr w:type="gramEnd"/>
            <w:r w:rsidRPr="00746DD3">
              <w:rPr>
                <w:rFonts w:hint="eastAsia"/>
                <w:sz w:val="22"/>
                <w:szCs w:val="22"/>
              </w:rPr>
              <w:t>第二个申请新药上市的适应症。在我国，目前尚无国产</w:t>
            </w:r>
            <w:r w:rsidRPr="00746DD3">
              <w:rPr>
                <w:rFonts w:hint="eastAsia"/>
                <w:sz w:val="22"/>
                <w:szCs w:val="22"/>
              </w:rPr>
              <w:t>JAK</w:t>
            </w:r>
            <w:r w:rsidRPr="00746DD3">
              <w:rPr>
                <w:rFonts w:hint="eastAsia"/>
                <w:sz w:val="22"/>
                <w:szCs w:val="22"/>
              </w:rPr>
              <w:t>抑制剂类</w:t>
            </w:r>
            <w:proofErr w:type="gramStart"/>
            <w:r w:rsidRPr="00746DD3">
              <w:rPr>
                <w:rFonts w:hint="eastAsia"/>
                <w:sz w:val="22"/>
                <w:szCs w:val="22"/>
              </w:rPr>
              <w:t>药物获批用于</w:t>
            </w:r>
            <w:proofErr w:type="gramEnd"/>
            <w:r w:rsidRPr="00746DD3">
              <w:rPr>
                <w:rFonts w:hint="eastAsia"/>
                <w:sz w:val="22"/>
                <w:szCs w:val="22"/>
              </w:rPr>
              <w:t>治疗重度斑秃。</w:t>
            </w:r>
            <w:r>
              <w:rPr>
                <w:rFonts w:hint="eastAsia"/>
                <w:sz w:val="22"/>
                <w:szCs w:val="22"/>
              </w:rPr>
              <w:t>公司将与国家药</w:t>
            </w:r>
            <w:r w:rsidRPr="00746DD3">
              <w:rPr>
                <w:rFonts w:hint="eastAsia"/>
                <w:sz w:val="22"/>
                <w:szCs w:val="22"/>
              </w:rPr>
              <w:t>监</w:t>
            </w:r>
            <w:r>
              <w:rPr>
                <w:rFonts w:hint="eastAsia"/>
                <w:sz w:val="22"/>
                <w:szCs w:val="22"/>
              </w:rPr>
              <w:t>局保持</w:t>
            </w:r>
            <w:r w:rsidR="0027233F">
              <w:rPr>
                <w:rFonts w:hint="eastAsia"/>
                <w:sz w:val="22"/>
                <w:szCs w:val="22"/>
              </w:rPr>
              <w:t>积极</w:t>
            </w:r>
            <w:r>
              <w:rPr>
                <w:rFonts w:hint="eastAsia"/>
                <w:sz w:val="22"/>
                <w:szCs w:val="22"/>
              </w:rPr>
              <w:t>沟通，争取该适应症的早日获批。</w:t>
            </w:r>
          </w:p>
        </w:tc>
      </w:tr>
      <w:tr w:rsidR="00F907FE" w:rsidRPr="00116F26" w14:paraId="7209DFAD" w14:textId="77777777" w:rsidTr="00A26AF9">
        <w:trPr>
          <w:trHeight w:val="716"/>
          <w:jc w:val="center"/>
        </w:trPr>
        <w:tc>
          <w:tcPr>
            <w:tcW w:w="1493" w:type="dxa"/>
          </w:tcPr>
          <w:p w14:paraId="1A4B8C0B" w14:textId="77777777" w:rsidR="00F907FE" w:rsidRPr="00116F26" w:rsidRDefault="001E6FA0" w:rsidP="00E16886">
            <w:pPr>
              <w:adjustRightInd w:val="0"/>
              <w:contextualSpacing/>
              <w:rPr>
                <w:sz w:val="24"/>
              </w:rPr>
            </w:pPr>
            <w:r w:rsidRPr="00116F26">
              <w:rPr>
                <w:sz w:val="24"/>
              </w:rPr>
              <w:lastRenderedPageBreak/>
              <w:t>附件清单（如有）</w:t>
            </w:r>
          </w:p>
        </w:tc>
        <w:tc>
          <w:tcPr>
            <w:tcW w:w="7149" w:type="dxa"/>
          </w:tcPr>
          <w:p w14:paraId="5F48419C" w14:textId="77777777" w:rsidR="00F907FE" w:rsidRPr="00116F26" w:rsidRDefault="001E6FA0" w:rsidP="00E02CDA">
            <w:pPr>
              <w:adjustRightInd w:val="0"/>
              <w:spacing w:line="360" w:lineRule="auto"/>
              <w:contextualSpacing/>
              <w:rPr>
                <w:sz w:val="24"/>
              </w:rPr>
            </w:pPr>
            <w:r w:rsidRPr="00DC4D92">
              <w:rPr>
                <w:sz w:val="22"/>
              </w:rPr>
              <w:t>无</w:t>
            </w:r>
          </w:p>
        </w:tc>
      </w:tr>
      <w:tr w:rsidR="00F907FE" w:rsidRPr="00116F26" w14:paraId="6D36CF34" w14:textId="77777777" w:rsidTr="00A26AF9">
        <w:trPr>
          <w:trHeight w:val="794"/>
          <w:jc w:val="center"/>
        </w:trPr>
        <w:tc>
          <w:tcPr>
            <w:tcW w:w="1493" w:type="dxa"/>
          </w:tcPr>
          <w:p w14:paraId="7FD6E029" w14:textId="77777777" w:rsidR="00F907FE" w:rsidRPr="00116F26" w:rsidRDefault="001E6FA0" w:rsidP="00E02CDA">
            <w:pPr>
              <w:adjustRightInd w:val="0"/>
              <w:spacing w:line="360" w:lineRule="auto"/>
              <w:contextualSpacing/>
              <w:rPr>
                <w:sz w:val="24"/>
              </w:rPr>
            </w:pPr>
            <w:r w:rsidRPr="00116F26">
              <w:rPr>
                <w:sz w:val="24"/>
              </w:rPr>
              <w:t>日期</w:t>
            </w:r>
          </w:p>
        </w:tc>
        <w:tc>
          <w:tcPr>
            <w:tcW w:w="7149" w:type="dxa"/>
          </w:tcPr>
          <w:p w14:paraId="71628FE2" w14:textId="4B9BE3D1" w:rsidR="00F907FE" w:rsidRPr="00116F26" w:rsidRDefault="0023795A" w:rsidP="00A26AF9">
            <w:pPr>
              <w:spacing w:line="360" w:lineRule="auto"/>
              <w:rPr>
                <w:sz w:val="24"/>
                <w:highlight w:val="yellow"/>
              </w:rPr>
            </w:pPr>
            <w:r w:rsidRPr="00116F26">
              <w:rPr>
                <w:sz w:val="22"/>
                <w:szCs w:val="22"/>
              </w:rPr>
              <w:t>202</w:t>
            </w:r>
            <w:r>
              <w:rPr>
                <w:sz w:val="22"/>
                <w:szCs w:val="22"/>
              </w:rPr>
              <w:t>5</w:t>
            </w:r>
            <w:r w:rsidRPr="00116F26">
              <w:rPr>
                <w:sz w:val="22"/>
                <w:szCs w:val="22"/>
              </w:rPr>
              <w:t>年</w:t>
            </w:r>
            <w:r>
              <w:rPr>
                <w:sz w:val="22"/>
                <w:szCs w:val="22"/>
              </w:rPr>
              <w:t>6</w:t>
            </w:r>
            <w:r>
              <w:rPr>
                <w:rFonts w:hint="eastAsia"/>
                <w:sz w:val="22"/>
                <w:szCs w:val="22"/>
              </w:rPr>
              <w:t>月</w:t>
            </w:r>
            <w:r>
              <w:rPr>
                <w:rFonts w:hint="eastAsia"/>
                <w:sz w:val="22"/>
                <w:szCs w:val="22"/>
              </w:rPr>
              <w:t>18</w:t>
            </w:r>
            <w:r>
              <w:rPr>
                <w:rFonts w:hint="eastAsia"/>
                <w:sz w:val="22"/>
                <w:szCs w:val="22"/>
              </w:rPr>
              <w:t>日、</w:t>
            </w:r>
            <w:r>
              <w:rPr>
                <w:sz w:val="22"/>
                <w:szCs w:val="22"/>
              </w:rPr>
              <w:t>6</w:t>
            </w:r>
            <w:r w:rsidRPr="00EA5250">
              <w:rPr>
                <w:rFonts w:hint="eastAsia"/>
                <w:sz w:val="22"/>
                <w:szCs w:val="22"/>
              </w:rPr>
              <w:t>月</w:t>
            </w:r>
            <w:r>
              <w:rPr>
                <w:rFonts w:hint="eastAsia"/>
                <w:sz w:val="22"/>
                <w:szCs w:val="22"/>
              </w:rPr>
              <w:t>19</w:t>
            </w:r>
            <w:r w:rsidRPr="00EA5250">
              <w:rPr>
                <w:rFonts w:hint="eastAsia"/>
                <w:sz w:val="22"/>
                <w:szCs w:val="22"/>
              </w:rPr>
              <w:t>日、</w:t>
            </w:r>
            <w:r>
              <w:rPr>
                <w:sz w:val="22"/>
                <w:szCs w:val="22"/>
              </w:rPr>
              <w:t>6</w:t>
            </w:r>
            <w:r w:rsidRPr="00EA5250">
              <w:rPr>
                <w:rFonts w:hint="eastAsia"/>
                <w:sz w:val="22"/>
                <w:szCs w:val="22"/>
              </w:rPr>
              <w:t>月</w:t>
            </w:r>
            <w:r>
              <w:rPr>
                <w:rFonts w:hint="eastAsia"/>
                <w:sz w:val="22"/>
                <w:szCs w:val="22"/>
              </w:rPr>
              <w:t>20</w:t>
            </w:r>
            <w:r w:rsidRPr="00EA5250">
              <w:rPr>
                <w:rFonts w:hint="eastAsia"/>
                <w:sz w:val="22"/>
                <w:szCs w:val="22"/>
              </w:rPr>
              <w:t>日</w:t>
            </w:r>
            <w:r>
              <w:rPr>
                <w:rFonts w:hint="eastAsia"/>
                <w:sz w:val="22"/>
                <w:szCs w:val="22"/>
              </w:rPr>
              <w:t>、</w:t>
            </w:r>
            <w:r w:rsidRPr="00A26AF9">
              <w:rPr>
                <w:rFonts w:hint="eastAsia"/>
                <w:sz w:val="22"/>
                <w:szCs w:val="22"/>
              </w:rPr>
              <w:t>6</w:t>
            </w:r>
            <w:r w:rsidRPr="00A26AF9">
              <w:rPr>
                <w:rFonts w:hint="eastAsia"/>
                <w:sz w:val="22"/>
                <w:szCs w:val="22"/>
              </w:rPr>
              <w:t>月</w:t>
            </w:r>
            <w:r w:rsidRPr="00A26AF9">
              <w:rPr>
                <w:rFonts w:hint="eastAsia"/>
                <w:sz w:val="22"/>
                <w:szCs w:val="22"/>
              </w:rPr>
              <w:t>23</w:t>
            </w:r>
            <w:r w:rsidRPr="00A26AF9">
              <w:rPr>
                <w:rFonts w:hint="eastAsia"/>
                <w:sz w:val="22"/>
                <w:szCs w:val="22"/>
              </w:rPr>
              <w:t>日、</w:t>
            </w:r>
            <w:r w:rsidRPr="00A26AF9">
              <w:rPr>
                <w:rFonts w:hint="eastAsia"/>
                <w:sz w:val="22"/>
                <w:szCs w:val="22"/>
              </w:rPr>
              <w:t>6</w:t>
            </w:r>
            <w:r w:rsidRPr="00A26AF9">
              <w:rPr>
                <w:rFonts w:hint="eastAsia"/>
                <w:sz w:val="22"/>
                <w:szCs w:val="22"/>
              </w:rPr>
              <w:t>月</w:t>
            </w:r>
            <w:r w:rsidRPr="00A26AF9">
              <w:rPr>
                <w:rFonts w:hint="eastAsia"/>
                <w:sz w:val="22"/>
                <w:szCs w:val="22"/>
              </w:rPr>
              <w:t>24</w:t>
            </w:r>
            <w:r w:rsidRPr="00A26AF9">
              <w:rPr>
                <w:rFonts w:hint="eastAsia"/>
                <w:sz w:val="22"/>
                <w:szCs w:val="22"/>
              </w:rPr>
              <w:t>日、</w:t>
            </w:r>
            <w:r w:rsidRPr="00A26AF9">
              <w:rPr>
                <w:rFonts w:hint="eastAsia"/>
                <w:sz w:val="22"/>
                <w:szCs w:val="22"/>
              </w:rPr>
              <w:t>6</w:t>
            </w:r>
            <w:r w:rsidRPr="00A26AF9">
              <w:rPr>
                <w:rFonts w:hint="eastAsia"/>
                <w:sz w:val="22"/>
                <w:szCs w:val="22"/>
              </w:rPr>
              <w:t>月</w:t>
            </w:r>
            <w:r w:rsidRPr="00A26AF9">
              <w:rPr>
                <w:rFonts w:hint="eastAsia"/>
                <w:sz w:val="22"/>
                <w:szCs w:val="22"/>
              </w:rPr>
              <w:t>25</w:t>
            </w:r>
            <w:r w:rsidRPr="00A26AF9">
              <w:rPr>
                <w:rFonts w:hint="eastAsia"/>
                <w:sz w:val="22"/>
                <w:szCs w:val="22"/>
              </w:rPr>
              <w:t>日</w:t>
            </w:r>
          </w:p>
        </w:tc>
      </w:tr>
    </w:tbl>
    <w:p w14:paraId="6AB7F2B4" w14:textId="77777777" w:rsidR="001E6FA0" w:rsidRPr="00116F26" w:rsidRDefault="001E6FA0" w:rsidP="004E2BD9">
      <w:pPr>
        <w:adjustRightInd w:val="0"/>
        <w:spacing w:line="360" w:lineRule="auto"/>
        <w:contextualSpacing/>
        <w:jc w:val="left"/>
        <w:rPr>
          <w:sz w:val="24"/>
        </w:rPr>
      </w:pPr>
    </w:p>
    <w:sectPr w:rsidR="001E6FA0" w:rsidRPr="00116F26" w:rsidSect="00A22FBF">
      <w:footerReference w:type="default" r:id="rId8"/>
      <w:pgSz w:w="11906" w:h="16838"/>
      <w:pgMar w:top="1440" w:right="1558" w:bottom="1440" w:left="1800" w:header="851" w:footer="992" w:gutter="0"/>
      <w:pgNumType w:start="1"/>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196B7F" w16cex:dateUtc="2025-06-22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3FE094" w16cid:durableId="65196B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35300" w14:textId="77777777" w:rsidR="004D3446" w:rsidRDefault="004D3446" w:rsidP="00E75E92">
      <w:r>
        <w:separator/>
      </w:r>
    </w:p>
  </w:endnote>
  <w:endnote w:type="continuationSeparator" w:id="0">
    <w:p w14:paraId="4BB6534A" w14:textId="77777777" w:rsidR="004D3446" w:rsidRDefault="004D3446" w:rsidP="00E7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E35CD" w14:textId="77777777" w:rsidR="001007F1" w:rsidRPr="006F616C" w:rsidRDefault="001007F1" w:rsidP="00E75E92">
    <w:pPr>
      <w:pStyle w:val="a4"/>
      <w:jc w:val="center"/>
      <w:rPr>
        <w:sz w:val="21"/>
        <w:szCs w:val="21"/>
      </w:rPr>
    </w:pPr>
    <w:r w:rsidRPr="006F616C">
      <w:rPr>
        <w:sz w:val="21"/>
        <w:szCs w:val="21"/>
      </w:rPr>
      <w:fldChar w:fldCharType="begin"/>
    </w:r>
    <w:r w:rsidRPr="006F616C">
      <w:rPr>
        <w:sz w:val="21"/>
        <w:szCs w:val="21"/>
      </w:rPr>
      <w:instrText xml:space="preserve"> PAGE   \* MERGEFORMAT </w:instrText>
    </w:r>
    <w:r w:rsidRPr="006F616C">
      <w:rPr>
        <w:sz w:val="21"/>
        <w:szCs w:val="21"/>
      </w:rPr>
      <w:fldChar w:fldCharType="separate"/>
    </w:r>
    <w:r w:rsidR="00AE19A3" w:rsidRPr="00AE19A3">
      <w:rPr>
        <w:noProof/>
        <w:sz w:val="21"/>
        <w:szCs w:val="21"/>
        <w:lang w:val="zh-CN"/>
      </w:rPr>
      <w:t>4</w:t>
    </w:r>
    <w:r w:rsidRPr="006F616C">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E4E2C" w14:textId="77777777" w:rsidR="004D3446" w:rsidRDefault="004D3446" w:rsidP="00E75E92">
      <w:r>
        <w:separator/>
      </w:r>
    </w:p>
  </w:footnote>
  <w:footnote w:type="continuationSeparator" w:id="0">
    <w:p w14:paraId="03D36A76" w14:textId="77777777" w:rsidR="004D3446" w:rsidRDefault="004D3446" w:rsidP="00E75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C27F7"/>
    <w:multiLevelType w:val="hybridMultilevel"/>
    <w:tmpl w:val="AB9E4BAA"/>
    <w:lvl w:ilvl="0" w:tplc="1EFE3C66">
      <w:start w:val="1"/>
      <w:numFmt w:val="bullet"/>
      <w:lvlText w:val="•"/>
      <w:lvlJc w:val="left"/>
      <w:pPr>
        <w:tabs>
          <w:tab w:val="num" w:pos="720"/>
        </w:tabs>
        <w:ind w:left="720" w:hanging="360"/>
      </w:pPr>
      <w:rPr>
        <w:rFonts w:ascii="Arial" w:hAnsi="Arial" w:hint="default"/>
      </w:rPr>
    </w:lvl>
    <w:lvl w:ilvl="1" w:tplc="A302062C" w:tentative="1">
      <w:start w:val="1"/>
      <w:numFmt w:val="bullet"/>
      <w:lvlText w:val="•"/>
      <w:lvlJc w:val="left"/>
      <w:pPr>
        <w:tabs>
          <w:tab w:val="num" w:pos="1440"/>
        </w:tabs>
        <w:ind w:left="1440" w:hanging="360"/>
      </w:pPr>
      <w:rPr>
        <w:rFonts w:ascii="Arial" w:hAnsi="Arial" w:hint="default"/>
      </w:rPr>
    </w:lvl>
    <w:lvl w:ilvl="2" w:tplc="28709EDE" w:tentative="1">
      <w:start w:val="1"/>
      <w:numFmt w:val="bullet"/>
      <w:lvlText w:val="•"/>
      <w:lvlJc w:val="left"/>
      <w:pPr>
        <w:tabs>
          <w:tab w:val="num" w:pos="2160"/>
        </w:tabs>
        <w:ind w:left="2160" w:hanging="360"/>
      </w:pPr>
      <w:rPr>
        <w:rFonts w:ascii="Arial" w:hAnsi="Arial" w:hint="default"/>
      </w:rPr>
    </w:lvl>
    <w:lvl w:ilvl="3" w:tplc="21A2A806" w:tentative="1">
      <w:start w:val="1"/>
      <w:numFmt w:val="bullet"/>
      <w:lvlText w:val="•"/>
      <w:lvlJc w:val="left"/>
      <w:pPr>
        <w:tabs>
          <w:tab w:val="num" w:pos="2880"/>
        </w:tabs>
        <w:ind w:left="2880" w:hanging="360"/>
      </w:pPr>
      <w:rPr>
        <w:rFonts w:ascii="Arial" w:hAnsi="Arial" w:hint="default"/>
      </w:rPr>
    </w:lvl>
    <w:lvl w:ilvl="4" w:tplc="62722096" w:tentative="1">
      <w:start w:val="1"/>
      <w:numFmt w:val="bullet"/>
      <w:lvlText w:val="•"/>
      <w:lvlJc w:val="left"/>
      <w:pPr>
        <w:tabs>
          <w:tab w:val="num" w:pos="3600"/>
        </w:tabs>
        <w:ind w:left="3600" w:hanging="360"/>
      </w:pPr>
      <w:rPr>
        <w:rFonts w:ascii="Arial" w:hAnsi="Arial" w:hint="default"/>
      </w:rPr>
    </w:lvl>
    <w:lvl w:ilvl="5" w:tplc="96BAF636" w:tentative="1">
      <w:start w:val="1"/>
      <w:numFmt w:val="bullet"/>
      <w:lvlText w:val="•"/>
      <w:lvlJc w:val="left"/>
      <w:pPr>
        <w:tabs>
          <w:tab w:val="num" w:pos="4320"/>
        </w:tabs>
        <w:ind w:left="4320" w:hanging="360"/>
      </w:pPr>
      <w:rPr>
        <w:rFonts w:ascii="Arial" w:hAnsi="Arial" w:hint="default"/>
      </w:rPr>
    </w:lvl>
    <w:lvl w:ilvl="6" w:tplc="0C78C3F6" w:tentative="1">
      <w:start w:val="1"/>
      <w:numFmt w:val="bullet"/>
      <w:lvlText w:val="•"/>
      <w:lvlJc w:val="left"/>
      <w:pPr>
        <w:tabs>
          <w:tab w:val="num" w:pos="5040"/>
        </w:tabs>
        <w:ind w:left="5040" w:hanging="360"/>
      </w:pPr>
      <w:rPr>
        <w:rFonts w:ascii="Arial" w:hAnsi="Arial" w:hint="default"/>
      </w:rPr>
    </w:lvl>
    <w:lvl w:ilvl="7" w:tplc="60B0D152" w:tentative="1">
      <w:start w:val="1"/>
      <w:numFmt w:val="bullet"/>
      <w:lvlText w:val="•"/>
      <w:lvlJc w:val="left"/>
      <w:pPr>
        <w:tabs>
          <w:tab w:val="num" w:pos="5760"/>
        </w:tabs>
        <w:ind w:left="5760" w:hanging="360"/>
      </w:pPr>
      <w:rPr>
        <w:rFonts w:ascii="Arial" w:hAnsi="Arial" w:hint="default"/>
      </w:rPr>
    </w:lvl>
    <w:lvl w:ilvl="8" w:tplc="DA1284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A133E0"/>
    <w:multiLevelType w:val="hybridMultilevel"/>
    <w:tmpl w:val="00F2B97C"/>
    <w:lvl w:ilvl="0" w:tplc="04090001">
      <w:start w:val="1"/>
      <w:numFmt w:val="bullet"/>
      <w:lvlText w:val=""/>
      <w:lvlJc w:val="left"/>
      <w:pPr>
        <w:ind w:left="780" w:hanging="420"/>
      </w:pPr>
      <w:rPr>
        <w:rFonts w:ascii="Wingdings" w:hAnsi="Wingdings" w:hint="default"/>
      </w:rPr>
    </w:lvl>
    <w:lvl w:ilvl="1" w:tplc="0409000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16783A5B"/>
    <w:multiLevelType w:val="hybridMultilevel"/>
    <w:tmpl w:val="E14A57DE"/>
    <w:lvl w:ilvl="0" w:tplc="52CCEBC0">
      <w:start w:val="1"/>
      <w:numFmt w:val="bullet"/>
      <w:lvlText w:val=""/>
      <w:lvlJc w:val="left"/>
      <w:pPr>
        <w:tabs>
          <w:tab w:val="num" w:pos="720"/>
        </w:tabs>
        <w:ind w:left="720" w:hanging="360"/>
      </w:pPr>
      <w:rPr>
        <w:rFonts w:ascii="Wingdings" w:hAnsi="Wingdings" w:hint="default"/>
      </w:rPr>
    </w:lvl>
    <w:lvl w:ilvl="1" w:tplc="B4B299F4" w:tentative="1">
      <w:start w:val="1"/>
      <w:numFmt w:val="bullet"/>
      <w:lvlText w:val=""/>
      <w:lvlJc w:val="left"/>
      <w:pPr>
        <w:tabs>
          <w:tab w:val="num" w:pos="1440"/>
        </w:tabs>
        <w:ind w:left="1440" w:hanging="360"/>
      </w:pPr>
      <w:rPr>
        <w:rFonts w:ascii="Wingdings" w:hAnsi="Wingdings" w:hint="default"/>
      </w:rPr>
    </w:lvl>
    <w:lvl w:ilvl="2" w:tplc="ABF43EC0" w:tentative="1">
      <w:start w:val="1"/>
      <w:numFmt w:val="bullet"/>
      <w:lvlText w:val=""/>
      <w:lvlJc w:val="left"/>
      <w:pPr>
        <w:tabs>
          <w:tab w:val="num" w:pos="2160"/>
        </w:tabs>
        <w:ind w:left="2160" w:hanging="360"/>
      </w:pPr>
      <w:rPr>
        <w:rFonts w:ascii="Wingdings" w:hAnsi="Wingdings" w:hint="default"/>
      </w:rPr>
    </w:lvl>
    <w:lvl w:ilvl="3" w:tplc="DD42EC8A" w:tentative="1">
      <w:start w:val="1"/>
      <w:numFmt w:val="bullet"/>
      <w:lvlText w:val=""/>
      <w:lvlJc w:val="left"/>
      <w:pPr>
        <w:tabs>
          <w:tab w:val="num" w:pos="2880"/>
        </w:tabs>
        <w:ind w:left="2880" w:hanging="360"/>
      </w:pPr>
      <w:rPr>
        <w:rFonts w:ascii="Wingdings" w:hAnsi="Wingdings" w:hint="default"/>
      </w:rPr>
    </w:lvl>
    <w:lvl w:ilvl="4" w:tplc="13561DFA" w:tentative="1">
      <w:start w:val="1"/>
      <w:numFmt w:val="bullet"/>
      <w:lvlText w:val=""/>
      <w:lvlJc w:val="left"/>
      <w:pPr>
        <w:tabs>
          <w:tab w:val="num" w:pos="3600"/>
        </w:tabs>
        <w:ind w:left="3600" w:hanging="360"/>
      </w:pPr>
      <w:rPr>
        <w:rFonts w:ascii="Wingdings" w:hAnsi="Wingdings" w:hint="default"/>
      </w:rPr>
    </w:lvl>
    <w:lvl w:ilvl="5" w:tplc="6486F442" w:tentative="1">
      <w:start w:val="1"/>
      <w:numFmt w:val="bullet"/>
      <w:lvlText w:val=""/>
      <w:lvlJc w:val="left"/>
      <w:pPr>
        <w:tabs>
          <w:tab w:val="num" w:pos="4320"/>
        </w:tabs>
        <w:ind w:left="4320" w:hanging="360"/>
      </w:pPr>
      <w:rPr>
        <w:rFonts w:ascii="Wingdings" w:hAnsi="Wingdings" w:hint="default"/>
      </w:rPr>
    </w:lvl>
    <w:lvl w:ilvl="6" w:tplc="0B04096C" w:tentative="1">
      <w:start w:val="1"/>
      <w:numFmt w:val="bullet"/>
      <w:lvlText w:val=""/>
      <w:lvlJc w:val="left"/>
      <w:pPr>
        <w:tabs>
          <w:tab w:val="num" w:pos="5040"/>
        </w:tabs>
        <w:ind w:left="5040" w:hanging="360"/>
      </w:pPr>
      <w:rPr>
        <w:rFonts w:ascii="Wingdings" w:hAnsi="Wingdings" w:hint="default"/>
      </w:rPr>
    </w:lvl>
    <w:lvl w:ilvl="7" w:tplc="C24A22FC" w:tentative="1">
      <w:start w:val="1"/>
      <w:numFmt w:val="bullet"/>
      <w:lvlText w:val=""/>
      <w:lvlJc w:val="left"/>
      <w:pPr>
        <w:tabs>
          <w:tab w:val="num" w:pos="5760"/>
        </w:tabs>
        <w:ind w:left="5760" w:hanging="360"/>
      </w:pPr>
      <w:rPr>
        <w:rFonts w:ascii="Wingdings" w:hAnsi="Wingdings" w:hint="default"/>
      </w:rPr>
    </w:lvl>
    <w:lvl w:ilvl="8" w:tplc="8E748BC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4460B"/>
    <w:multiLevelType w:val="hybridMultilevel"/>
    <w:tmpl w:val="AC62CF62"/>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220846F7"/>
    <w:multiLevelType w:val="hybridMultilevel"/>
    <w:tmpl w:val="45D8E23C"/>
    <w:lvl w:ilvl="0" w:tplc="C550333E">
      <w:start w:val="1"/>
      <w:numFmt w:val="bullet"/>
      <w:lvlText w:val=""/>
      <w:lvlJc w:val="left"/>
      <w:pPr>
        <w:tabs>
          <w:tab w:val="num" w:pos="720"/>
        </w:tabs>
        <w:ind w:left="720" w:hanging="360"/>
      </w:pPr>
      <w:rPr>
        <w:rFonts w:ascii="Wingdings" w:hAnsi="Wingdings" w:hint="default"/>
      </w:rPr>
    </w:lvl>
    <w:lvl w:ilvl="1" w:tplc="1CCC1598" w:tentative="1">
      <w:start w:val="1"/>
      <w:numFmt w:val="bullet"/>
      <w:lvlText w:val=""/>
      <w:lvlJc w:val="left"/>
      <w:pPr>
        <w:tabs>
          <w:tab w:val="num" w:pos="1440"/>
        </w:tabs>
        <w:ind w:left="1440" w:hanging="360"/>
      </w:pPr>
      <w:rPr>
        <w:rFonts w:ascii="Wingdings" w:hAnsi="Wingdings" w:hint="default"/>
      </w:rPr>
    </w:lvl>
    <w:lvl w:ilvl="2" w:tplc="C7B4010A" w:tentative="1">
      <w:start w:val="1"/>
      <w:numFmt w:val="bullet"/>
      <w:lvlText w:val=""/>
      <w:lvlJc w:val="left"/>
      <w:pPr>
        <w:tabs>
          <w:tab w:val="num" w:pos="2160"/>
        </w:tabs>
        <w:ind w:left="2160" w:hanging="360"/>
      </w:pPr>
      <w:rPr>
        <w:rFonts w:ascii="Wingdings" w:hAnsi="Wingdings" w:hint="default"/>
      </w:rPr>
    </w:lvl>
    <w:lvl w:ilvl="3" w:tplc="5502B2E4" w:tentative="1">
      <w:start w:val="1"/>
      <w:numFmt w:val="bullet"/>
      <w:lvlText w:val=""/>
      <w:lvlJc w:val="left"/>
      <w:pPr>
        <w:tabs>
          <w:tab w:val="num" w:pos="2880"/>
        </w:tabs>
        <w:ind w:left="2880" w:hanging="360"/>
      </w:pPr>
      <w:rPr>
        <w:rFonts w:ascii="Wingdings" w:hAnsi="Wingdings" w:hint="default"/>
      </w:rPr>
    </w:lvl>
    <w:lvl w:ilvl="4" w:tplc="4B72CE50" w:tentative="1">
      <w:start w:val="1"/>
      <w:numFmt w:val="bullet"/>
      <w:lvlText w:val=""/>
      <w:lvlJc w:val="left"/>
      <w:pPr>
        <w:tabs>
          <w:tab w:val="num" w:pos="3600"/>
        </w:tabs>
        <w:ind w:left="3600" w:hanging="360"/>
      </w:pPr>
      <w:rPr>
        <w:rFonts w:ascii="Wingdings" w:hAnsi="Wingdings" w:hint="default"/>
      </w:rPr>
    </w:lvl>
    <w:lvl w:ilvl="5" w:tplc="7CAC51A0" w:tentative="1">
      <w:start w:val="1"/>
      <w:numFmt w:val="bullet"/>
      <w:lvlText w:val=""/>
      <w:lvlJc w:val="left"/>
      <w:pPr>
        <w:tabs>
          <w:tab w:val="num" w:pos="4320"/>
        </w:tabs>
        <w:ind w:left="4320" w:hanging="360"/>
      </w:pPr>
      <w:rPr>
        <w:rFonts w:ascii="Wingdings" w:hAnsi="Wingdings" w:hint="default"/>
      </w:rPr>
    </w:lvl>
    <w:lvl w:ilvl="6" w:tplc="BA4C9F0E" w:tentative="1">
      <w:start w:val="1"/>
      <w:numFmt w:val="bullet"/>
      <w:lvlText w:val=""/>
      <w:lvlJc w:val="left"/>
      <w:pPr>
        <w:tabs>
          <w:tab w:val="num" w:pos="5040"/>
        </w:tabs>
        <w:ind w:left="5040" w:hanging="360"/>
      </w:pPr>
      <w:rPr>
        <w:rFonts w:ascii="Wingdings" w:hAnsi="Wingdings" w:hint="default"/>
      </w:rPr>
    </w:lvl>
    <w:lvl w:ilvl="7" w:tplc="8C2022C4" w:tentative="1">
      <w:start w:val="1"/>
      <w:numFmt w:val="bullet"/>
      <w:lvlText w:val=""/>
      <w:lvlJc w:val="left"/>
      <w:pPr>
        <w:tabs>
          <w:tab w:val="num" w:pos="5760"/>
        </w:tabs>
        <w:ind w:left="5760" w:hanging="360"/>
      </w:pPr>
      <w:rPr>
        <w:rFonts w:ascii="Wingdings" w:hAnsi="Wingdings" w:hint="default"/>
      </w:rPr>
    </w:lvl>
    <w:lvl w:ilvl="8" w:tplc="13BC736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35B02"/>
    <w:multiLevelType w:val="hybridMultilevel"/>
    <w:tmpl w:val="3CD2B91E"/>
    <w:lvl w:ilvl="0" w:tplc="36F8109C">
      <w:start w:val="1"/>
      <w:numFmt w:val="bullet"/>
      <w:lvlText w:val=""/>
      <w:lvlJc w:val="left"/>
      <w:pPr>
        <w:tabs>
          <w:tab w:val="num" w:pos="720"/>
        </w:tabs>
        <w:ind w:left="720" w:hanging="360"/>
      </w:pPr>
      <w:rPr>
        <w:rFonts w:ascii="Wingdings" w:hAnsi="Wingdings" w:hint="default"/>
      </w:rPr>
    </w:lvl>
    <w:lvl w:ilvl="1" w:tplc="758E5D60" w:tentative="1">
      <w:start w:val="1"/>
      <w:numFmt w:val="bullet"/>
      <w:lvlText w:val=""/>
      <w:lvlJc w:val="left"/>
      <w:pPr>
        <w:tabs>
          <w:tab w:val="num" w:pos="1440"/>
        </w:tabs>
        <w:ind w:left="1440" w:hanging="360"/>
      </w:pPr>
      <w:rPr>
        <w:rFonts w:ascii="Wingdings" w:hAnsi="Wingdings" w:hint="default"/>
      </w:rPr>
    </w:lvl>
    <w:lvl w:ilvl="2" w:tplc="BA2A81E2" w:tentative="1">
      <w:start w:val="1"/>
      <w:numFmt w:val="bullet"/>
      <w:lvlText w:val=""/>
      <w:lvlJc w:val="left"/>
      <w:pPr>
        <w:tabs>
          <w:tab w:val="num" w:pos="2160"/>
        </w:tabs>
        <w:ind w:left="2160" w:hanging="360"/>
      </w:pPr>
      <w:rPr>
        <w:rFonts w:ascii="Wingdings" w:hAnsi="Wingdings" w:hint="default"/>
      </w:rPr>
    </w:lvl>
    <w:lvl w:ilvl="3" w:tplc="44EECA26" w:tentative="1">
      <w:start w:val="1"/>
      <w:numFmt w:val="bullet"/>
      <w:lvlText w:val=""/>
      <w:lvlJc w:val="left"/>
      <w:pPr>
        <w:tabs>
          <w:tab w:val="num" w:pos="2880"/>
        </w:tabs>
        <w:ind w:left="2880" w:hanging="360"/>
      </w:pPr>
      <w:rPr>
        <w:rFonts w:ascii="Wingdings" w:hAnsi="Wingdings" w:hint="default"/>
      </w:rPr>
    </w:lvl>
    <w:lvl w:ilvl="4" w:tplc="C9AC7590" w:tentative="1">
      <w:start w:val="1"/>
      <w:numFmt w:val="bullet"/>
      <w:lvlText w:val=""/>
      <w:lvlJc w:val="left"/>
      <w:pPr>
        <w:tabs>
          <w:tab w:val="num" w:pos="3600"/>
        </w:tabs>
        <w:ind w:left="3600" w:hanging="360"/>
      </w:pPr>
      <w:rPr>
        <w:rFonts w:ascii="Wingdings" w:hAnsi="Wingdings" w:hint="default"/>
      </w:rPr>
    </w:lvl>
    <w:lvl w:ilvl="5" w:tplc="77A21EF4" w:tentative="1">
      <w:start w:val="1"/>
      <w:numFmt w:val="bullet"/>
      <w:lvlText w:val=""/>
      <w:lvlJc w:val="left"/>
      <w:pPr>
        <w:tabs>
          <w:tab w:val="num" w:pos="4320"/>
        </w:tabs>
        <w:ind w:left="4320" w:hanging="360"/>
      </w:pPr>
      <w:rPr>
        <w:rFonts w:ascii="Wingdings" w:hAnsi="Wingdings" w:hint="default"/>
      </w:rPr>
    </w:lvl>
    <w:lvl w:ilvl="6" w:tplc="CC5EC874" w:tentative="1">
      <w:start w:val="1"/>
      <w:numFmt w:val="bullet"/>
      <w:lvlText w:val=""/>
      <w:lvlJc w:val="left"/>
      <w:pPr>
        <w:tabs>
          <w:tab w:val="num" w:pos="5040"/>
        </w:tabs>
        <w:ind w:left="5040" w:hanging="360"/>
      </w:pPr>
      <w:rPr>
        <w:rFonts w:ascii="Wingdings" w:hAnsi="Wingdings" w:hint="default"/>
      </w:rPr>
    </w:lvl>
    <w:lvl w:ilvl="7" w:tplc="BC7C8D06" w:tentative="1">
      <w:start w:val="1"/>
      <w:numFmt w:val="bullet"/>
      <w:lvlText w:val=""/>
      <w:lvlJc w:val="left"/>
      <w:pPr>
        <w:tabs>
          <w:tab w:val="num" w:pos="5760"/>
        </w:tabs>
        <w:ind w:left="5760" w:hanging="360"/>
      </w:pPr>
      <w:rPr>
        <w:rFonts w:ascii="Wingdings" w:hAnsi="Wingdings" w:hint="default"/>
      </w:rPr>
    </w:lvl>
    <w:lvl w:ilvl="8" w:tplc="B1EC34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50E2B"/>
    <w:multiLevelType w:val="hybridMultilevel"/>
    <w:tmpl w:val="5C50BDE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31DD35B9"/>
    <w:multiLevelType w:val="hybridMultilevel"/>
    <w:tmpl w:val="5B60CB9C"/>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8" w15:restartNumberingAfterBreak="0">
    <w:nsid w:val="32605794"/>
    <w:multiLevelType w:val="hybridMultilevel"/>
    <w:tmpl w:val="000416B8"/>
    <w:lvl w:ilvl="0" w:tplc="04090001">
      <w:start w:val="1"/>
      <w:numFmt w:val="bullet"/>
      <w:lvlText w:val=""/>
      <w:lvlJc w:val="left"/>
      <w:pPr>
        <w:ind w:left="113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32912CC1"/>
    <w:multiLevelType w:val="hybridMultilevel"/>
    <w:tmpl w:val="1A0E1338"/>
    <w:lvl w:ilvl="0" w:tplc="E07CA7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3B15E7"/>
    <w:multiLevelType w:val="hybridMultilevel"/>
    <w:tmpl w:val="DEECAE08"/>
    <w:lvl w:ilvl="0" w:tplc="FAE25E7E">
      <w:start w:val="1"/>
      <w:numFmt w:val="bullet"/>
      <w:lvlText w:val="•"/>
      <w:lvlJc w:val="left"/>
      <w:pPr>
        <w:tabs>
          <w:tab w:val="num" w:pos="720"/>
        </w:tabs>
        <w:ind w:left="720" w:hanging="360"/>
      </w:pPr>
      <w:rPr>
        <w:rFonts w:ascii="Arial" w:hAnsi="Arial" w:hint="default"/>
      </w:rPr>
    </w:lvl>
    <w:lvl w:ilvl="1" w:tplc="608C3BC4" w:tentative="1">
      <w:start w:val="1"/>
      <w:numFmt w:val="bullet"/>
      <w:lvlText w:val="•"/>
      <w:lvlJc w:val="left"/>
      <w:pPr>
        <w:tabs>
          <w:tab w:val="num" w:pos="1440"/>
        </w:tabs>
        <w:ind w:left="1440" w:hanging="360"/>
      </w:pPr>
      <w:rPr>
        <w:rFonts w:ascii="Arial" w:hAnsi="Arial" w:hint="default"/>
      </w:rPr>
    </w:lvl>
    <w:lvl w:ilvl="2" w:tplc="38AEBAB8" w:tentative="1">
      <w:start w:val="1"/>
      <w:numFmt w:val="bullet"/>
      <w:lvlText w:val="•"/>
      <w:lvlJc w:val="left"/>
      <w:pPr>
        <w:tabs>
          <w:tab w:val="num" w:pos="2160"/>
        </w:tabs>
        <w:ind w:left="2160" w:hanging="360"/>
      </w:pPr>
      <w:rPr>
        <w:rFonts w:ascii="Arial" w:hAnsi="Arial" w:hint="default"/>
      </w:rPr>
    </w:lvl>
    <w:lvl w:ilvl="3" w:tplc="DECA74BA" w:tentative="1">
      <w:start w:val="1"/>
      <w:numFmt w:val="bullet"/>
      <w:lvlText w:val="•"/>
      <w:lvlJc w:val="left"/>
      <w:pPr>
        <w:tabs>
          <w:tab w:val="num" w:pos="2880"/>
        </w:tabs>
        <w:ind w:left="2880" w:hanging="360"/>
      </w:pPr>
      <w:rPr>
        <w:rFonts w:ascii="Arial" w:hAnsi="Arial" w:hint="default"/>
      </w:rPr>
    </w:lvl>
    <w:lvl w:ilvl="4" w:tplc="A0B83112" w:tentative="1">
      <w:start w:val="1"/>
      <w:numFmt w:val="bullet"/>
      <w:lvlText w:val="•"/>
      <w:lvlJc w:val="left"/>
      <w:pPr>
        <w:tabs>
          <w:tab w:val="num" w:pos="3600"/>
        </w:tabs>
        <w:ind w:left="3600" w:hanging="360"/>
      </w:pPr>
      <w:rPr>
        <w:rFonts w:ascii="Arial" w:hAnsi="Arial" w:hint="default"/>
      </w:rPr>
    </w:lvl>
    <w:lvl w:ilvl="5" w:tplc="0AF4B014" w:tentative="1">
      <w:start w:val="1"/>
      <w:numFmt w:val="bullet"/>
      <w:lvlText w:val="•"/>
      <w:lvlJc w:val="left"/>
      <w:pPr>
        <w:tabs>
          <w:tab w:val="num" w:pos="4320"/>
        </w:tabs>
        <w:ind w:left="4320" w:hanging="360"/>
      </w:pPr>
      <w:rPr>
        <w:rFonts w:ascii="Arial" w:hAnsi="Arial" w:hint="default"/>
      </w:rPr>
    </w:lvl>
    <w:lvl w:ilvl="6" w:tplc="6994F382" w:tentative="1">
      <w:start w:val="1"/>
      <w:numFmt w:val="bullet"/>
      <w:lvlText w:val="•"/>
      <w:lvlJc w:val="left"/>
      <w:pPr>
        <w:tabs>
          <w:tab w:val="num" w:pos="5040"/>
        </w:tabs>
        <w:ind w:left="5040" w:hanging="360"/>
      </w:pPr>
      <w:rPr>
        <w:rFonts w:ascii="Arial" w:hAnsi="Arial" w:hint="default"/>
      </w:rPr>
    </w:lvl>
    <w:lvl w:ilvl="7" w:tplc="48C8AA86" w:tentative="1">
      <w:start w:val="1"/>
      <w:numFmt w:val="bullet"/>
      <w:lvlText w:val="•"/>
      <w:lvlJc w:val="left"/>
      <w:pPr>
        <w:tabs>
          <w:tab w:val="num" w:pos="5760"/>
        </w:tabs>
        <w:ind w:left="5760" w:hanging="360"/>
      </w:pPr>
      <w:rPr>
        <w:rFonts w:ascii="Arial" w:hAnsi="Arial" w:hint="default"/>
      </w:rPr>
    </w:lvl>
    <w:lvl w:ilvl="8" w:tplc="40DE0C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A57A14"/>
    <w:multiLevelType w:val="hybridMultilevel"/>
    <w:tmpl w:val="90080018"/>
    <w:lvl w:ilvl="0" w:tplc="E5A68E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BA70398"/>
    <w:multiLevelType w:val="hybridMultilevel"/>
    <w:tmpl w:val="E0E8CD88"/>
    <w:lvl w:ilvl="0" w:tplc="87C87F8E">
      <w:start w:val="1"/>
      <w:numFmt w:val="decimal"/>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15:restartNumberingAfterBreak="0">
    <w:nsid w:val="4CD125DF"/>
    <w:multiLevelType w:val="hybridMultilevel"/>
    <w:tmpl w:val="3F0870DC"/>
    <w:lvl w:ilvl="0" w:tplc="479C7C10">
      <w:start w:val="1"/>
      <w:numFmt w:val="bullet"/>
      <w:lvlText w:val="•"/>
      <w:lvlJc w:val="left"/>
      <w:pPr>
        <w:tabs>
          <w:tab w:val="num" w:pos="720"/>
        </w:tabs>
        <w:ind w:left="720" w:hanging="360"/>
      </w:pPr>
      <w:rPr>
        <w:rFonts w:ascii="Arial" w:hAnsi="Arial" w:hint="default"/>
      </w:rPr>
    </w:lvl>
    <w:lvl w:ilvl="1" w:tplc="F0627FD2" w:tentative="1">
      <w:start w:val="1"/>
      <w:numFmt w:val="bullet"/>
      <w:lvlText w:val="•"/>
      <w:lvlJc w:val="left"/>
      <w:pPr>
        <w:tabs>
          <w:tab w:val="num" w:pos="1440"/>
        </w:tabs>
        <w:ind w:left="1440" w:hanging="360"/>
      </w:pPr>
      <w:rPr>
        <w:rFonts w:ascii="Arial" w:hAnsi="Arial" w:hint="default"/>
      </w:rPr>
    </w:lvl>
    <w:lvl w:ilvl="2" w:tplc="3C423D88" w:tentative="1">
      <w:start w:val="1"/>
      <w:numFmt w:val="bullet"/>
      <w:lvlText w:val="•"/>
      <w:lvlJc w:val="left"/>
      <w:pPr>
        <w:tabs>
          <w:tab w:val="num" w:pos="2160"/>
        </w:tabs>
        <w:ind w:left="2160" w:hanging="360"/>
      </w:pPr>
      <w:rPr>
        <w:rFonts w:ascii="Arial" w:hAnsi="Arial" w:hint="default"/>
      </w:rPr>
    </w:lvl>
    <w:lvl w:ilvl="3" w:tplc="FA785B54" w:tentative="1">
      <w:start w:val="1"/>
      <w:numFmt w:val="bullet"/>
      <w:lvlText w:val="•"/>
      <w:lvlJc w:val="left"/>
      <w:pPr>
        <w:tabs>
          <w:tab w:val="num" w:pos="2880"/>
        </w:tabs>
        <w:ind w:left="2880" w:hanging="360"/>
      </w:pPr>
      <w:rPr>
        <w:rFonts w:ascii="Arial" w:hAnsi="Arial" w:hint="default"/>
      </w:rPr>
    </w:lvl>
    <w:lvl w:ilvl="4" w:tplc="3A26166E" w:tentative="1">
      <w:start w:val="1"/>
      <w:numFmt w:val="bullet"/>
      <w:lvlText w:val="•"/>
      <w:lvlJc w:val="left"/>
      <w:pPr>
        <w:tabs>
          <w:tab w:val="num" w:pos="3600"/>
        </w:tabs>
        <w:ind w:left="3600" w:hanging="360"/>
      </w:pPr>
      <w:rPr>
        <w:rFonts w:ascii="Arial" w:hAnsi="Arial" w:hint="default"/>
      </w:rPr>
    </w:lvl>
    <w:lvl w:ilvl="5" w:tplc="F73C641C" w:tentative="1">
      <w:start w:val="1"/>
      <w:numFmt w:val="bullet"/>
      <w:lvlText w:val="•"/>
      <w:lvlJc w:val="left"/>
      <w:pPr>
        <w:tabs>
          <w:tab w:val="num" w:pos="4320"/>
        </w:tabs>
        <w:ind w:left="4320" w:hanging="360"/>
      </w:pPr>
      <w:rPr>
        <w:rFonts w:ascii="Arial" w:hAnsi="Arial" w:hint="default"/>
      </w:rPr>
    </w:lvl>
    <w:lvl w:ilvl="6" w:tplc="DBA03FB6" w:tentative="1">
      <w:start w:val="1"/>
      <w:numFmt w:val="bullet"/>
      <w:lvlText w:val="•"/>
      <w:lvlJc w:val="left"/>
      <w:pPr>
        <w:tabs>
          <w:tab w:val="num" w:pos="5040"/>
        </w:tabs>
        <w:ind w:left="5040" w:hanging="360"/>
      </w:pPr>
      <w:rPr>
        <w:rFonts w:ascii="Arial" w:hAnsi="Arial" w:hint="default"/>
      </w:rPr>
    </w:lvl>
    <w:lvl w:ilvl="7" w:tplc="767CF58E" w:tentative="1">
      <w:start w:val="1"/>
      <w:numFmt w:val="bullet"/>
      <w:lvlText w:val="•"/>
      <w:lvlJc w:val="left"/>
      <w:pPr>
        <w:tabs>
          <w:tab w:val="num" w:pos="5760"/>
        </w:tabs>
        <w:ind w:left="5760" w:hanging="360"/>
      </w:pPr>
      <w:rPr>
        <w:rFonts w:ascii="Arial" w:hAnsi="Arial" w:hint="default"/>
      </w:rPr>
    </w:lvl>
    <w:lvl w:ilvl="8" w:tplc="E88CCF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3663E82"/>
    <w:multiLevelType w:val="hybridMultilevel"/>
    <w:tmpl w:val="9D08A2CA"/>
    <w:lvl w:ilvl="0" w:tplc="1368FEDA">
      <w:start w:val="2"/>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5" w15:restartNumberingAfterBreak="0">
    <w:nsid w:val="73426C3B"/>
    <w:multiLevelType w:val="hybridMultilevel"/>
    <w:tmpl w:val="B7FCC7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74CA3624"/>
    <w:multiLevelType w:val="hybridMultilevel"/>
    <w:tmpl w:val="8BE4124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5"/>
  </w:num>
  <w:num w:numId="2">
    <w:abstractNumId w:val="16"/>
  </w:num>
  <w:num w:numId="3">
    <w:abstractNumId w:val="6"/>
  </w:num>
  <w:num w:numId="4">
    <w:abstractNumId w:val="8"/>
  </w:num>
  <w:num w:numId="5">
    <w:abstractNumId w:val="1"/>
  </w:num>
  <w:num w:numId="6">
    <w:abstractNumId w:val="3"/>
  </w:num>
  <w:num w:numId="7">
    <w:abstractNumId w:val="7"/>
  </w:num>
  <w:num w:numId="8">
    <w:abstractNumId w:val="9"/>
  </w:num>
  <w:num w:numId="9">
    <w:abstractNumId w:val="4"/>
  </w:num>
  <w:num w:numId="10">
    <w:abstractNumId w:val="2"/>
  </w:num>
  <w:num w:numId="11">
    <w:abstractNumId w:val="12"/>
  </w:num>
  <w:num w:numId="12">
    <w:abstractNumId w:val="5"/>
  </w:num>
  <w:num w:numId="13">
    <w:abstractNumId w:val="10"/>
  </w:num>
  <w:num w:numId="14">
    <w:abstractNumId w:val="13"/>
  </w:num>
  <w:num w:numId="15">
    <w:abstractNumId w:val="11"/>
  </w:num>
  <w:num w:numId="16">
    <w:abstractNumId w:val="14"/>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27"/>
    <w:rsid w:val="00001768"/>
    <w:rsid w:val="00001D2A"/>
    <w:rsid w:val="00002026"/>
    <w:rsid w:val="000026B0"/>
    <w:rsid w:val="00002906"/>
    <w:rsid w:val="000077C9"/>
    <w:rsid w:val="00007992"/>
    <w:rsid w:val="000109A8"/>
    <w:rsid w:val="00010AD7"/>
    <w:rsid w:val="00012188"/>
    <w:rsid w:val="0001279C"/>
    <w:rsid w:val="00013611"/>
    <w:rsid w:val="00013DA9"/>
    <w:rsid w:val="00014253"/>
    <w:rsid w:val="00015061"/>
    <w:rsid w:val="00015BFA"/>
    <w:rsid w:val="00016391"/>
    <w:rsid w:val="000171B0"/>
    <w:rsid w:val="00020A7E"/>
    <w:rsid w:val="00020E5B"/>
    <w:rsid w:val="00021484"/>
    <w:rsid w:val="00021716"/>
    <w:rsid w:val="000242F5"/>
    <w:rsid w:val="000244DA"/>
    <w:rsid w:val="000251E0"/>
    <w:rsid w:val="00025565"/>
    <w:rsid w:val="0002639C"/>
    <w:rsid w:val="000263AE"/>
    <w:rsid w:val="00026877"/>
    <w:rsid w:val="00027C30"/>
    <w:rsid w:val="00030660"/>
    <w:rsid w:val="00030D63"/>
    <w:rsid w:val="00031024"/>
    <w:rsid w:val="0003129F"/>
    <w:rsid w:val="00031BD0"/>
    <w:rsid w:val="0003352A"/>
    <w:rsid w:val="000355A3"/>
    <w:rsid w:val="0003565A"/>
    <w:rsid w:val="00035E26"/>
    <w:rsid w:val="00036259"/>
    <w:rsid w:val="00036E8B"/>
    <w:rsid w:val="000370B3"/>
    <w:rsid w:val="000372DF"/>
    <w:rsid w:val="0004015E"/>
    <w:rsid w:val="00040237"/>
    <w:rsid w:val="000410B6"/>
    <w:rsid w:val="00041FC8"/>
    <w:rsid w:val="00042C74"/>
    <w:rsid w:val="0004349C"/>
    <w:rsid w:val="00043983"/>
    <w:rsid w:val="00043AC6"/>
    <w:rsid w:val="00043BB3"/>
    <w:rsid w:val="00043BE3"/>
    <w:rsid w:val="000441C1"/>
    <w:rsid w:val="0004439A"/>
    <w:rsid w:val="000444A0"/>
    <w:rsid w:val="000445B6"/>
    <w:rsid w:val="00045916"/>
    <w:rsid w:val="00045B5D"/>
    <w:rsid w:val="00045DBB"/>
    <w:rsid w:val="00046950"/>
    <w:rsid w:val="00046958"/>
    <w:rsid w:val="00046D8E"/>
    <w:rsid w:val="00047781"/>
    <w:rsid w:val="00050B4B"/>
    <w:rsid w:val="00050CB2"/>
    <w:rsid w:val="00052000"/>
    <w:rsid w:val="00052240"/>
    <w:rsid w:val="0005260C"/>
    <w:rsid w:val="00052AAD"/>
    <w:rsid w:val="000539A5"/>
    <w:rsid w:val="000544EC"/>
    <w:rsid w:val="00056E32"/>
    <w:rsid w:val="0005727E"/>
    <w:rsid w:val="00060CDA"/>
    <w:rsid w:val="0006103B"/>
    <w:rsid w:val="000610B9"/>
    <w:rsid w:val="0006120A"/>
    <w:rsid w:val="00061896"/>
    <w:rsid w:val="000620F5"/>
    <w:rsid w:val="0006334A"/>
    <w:rsid w:val="000635D1"/>
    <w:rsid w:val="00064A8C"/>
    <w:rsid w:val="00064D46"/>
    <w:rsid w:val="00065813"/>
    <w:rsid w:val="00065F14"/>
    <w:rsid w:val="00066341"/>
    <w:rsid w:val="000663E8"/>
    <w:rsid w:val="00066E48"/>
    <w:rsid w:val="0007084E"/>
    <w:rsid w:val="00071531"/>
    <w:rsid w:val="0007181A"/>
    <w:rsid w:val="000721A0"/>
    <w:rsid w:val="00072B79"/>
    <w:rsid w:val="00072DA2"/>
    <w:rsid w:val="00072FE4"/>
    <w:rsid w:val="00073379"/>
    <w:rsid w:val="000737D7"/>
    <w:rsid w:val="000739E1"/>
    <w:rsid w:val="0007424F"/>
    <w:rsid w:val="0007475F"/>
    <w:rsid w:val="00074FB9"/>
    <w:rsid w:val="00077DA4"/>
    <w:rsid w:val="00077F01"/>
    <w:rsid w:val="000811B8"/>
    <w:rsid w:val="00081779"/>
    <w:rsid w:val="0008219A"/>
    <w:rsid w:val="00082517"/>
    <w:rsid w:val="00082F1E"/>
    <w:rsid w:val="00083240"/>
    <w:rsid w:val="00083633"/>
    <w:rsid w:val="00084008"/>
    <w:rsid w:val="00084677"/>
    <w:rsid w:val="0008470C"/>
    <w:rsid w:val="000858B6"/>
    <w:rsid w:val="00085B51"/>
    <w:rsid w:val="00085DFA"/>
    <w:rsid w:val="0008742A"/>
    <w:rsid w:val="000875C3"/>
    <w:rsid w:val="0008796A"/>
    <w:rsid w:val="000904C7"/>
    <w:rsid w:val="000906E1"/>
    <w:rsid w:val="00090E6A"/>
    <w:rsid w:val="0009154C"/>
    <w:rsid w:val="00091D8E"/>
    <w:rsid w:val="0009269A"/>
    <w:rsid w:val="00092A3B"/>
    <w:rsid w:val="00092B3B"/>
    <w:rsid w:val="00092FBB"/>
    <w:rsid w:val="00093967"/>
    <w:rsid w:val="00093A02"/>
    <w:rsid w:val="00093ADF"/>
    <w:rsid w:val="00093B2B"/>
    <w:rsid w:val="000944C8"/>
    <w:rsid w:val="00094568"/>
    <w:rsid w:val="0009573E"/>
    <w:rsid w:val="0009576E"/>
    <w:rsid w:val="00095C61"/>
    <w:rsid w:val="00095D9C"/>
    <w:rsid w:val="00095ED3"/>
    <w:rsid w:val="00095FB2"/>
    <w:rsid w:val="000960BB"/>
    <w:rsid w:val="000966F8"/>
    <w:rsid w:val="00097941"/>
    <w:rsid w:val="00097C1C"/>
    <w:rsid w:val="000A092F"/>
    <w:rsid w:val="000A0E13"/>
    <w:rsid w:val="000A147F"/>
    <w:rsid w:val="000A1B51"/>
    <w:rsid w:val="000A2E48"/>
    <w:rsid w:val="000A4F13"/>
    <w:rsid w:val="000A59B8"/>
    <w:rsid w:val="000A7084"/>
    <w:rsid w:val="000A7C6D"/>
    <w:rsid w:val="000B01FE"/>
    <w:rsid w:val="000B114D"/>
    <w:rsid w:val="000B2045"/>
    <w:rsid w:val="000B3A12"/>
    <w:rsid w:val="000B4345"/>
    <w:rsid w:val="000B46DD"/>
    <w:rsid w:val="000B4970"/>
    <w:rsid w:val="000B5BD1"/>
    <w:rsid w:val="000B69C8"/>
    <w:rsid w:val="000C014C"/>
    <w:rsid w:val="000C080B"/>
    <w:rsid w:val="000C0C4A"/>
    <w:rsid w:val="000C2A3A"/>
    <w:rsid w:val="000C2A9E"/>
    <w:rsid w:val="000C333A"/>
    <w:rsid w:val="000C3699"/>
    <w:rsid w:val="000C3D6D"/>
    <w:rsid w:val="000C3F21"/>
    <w:rsid w:val="000C3FB3"/>
    <w:rsid w:val="000C479C"/>
    <w:rsid w:val="000C5C89"/>
    <w:rsid w:val="000C644F"/>
    <w:rsid w:val="000C77C8"/>
    <w:rsid w:val="000D0759"/>
    <w:rsid w:val="000D2233"/>
    <w:rsid w:val="000D26AC"/>
    <w:rsid w:val="000D274F"/>
    <w:rsid w:val="000D29D6"/>
    <w:rsid w:val="000D34F3"/>
    <w:rsid w:val="000D3B3B"/>
    <w:rsid w:val="000D4587"/>
    <w:rsid w:val="000D56C8"/>
    <w:rsid w:val="000D5965"/>
    <w:rsid w:val="000D5C52"/>
    <w:rsid w:val="000D68C3"/>
    <w:rsid w:val="000D7774"/>
    <w:rsid w:val="000E081E"/>
    <w:rsid w:val="000E159B"/>
    <w:rsid w:val="000E170A"/>
    <w:rsid w:val="000E1DB0"/>
    <w:rsid w:val="000E2001"/>
    <w:rsid w:val="000E29A2"/>
    <w:rsid w:val="000E3AA3"/>
    <w:rsid w:val="000E40CF"/>
    <w:rsid w:val="000E451E"/>
    <w:rsid w:val="000E4F63"/>
    <w:rsid w:val="000E5304"/>
    <w:rsid w:val="000E5366"/>
    <w:rsid w:val="000E5673"/>
    <w:rsid w:val="000E7040"/>
    <w:rsid w:val="000E7105"/>
    <w:rsid w:val="000E713D"/>
    <w:rsid w:val="000F027A"/>
    <w:rsid w:val="000F03B2"/>
    <w:rsid w:val="000F100F"/>
    <w:rsid w:val="000F1E98"/>
    <w:rsid w:val="000F21AE"/>
    <w:rsid w:val="000F26E5"/>
    <w:rsid w:val="000F33C4"/>
    <w:rsid w:val="000F4148"/>
    <w:rsid w:val="000F42BB"/>
    <w:rsid w:val="000F48EF"/>
    <w:rsid w:val="000F55BD"/>
    <w:rsid w:val="000F55EF"/>
    <w:rsid w:val="000F726E"/>
    <w:rsid w:val="000F791F"/>
    <w:rsid w:val="000F7E57"/>
    <w:rsid w:val="001002E6"/>
    <w:rsid w:val="001007F1"/>
    <w:rsid w:val="00100F7D"/>
    <w:rsid w:val="00101582"/>
    <w:rsid w:val="00101674"/>
    <w:rsid w:val="00101CF0"/>
    <w:rsid w:val="00101EFD"/>
    <w:rsid w:val="0010250C"/>
    <w:rsid w:val="00102775"/>
    <w:rsid w:val="00103A23"/>
    <w:rsid w:val="00103DA3"/>
    <w:rsid w:val="0010693D"/>
    <w:rsid w:val="0010703D"/>
    <w:rsid w:val="0010745B"/>
    <w:rsid w:val="0010766B"/>
    <w:rsid w:val="00107E1A"/>
    <w:rsid w:val="00107F6D"/>
    <w:rsid w:val="00110B19"/>
    <w:rsid w:val="00111297"/>
    <w:rsid w:val="00111A4B"/>
    <w:rsid w:val="00111CE2"/>
    <w:rsid w:val="00112949"/>
    <w:rsid w:val="00112D4C"/>
    <w:rsid w:val="001132BC"/>
    <w:rsid w:val="001136BA"/>
    <w:rsid w:val="0011374F"/>
    <w:rsid w:val="00114305"/>
    <w:rsid w:val="00115A65"/>
    <w:rsid w:val="0011667F"/>
    <w:rsid w:val="001166E8"/>
    <w:rsid w:val="00116F26"/>
    <w:rsid w:val="0011788A"/>
    <w:rsid w:val="001178E1"/>
    <w:rsid w:val="0011791E"/>
    <w:rsid w:val="0012008C"/>
    <w:rsid w:val="00120B8B"/>
    <w:rsid w:val="00120F20"/>
    <w:rsid w:val="0012226A"/>
    <w:rsid w:val="00123E00"/>
    <w:rsid w:val="00125576"/>
    <w:rsid w:val="00126F53"/>
    <w:rsid w:val="0012725D"/>
    <w:rsid w:val="0012797C"/>
    <w:rsid w:val="00130344"/>
    <w:rsid w:val="00130FD8"/>
    <w:rsid w:val="001333C1"/>
    <w:rsid w:val="00133476"/>
    <w:rsid w:val="001340FC"/>
    <w:rsid w:val="0013422F"/>
    <w:rsid w:val="001345AC"/>
    <w:rsid w:val="001350E7"/>
    <w:rsid w:val="00135FCF"/>
    <w:rsid w:val="0013649E"/>
    <w:rsid w:val="0014003A"/>
    <w:rsid w:val="00140288"/>
    <w:rsid w:val="001405D2"/>
    <w:rsid w:val="00140A79"/>
    <w:rsid w:val="001419AB"/>
    <w:rsid w:val="00141B8D"/>
    <w:rsid w:val="00143595"/>
    <w:rsid w:val="00143934"/>
    <w:rsid w:val="0014400B"/>
    <w:rsid w:val="001440E3"/>
    <w:rsid w:val="0014447D"/>
    <w:rsid w:val="0014472C"/>
    <w:rsid w:val="001451E7"/>
    <w:rsid w:val="0014581A"/>
    <w:rsid w:val="00145AF4"/>
    <w:rsid w:val="00146162"/>
    <w:rsid w:val="0014681E"/>
    <w:rsid w:val="00146E6F"/>
    <w:rsid w:val="001472DF"/>
    <w:rsid w:val="00147711"/>
    <w:rsid w:val="00150157"/>
    <w:rsid w:val="001509B1"/>
    <w:rsid w:val="00150D78"/>
    <w:rsid w:val="00151630"/>
    <w:rsid w:val="00152DA3"/>
    <w:rsid w:val="00153FD1"/>
    <w:rsid w:val="0015424B"/>
    <w:rsid w:val="00154627"/>
    <w:rsid w:val="001547A3"/>
    <w:rsid w:val="00154AC7"/>
    <w:rsid w:val="00154BD8"/>
    <w:rsid w:val="00155AF2"/>
    <w:rsid w:val="00155FAF"/>
    <w:rsid w:val="001561AF"/>
    <w:rsid w:val="00156599"/>
    <w:rsid w:val="001570C7"/>
    <w:rsid w:val="00157EA6"/>
    <w:rsid w:val="00160F3D"/>
    <w:rsid w:val="00161F16"/>
    <w:rsid w:val="0016232F"/>
    <w:rsid w:val="00162693"/>
    <w:rsid w:val="00162C17"/>
    <w:rsid w:val="00165A80"/>
    <w:rsid w:val="00165D23"/>
    <w:rsid w:val="00165E2A"/>
    <w:rsid w:val="0016681B"/>
    <w:rsid w:val="00166C2D"/>
    <w:rsid w:val="001673A5"/>
    <w:rsid w:val="00170020"/>
    <w:rsid w:val="001712ED"/>
    <w:rsid w:val="00173926"/>
    <w:rsid w:val="00173AF5"/>
    <w:rsid w:val="00173C2B"/>
    <w:rsid w:val="00173CD9"/>
    <w:rsid w:val="00174518"/>
    <w:rsid w:val="001763F6"/>
    <w:rsid w:val="0017661C"/>
    <w:rsid w:val="00177566"/>
    <w:rsid w:val="00180208"/>
    <w:rsid w:val="001805C0"/>
    <w:rsid w:val="00180D1A"/>
    <w:rsid w:val="0018261E"/>
    <w:rsid w:val="001831D6"/>
    <w:rsid w:val="001835B7"/>
    <w:rsid w:val="001835D1"/>
    <w:rsid w:val="00183D96"/>
    <w:rsid w:val="00183F83"/>
    <w:rsid w:val="001847F2"/>
    <w:rsid w:val="00184B52"/>
    <w:rsid w:val="00185615"/>
    <w:rsid w:val="001857F8"/>
    <w:rsid w:val="0018589E"/>
    <w:rsid w:val="001870A9"/>
    <w:rsid w:val="0018728F"/>
    <w:rsid w:val="00187300"/>
    <w:rsid w:val="00187487"/>
    <w:rsid w:val="001909CF"/>
    <w:rsid w:val="00191515"/>
    <w:rsid w:val="00191982"/>
    <w:rsid w:val="001929C6"/>
    <w:rsid w:val="0019470F"/>
    <w:rsid w:val="0019482C"/>
    <w:rsid w:val="00194DB9"/>
    <w:rsid w:val="00194FAE"/>
    <w:rsid w:val="001962BE"/>
    <w:rsid w:val="00196D6E"/>
    <w:rsid w:val="001974ED"/>
    <w:rsid w:val="001A059C"/>
    <w:rsid w:val="001A05FB"/>
    <w:rsid w:val="001A1FE7"/>
    <w:rsid w:val="001A21C7"/>
    <w:rsid w:val="001A2298"/>
    <w:rsid w:val="001A2AA5"/>
    <w:rsid w:val="001A2AD5"/>
    <w:rsid w:val="001A35BF"/>
    <w:rsid w:val="001A42CA"/>
    <w:rsid w:val="001A4D43"/>
    <w:rsid w:val="001A4D99"/>
    <w:rsid w:val="001A4E2D"/>
    <w:rsid w:val="001A5001"/>
    <w:rsid w:val="001A5291"/>
    <w:rsid w:val="001A54DD"/>
    <w:rsid w:val="001A5780"/>
    <w:rsid w:val="001A595C"/>
    <w:rsid w:val="001A5BD4"/>
    <w:rsid w:val="001A6D15"/>
    <w:rsid w:val="001A761A"/>
    <w:rsid w:val="001A791A"/>
    <w:rsid w:val="001A7E9D"/>
    <w:rsid w:val="001B0C38"/>
    <w:rsid w:val="001B0EDA"/>
    <w:rsid w:val="001B1BF9"/>
    <w:rsid w:val="001B1EC8"/>
    <w:rsid w:val="001B3525"/>
    <w:rsid w:val="001B361A"/>
    <w:rsid w:val="001B445B"/>
    <w:rsid w:val="001B48BD"/>
    <w:rsid w:val="001B509E"/>
    <w:rsid w:val="001B566E"/>
    <w:rsid w:val="001B5C3F"/>
    <w:rsid w:val="001B6211"/>
    <w:rsid w:val="001B6DDC"/>
    <w:rsid w:val="001B74E3"/>
    <w:rsid w:val="001B7C32"/>
    <w:rsid w:val="001C0D50"/>
    <w:rsid w:val="001C0FD1"/>
    <w:rsid w:val="001C117E"/>
    <w:rsid w:val="001C1EF2"/>
    <w:rsid w:val="001C1F9B"/>
    <w:rsid w:val="001C26FB"/>
    <w:rsid w:val="001C3B47"/>
    <w:rsid w:val="001C411F"/>
    <w:rsid w:val="001C41C0"/>
    <w:rsid w:val="001C52C4"/>
    <w:rsid w:val="001C636B"/>
    <w:rsid w:val="001C6A68"/>
    <w:rsid w:val="001C700B"/>
    <w:rsid w:val="001C7F99"/>
    <w:rsid w:val="001D0205"/>
    <w:rsid w:val="001D05B2"/>
    <w:rsid w:val="001D160D"/>
    <w:rsid w:val="001D250E"/>
    <w:rsid w:val="001D3623"/>
    <w:rsid w:val="001D3A5D"/>
    <w:rsid w:val="001D4295"/>
    <w:rsid w:val="001D63B6"/>
    <w:rsid w:val="001D6593"/>
    <w:rsid w:val="001D6C5D"/>
    <w:rsid w:val="001D7AF6"/>
    <w:rsid w:val="001E043B"/>
    <w:rsid w:val="001E334A"/>
    <w:rsid w:val="001E4D90"/>
    <w:rsid w:val="001E4DC7"/>
    <w:rsid w:val="001E5BC4"/>
    <w:rsid w:val="001E6813"/>
    <w:rsid w:val="001E6FA0"/>
    <w:rsid w:val="001F0FA1"/>
    <w:rsid w:val="001F116F"/>
    <w:rsid w:val="001F2359"/>
    <w:rsid w:val="001F329F"/>
    <w:rsid w:val="001F414C"/>
    <w:rsid w:val="001F43B1"/>
    <w:rsid w:val="001F5E83"/>
    <w:rsid w:val="001F73AF"/>
    <w:rsid w:val="001F7B79"/>
    <w:rsid w:val="0020031B"/>
    <w:rsid w:val="0020038C"/>
    <w:rsid w:val="0020147A"/>
    <w:rsid w:val="0020157B"/>
    <w:rsid w:val="002028C9"/>
    <w:rsid w:val="00203575"/>
    <w:rsid w:val="0020380F"/>
    <w:rsid w:val="00205E4E"/>
    <w:rsid w:val="002062B2"/>
    <w:rsid w:val="002065D5"/>
    <w:rsid w:val="00206F8B"/>
    <w:rsid w:val="00207489"/>
    <w:rsid w:val="00210097"/>
    <w:rsid w:val="002101D9"/>
    <w:rsid w:val="00210763"/>
    <w:rsid w:val="00213433"/>
    <w:rsid w:val="002135E1"/>
    <w:rsid w:val="002152D8"/>
    <w:rsid w:val="00215C90"/>
    <w:rsid w:val="00215F16"/>
    <w:rsid w:val="00216198"/>
    <w:rsid w:val="0021630F"/>
    <w:rsid w:val="00216CA5"/>
    <w:rsid w:val="002175CE"/>
    <w:rsid w:val="00217759"/>
    <w:rsid w:val="00220630"/>
    <w:rsid w:val="0022075C"/>
    <w:rsid w:val="00220B8F"/>
    <w:rsid w:val="002211E5"/>
    <w:rsid w:val="002218AB"/>
    <w:rsid w:val="00221BA2"/>
    <w:rsid w:val="002239C0"/>
    <w:rsid w:val="00223D14"/>
    <w:rsid w:val="002248B6"/>
    <w:rsid w:val="00224C2B"/>
    <w:rsid w:val="002253D7"/>
    <w:rsid w:val="002265B3"/>
    <w:rsid w:val="00226CAC"/>
    <w:rsid w:val="0022763B"/>
    <w:rsid w:val="002308C1"/>
    <w:rsid w:val="00230B48"/>
    <w:rsid w:val="0023311D"/>
    <w:rsid w:val="002332CD"/>
    <w:rsid w:val="00233412"/>
    <w:rsid w:val="002334AD"/>
    <w:rsid w:val="00233892"/>
    <w:rsid w:val="00234115"/>
    <w:rsid w:val="00234A7E"/>
    <w:rsid w:val="00234AB2"/>
    <w:rsid w:val="0023537B"/>
    <w:rsid w:val="002367B4"/>
    <w:rsid w:val="00236925"/>
    <w:rsid w:val="00236A2B"/>
    <w:rsid w:val="00236F49"/>
    <w:rsid w:val="0023795A"/>
    <w:rsid w:val="00237F66"/>
    <w:rsid w:val="002402E8"/>
    <w:rsid w:val="002403DE"/>
    <w:rsid w:val="0024233B"/>
    <w:rsid w:val="00243C7B"/>
    <w:rsid w:val="00245775"/>
    <w:rsid w:val="002458B2"/>
    <w:rsid w:val="00246B9E"/>
    <w:rsid w:val="00246C73"/>
    <w:rsid w:val="0025027F"/>
    <w:rsid w:val="002508AC"/>
    <w:rsid w:val="00250BCB"/>
    <w:rsid w:val="00251943"/>
    <w:rsid w:val="00251F78"/>
    <w:rsid w:val="00252496"/>
    <w:rsid w:val="002532FA"/>
    <w:rsid w:val="00254541"/>
    <w:rsid w:val="0025473F"/>
    <w:rsid w:val="002551A2"/>
    <w:rsid w:val="002551ED"/>
    <w:rsid w:val="002553E6"/>
    <w:rsid w:val="00256463"/>
    <w:rsid w:val="002566D2"/>
    <w:rsid w:val="00257D5A"/>
    <w:rsid w:val="002601FD"/>
    <w:rsid w:val="0026139D"/>
    <w:rsid w:val="002617D2"/>
    <w:rsid w:val="0026455E"/>
    <w:rsid w:val="002654C7"/>
    <w:rsid w:val="00266818"/>
    <w:rsid w:val="00266CC9"/>
    <w:rsid w:val="00266D1D"/>
    <w:rsid w:val="002672E4"/>
    <w:rsid w:val="00267D75"/>
    <w:rsid w:val="002702FE"/>
    <w:rsid w:val="00270677"/>
    <w:rsid w:val="00270F13"/>
    <w:rsid w:val="00271078"/>
    <w:rsid w:val="0027233F"/>
    <w:rsid w:val="00272E9B"/>
    <w:rsid w:val="0027321F"/>
    <w:rsid w:val="00273D14"/>
    <w:rsid w:val="0027459F"/>
    <w:rsid w:val="002747B1"/>
    <w:rsid w:val="002755E4"/>
    <w:rsid w:val="0027565C"/>
    <w:rsid w:val="002756FD"/>
    <w:rsid w:val="00275C29"/>
    <w:rsid w:val="00276017"/>
    <w:rsid w:val="00276632"/>
    <w:rsid w:val="00277107"/>
    <w:rsid w:val="0027743B"/>
    <w:rsid w:val="002774C3"/>
    <w:rsid w:val="002779F9"/>
    <w:rsid w:val="002802E7"/>
    <w:rsid w:val="0028183E"/>
    <w:rsid w:val="0028199A"/>
    <w:rsid w:val="002823F1"/>
    <w:rsid w:val="00282F12"/>
    <w:rsid w:val="00283D45"/>
    <w:rsid w:val="00285136"/>
    <w:rsid w:val="0028559A"/>
    <w:rsid w:val="002859C8"/>
    <w:rsid w:val="00286CD1"/>
    <w:rsid w:val="00286F04"/>
    <w:rsid w:val="00290337"/>
    <w:rsid w:val="002920E0"/>
    <w:rsid w:val="002924E7"/>
    <w:rsid w:val="00292A02"/>
    <w:rsid w:val="00292A8F"/>
    <w:rsid w:val="00292F5D"/>
    <w:rsid w:val="002937FF"/>
    <w:rsid w:val="002942FD"/>
    <w:rsid w:val="002944E5"/>
    <w:rsid w:val="00295D1A"/>
    <w:rsid w:val="002A00D9"/>
    <w:rsid w:val="002A0836"/>
    <w:rsid w:val="002A0DDA"/>
    <w:rsid w:val="002A17BC"/>
    <w:rsid w:val="002A1DF9"/>
    <w:rsid w:val="002A2328"/>
    <w:rsid w:val="002A273C"/>
    <w:rsid w:val="002A2C45"/>
    <w:rsid w:val="002A2DF8"/>
    <w:rsid w:val="002A40FE"/>
    <w:rsid w:val="002A586E"/>
    <w:rsid w:val="002A5909"/>
    <w:rsid w:val="002A6293"/>
    <w:rsid w:val="002A7868"/>
    <w:rsid w:val="002A7F07"/>
    <w:rsid w:val="002B02A7"/>
    <w:rsid w:val="002B06A1"/>
    <w:rsid w:val="002B079D"/>
    <w:rsid w:val="002B203F"/>
    <w:rsid w:val="002B4196"/>
    <w:rsid w:val="002B43BC"/>
    <w:rsid w:val="002B4EEF"/>
    <w:rsid w:val="002B5766"/>
    <w:rsid w:val="002B5E3B"/>
    <w:rsid w:val="002B6965"/>
    <w:rsid w:val="002B6EFB"/>
    <w:rsid w:val="002B787D"/>
    <w:rsid w:val="002C0628"/>
    <w:rsid w:val="002C0E16"/>
    <w:rsid w:val="002C1370"/>
    <w:rsid w:val="002C21AC"/>
    <w:rsid w:val="002C27BC"/>
    <w:rsid w:val="002C39E4"/>
    <w:rsid w:val="002C49AA"/>
    <w:rsid w:val="002C50BF"/>
    <w:rsid w:val="002C55CE"/>
    <w:rsid w:val="002C6693"/>
    <w:rsid w:val="002C7672"/>
    <w:rsid w:val="002C7BAF"/>
    <w:rsid w:val="002D0167"/>
    <w:rsid w:val="002D1487"/>
    <w:rsid w:val="002D1491"/>
    <w:rsid w:val="002D3116"/>
    <w:rsid w:val="002D38FC"/>
    <w:rsid w:val="002D3EE0"/>
    <w:rsid w:val="002D3FFD"/>
    <w:rsid w:val="002D40ED"/>
    <w:rsid w:val="002D4490"/>
    <w:rsid w:val="002D4670"/>
    <w:rsid w:val="002D4D8B"/>
    <w:rsid w:val="002D527C"/>
    <w:rsid w:val="002D55D8"/>
    <w:rsid w:val="002D6AB6"/>
    <w:rsid w:val="002D6DB9"/>
    <w:rsid w:val="002D75C5"/>
    <w:rsid w:val="002D7AA5"/>
    <w:rsid w:val="002D7D80"/>
    <w:rsid w:val="002E17E3"/>
    <w:rsid w:val="002E2044"/>
    <w:rsid w:val="002E2728"/>
    <w:rsid w:val="002E28B7"/>
    <w:rsid w:val="002E2B71"/>
    <w:rsid w:val="002E3102"/>
    <w:rsid w:val="002E45E2"/>
    <w:rsid w:val="002E46AA"/>
    <w:rsid w:val="002E5A52"/>
    <w:rsid w:val="002E67E5"/>
    <w:rsid w:val="002E6B4B"/>
    <w:rsid w:val="002E740B"/>
    <w:rsid w:val="002F08B2"/>
    <w:rsid w:val="002F107D"/>
    <w:rsid w:val="002F1330"/>
    <w:rsid w:val="002F1A1D"/>
    <w:rsid w:val="002F2DDB"/>
    <w:rsid w:val="002F346F"/>
    <w:rsid w:val="002F42AC"/>
    <w:rsid w:val="002F4877"/>
    <w:rsid w:val="002F4DA2"/>
    <w:rsid w:val="002F65E1"/>
    <w:rsid w:val="002F660E"/>
    <w:rsid w:val="002F687B"/>
    <w:rsid w:val="00300F46"/>
    <w:rsid w:val="003015DD"/>
    <w:rsid w:val="00301DF0"/>
    <w:rsid w:val="00302303"/>
    <w:rsid w:val="003026AE"/>
    <w:rsid w:val="00303707"/>
    <w:rsid w:val="00303B7D"/>
    <w:rsid w:val="00304269"/>
    <w:rsid w:val="00304576"/>
    <w:rsid w:val="00304A54"/>
    <w:rsid w:val="00304FA0"/>
    <w:rsid w:val="00305E51"/>
    <w:rsid w:val="0030603A"/>
    <w:rsid w:val="00306380"/>
    <w:rsid w:val="003100B1"/>
    <w:rsid w:val="00310378"/>
    <w:rsid w:val="00310CDE"/>
    <w:rsid w:val="00311401"/>
    <w:rsid w:val="003116E9"/>
    <w:rsid w:val="00311744"/>
    <w:rsid w:val="00312419"/>
    <w:rsid w:val="00312F2D"/>
    <w:rsid w:val="00313011"/>
    <w:rsid w:val="00313090"/>
    <w:rsid w:val="003130B1"/>
    <w:rsid w:val="0031559E"/>
    <w:rsid w:val="00315735"/>
    <w:rsid w:val="0031691B"/>
    <w:rsid w:val="003169C9"/>
    <w:rsid w:val="00320235"/>
    <w:rsid w:val="00320CFA"/>
    <w:rsid w:val="00321096"/>
    <w:rsid w:val="0032215A"/>
    <w:rsid w:val="003225E7"/>
    <w:rsid w:val="003228FB"/>
    <w:rsid w:val="00325857"/>
    <w:rsid w:val="00325FED"/>
    <w:rsid w:val="00327C23"/>
    <w:rsid w:val="00330518"/>
    <w:rsid w:val="003315E8"/>
    <w:rsid w:val="00331689"/>
    <w:rsid w:val="00331EDE"/>
    <w:rsid w:val="00332336"/>
    <w:rsid w:val="0033292D"/>
    <w:rsid w:val="00332C93"/>
    <w:rsid w:val="00333083"/>
    <w:rsid w:val="003332C2"/>
    <w:rsid w:val="003332D9"/>
    <w:rsid w:val="00333638"/>
    <w:rsid w:val="0033395D"/>
    <w:rsid w:val="003357C2"/>
    <w:rsid w:val="003365F4"/>
    <w:rsid w:val="00336BAB"/>
    <w:rsid w:val="00336BF7"/>
    <w:rsid w:val="003372BE"/>
    <w:rsid w:val="0033777B"/>
    <w:rsid w:val="00337BDD"/>
    <w:rsid w:val="00337F5D"/>
    <w:rsid w:val="003402D8"/>
    <w:rsid w:val="00340E75"/>
    <w:rsid w:val="00343218"/>
    <w:rsid w:val="00343A33"/>
    <w:rsid w:val="003451AB"/>
    <w:rsid w:val="00345529"/>
    <w:rsid w:val="003475B6"/>
    <w:rsid w:val="00350BA0"/>
    <w:rsid w:val="0035264C"/>
    <w:rsid w:val="00352D70"/>
    <w:rsid w:val="00353461"/>
    <w:rsid w:val="003536E2"/>
    <w:rsid w:val="003542D3"/>
    <w:rsid w:val="00354496"/>
    <w:rsid w:val="00354E2A"/>
    <w:rsid w:val="0035568B"/>
    <w:rsid w:val="00355F2A"/>
    <w:rsid w:val="003567DC"/>
    <w:rsid w:val="00356D9E"/>
    <w:rsid w:val="00356E7A"/>
    <w:rsid w:val="00357ACF"/>
    <w:rsid w:val="0036067C"/>
    <w:rsid w:val="003612DA"/>
    <w:rsid w:val="003618B3"/>
    <w:rsid w:val="003623C6"/>
    <w:rsid w:val="003640D8"/>
    <w:rsid w:val="00364FF9"/>
    <w:rsid w:val="00365264"/>
    <w:rsid w:val="00365556"/>
    <w:rsid w:val="00365995"/>
    <w:rsid w:val="00365DCD"/>
    <w:rsid w:val="00366EDC"/>
    <w:rsid w:val="00370BEF"/>
    <w:rsid w:val="00370E1F"/>
    <w:rsid w:val="00371D61"/>
    <w:rsid w:val="00371DF3"/>
    <w:rsid w:val="00372162"/>
    <w:rsid w:val="0037232F"/>
    <w:rsid w:val="00372456"/>
    <w:rsid w:val="00372DDF"/>
    <w:rsid w:val="0037339D"/>
    <w:rsid w:val="003736B0"/>
    <w:rsid w:val="00373C33"/>
    <w:rsid w:val="00374DF9"/>
    <w:rsid w:val="003750A3"/>
    <w:rsid w:val="00375288"/>
    <w:rsid w:val="0037536A"/>
    <w:rsid w:val="0037554D"/>
    <w:rsid w:val="00375CE6"/>
    <w:rsid w:val="00375EB3"/>
    <w:rsid w:val="003774C8"/>
    <w:rsid w:val="00377688"/>
    <w:rsid w:val="00381381"/>
    <w:rsid w:val="00381575"/>
    <w:rsid w:val="003818AD"/>
    <w:rsid w:val="003825F2"/>
    <w:rsid w:val="00384756"/>
    <w:rsid w:val="00384F23"/>
    <w:rsid w:val="00385E63"/>
    <w:rsid w:val="00386134"/>
    <w:rsid w:val="003868DD"/>
    <w:rsid w:val="0038691F"/>
    <w:rsid w:val="00387D19"/>
    <w:rsid w:val="0039058E"/>
    <w:rsid w:val="00390609"/>
    <w:rsid w:val="00391E5D"/>
    <w:rsid w:val="00392793"/>
    <w:rsid w:val="00392D05"/>
    <w:rsid w:val="00393C41"/>
    <w:rsid w:val="003943C5"/>
    <w:rsid w:val="0039479A"/>
    <w:rsid w:val="00395C8A"/>
    <w:rsid w:val="00395CCD"/>
    <w:rsid w:val="00396879"/>
    <w:rsid w:val="00396B67"/>
    <w:rsid w:val="003A0A3C"/>
    <w:rsid w:val="003A1AC7"/>
    <w:rsid w:val="003A30B4"/>
    <w:rsid w:val="003A377B"/>
    <w:rsid w:val="003A4267"/>
    <w:rsid w:val="003A4CF0"/>
    <w:rsid w:val="003A5335"/>
    <w:rsid w:val="003A5A17"/>
    <w:rsid w:val="003A70F4"/>
    <w:rsid w:val="003B088A"/>
    <w:rsid w:val="003B0A2A"/>
    <w:rsid w:val="003B0C0A"/>
    <w:rsid w:val="003B144C"/>
    <w:rsid w:val="003B18EC"/>
    <w:rsid w:val="003B1974"/>
    <w:rsid w:val="003B22D0"/>
    <w:rsid w:val="003B2319"/>
    <w:rsid w:val="003B27BA"/>
    <w:rsid w:val="003B35AB"/>
    <w:rsid w:val="003B3C78"/>
    <w:rsid w:val="003B52DB"/>
    <w:rsid w:val="003B7FD8"/>
    <w:rsid w:val="003C0698"/>
    <w:rsid w:val="003C0793"/>
    <w:rsid w:val="003C11B1"/>
    <w:rsid w:val="003C146F"/>
    <w:rsid w:val="003C25F4"/>
    <w:rsid w:val="003C29F6"/>
    <w:rsid w:val="003C2D02"/>
    <w:rsid w:val="003C40D4"/>
    <w:rsid w:val="003C4302"/>
    <w:rsid w:val="003C4F18"/>
    <w:rsid w:val="003C525E"/>
    <w:rsid w:val="003C6347"/>
    <w:rsid w:val="003C6464"/>
    <w:rsid w:val="003C70D3"/>
    <w:rsid w:val="003D0D50"/>
    <w:rsid w:val="003D1444"/>
    <w:rsid w:val="003D19B1"/>
    <w:rsid w:val="003D19C5"/>
    <w:rsid w:val="003D239B"/>
    <w:rsid w:val="003D2CB0"/>
    <w:rsid w:val="003D3109"/>
    <w:rsid w:val="003D4283"/>
    <w:rsid w:val="003D4445"/>
    <w:rsid w:val="003D4EA4"/>
    <w:rsid w:val="003D61FF"/>
    <w:rsid w:val="003D79BF"/>
    <w:rsid w:val="003E0273"/>
    <w:rsid w:val="003E09F2"/>
    <w:rsid w:val="003E0C04"/>
    <w:rsid w:val="003E1D76"/>
    <w:rsid w:val="003E239C"/>
    <w:rsid w:val="003E3163"/>
    <w:rsid w:val="003E33C1"/>
    <w:rsid w:val="003E36B4"/>
    <w:rsid w:val="003E3875"/>
    <w:rsid w:val="003E3CBF"/>
    <w:rsid w:val="003E45C9"/>
    <w:rsid w:val="003E4B7F"/>
    <w:rsid w:val="003E4E31"/>
    <w:rsid w:val="003E593D"/>
    <w:rsid w:val="003E64B0"/>
    <w:rsid w:val="003E6E9A"/>
    <w:rsid w:val="003E72D1"/>
    <w:rsid w:val="003E74E7"/>
    <w:rsid w:val="003E7B0E"/>
    <w:rsid w:val="003E7B65"/>
    <w:rsid w:val="003E7D81"/>
    <w:rsid w:val="003E7E62"/>
    <w:rsid w:val="003F08B6"/>
    <w:rsid w:val="003F1311"/>
    <w:rsid w:val="003F173C"/>
    <w:rsid w:val="003F2549"/>
    <w:rsid w:val="003F256B"/>
    <w:rsid w:val="003F2651"/>
    <w:rsid w:val="003F2730"/>
    <w:rsid w:val="003F27C0"/>
    <w:rsid w:val="003F27EE"/>
    <w:rsid w:val="003F3612"/>
    <w:rsid w:val="003F42FB"/>
    <w:rsid w:val="003F463B"/>
    <w:rsid w:val="003F478E"/>
    <w:rsid w:val="003F5EBC"/>
    <w:rsid w:val="003F70FC"/>
    <w:rsid w:val="003F7E48"/>
    <w:rsid w:val="004000F6"/>
    <w:rsid w:val="00400228"/>
    <w:rsid w:val="004009D1"/>
    <w:rsid w:val="00400BD3"/>
    <w:rsid w:val="00400F02"/>
    <w:rsid w:val="00401385"/>
    <w:rsid w:val="00401394"/>
    <w:rsid w:val="00401C66"/>
    <w:rsid w:val="00401ED4"/>
    <w:rsid w:val="00403820"/>
    <w:rsid w:val="00403B70"/>
    <w:rsid w:val="004043A2"/>
    <w:rsid w:val="00407820"/>
    <w:rsid w:val="00407AE1"/>
    <w:rsid w:val="004104AA"/>
    <w:rsid w:val="00410854"/>
    <w:rsid w:val="00410EFF"/>
    <w:rsid w:val="004111C9"/>
    <w:rsid w:val="004111F7"/>
    <w:rsid w:val="00411E93"/>
    <w:rsid w:val="004123F3"/>
    <w:rsid w:val="00413029"/>
    <w:rsid w:val="0041321B"/>
    <w:rsid w:val="00413B5D"/>
    <w:rsid w:val="00414A65"/>
    <w:rsid w:val="00414B9A"/>
    <w:rsid w:val="00414DFC"/>
    <w:rsid w:val="00415022"/>
    <w:rsid w:val="004152CF"/>
    <w:rsid w:val="00415F21"/>
    <w:rsid w:val="00416A81"/>
    <w:rsid w:val="00416AA2"/>
    <w:rsid w:val="00416ABF"/>
    <w:rsid w:val="00416E3E"/>
    <w:rsid w:val="00417723"/>
    <w:rsid w:val="00421837"/>
    <w:rsid w:val="004225A0"/>
    <w:rsid w:val="00422D50"/>
    <w:rsid w:val="0042323F"/>
    <w:rsid w:val="00423306"/>
    <w:rsid w:val="00423C0D"/>
    <w:rsid w:val="004248B7"/>
    <w:rsid w:val="00425F2F"/>
    <w:rsid w:val="00426EA0"/>
    <w:rsid w:val="0042711E"/>
    <w:rsid w:val="0042755A"/>
    <w:rsid w:val="004276FC"/>
    <w:rsid w:val="0042790F"/>
    <w:rsid w:val="004308A8"/>
    <w:rsid w:val="00433C2A"/>
    <w:rsid w:val="004346B2"/>
    <w:rsid w:val="00434C61"/>
    <w:rsid w:val="00435031"/>
    <w:rsid w:val="00435304"/>
    <w:rsid w:val="00435EB7"/>
    <w:rsid w:val="00436085"/>
    <w:rsid w:val="00440308"/>
    <w:rsid w:val="00440AEB"/>
    <w:rsid w:val="00441DF2"/>
    <w:rsid w:val="0044225C"/>
    <w:rsid w:val="0044268B"/>
    <w:rsid w:val="0044282C"/>
    <w:rsid w:val="00443217"/>
    <w:rsid w:val="004434E4"/>
    <w:rsid w:val="00443D13"/>
    <w:rsid w:val="00444070"/>
    <w:rsid w:val="004440AB"/>
    <w:rsid w:val="004441BB"/>
    <w:rsid w:val="00444834"/>
    <w:rsid w:val="00444982"/>
    <w:rsid w:val="00445BAC"/>
    <w:rsid w:val="00445E32"/>
    <w:rsid w:val="00447ACE"/>
    <w:rsid w:val="00450FFE"/>
    <w:rsid w:val="004512EF"/>
    <w:rsid w:val="00451EA5"/>
    <w:rsid w:val="0045206B"/>
    <w:rsid w:val="004526A5"/>
    <w:rsid w:val="004528A9"/>
    <w:rsid w:val="00452FAC"/>
    <w:rsid w:val="00453D41"/>
    <w:rsid w:val="00454769"/>
    <w:rsid w:val="004548D8"/>
    <w:rsid w:val="00454A6C"/>
    <w:rsid w:val="00455AD3"/>
    <w:rsid w:val="00456006"/>
    <w:rsid w:val="00456A12"/>
    <w:rsid w:val="00457859"/>
    <w:rsid w:val="00460CF6"/>
    <w:rsid w:val="004617ED"/>
    <w:rsid w:val="0046218D"/>
    <w:rsid w:val="00462AE4"/>
    <w:rsid w:val="004633FE"/>
    <w:rsid w:val="004639AC"/>
    <w:rsid w:val="004645A4"/>
    <w:rsid w:val="00464F9E"/>
    <w:rsid w:val="00465DA9"/>
    <w:rsid w:val="004661A9"/>
    <w:rsid w:val="00466444"/>
    <w:rsid w:val="004669B8"/>
    <w:rsid w:val="004672D3"/>
    <w:rsid w:val="004672D6"/>
    <w:rsid w:val="00467AAC"/>
    <w:rsid w:val="00471093"/>
    <w:rsid w:val="004712C9"/>
    <w:rsid w:val="00471AF2"/>
    <w:rsid w:val="004739DF"/>
    <w:rsid w:val="00473A32"/>
    <w:rsid w:val="00473C50"/>
    <w:rsid w:val="0047442B"/>
    <w:rsid w:val="0047447C"/>
    <w:rsid w:val="004749C6"/>
    <w:rsid w:val="004760B6"/>
    <w:rsid w:val="00476A24"/>
    <w:rsid w:val="00477504"/>
    <w:rsid w:val="004779B5"/>
    <w:rsid w:val="00477B2B"/>
    <w:rsid w:val="00477C9A"/>
    <w:rsid w:val="00477F7A"/>
    <w:rsid w:val="00480B70"/>
    <w:rsid w:val="00480F1F"/>
    <w:rsid w:val="0048122D"/>
    <w:rsid w:val="00481445"/>
    <w:rsid w:val="00481613"/>
    <w:rsid w:val="00483035"/>
    <w:rsid w:val="00483A3D"/>
    <w:rsid w:val="0048438F"/>
    <w:rsid w:val="00484643"/>
    <w:rsid w:val="004857B1"/>
    <w:rsid w:val="00485A42"/>
    <w:rsid w:val="00485AC4"/>
    <w:rsid w:val="00486128"/>
    <w:rsid w:val="0048665C"/>
    <w:rsid w:val="00486826"/>
    <w:rsid w:val="00486FBF"/>
    <w:rsid w:val="004908F2"/>
    <w:rsid w:val="00490C03"/>
    <w:rsid w:val="00490F8C"/>
    <w:rsid w:val="004938E7"/>
    <w:rsid w:val="00493962"/>
    <w:rsid w:val="00494C95"/>
    <w:rsid w:val="00494D37"/>
    <w:rsid w:val="00497877"/>
    <w:rsid w:val="004A01BD"/>
    <w:rsid w:val="004A1092"/>
    <w:rsid w:val="004A1386"/>
    <w:rsid w:val="004A26B6"/>
    <w:rsid w:val="004A2CE2"/>
    <w:rsid w:val="004A33FA"/>
    <w:rsid w:val="004A38B7"/>
    <w:rsid w:val="004A484E"/>
    <w:rsid w:val="004A4D92"/>
    <w:rsid w:val="004A76BA"/>
    <w:rsid w:val="004B10B4"/>
    <w:rsid w:val="004B144F"/>
    <w:rsid w:val="004B1AD6"/>
    <w:rsid w:val="004B1C28"/>
    <w:rsid w:val="004B3058"/>
    <w:rsid w:val="004B429C"/>
    <w:rsid w:val="004B546B"/>
    <w:rsid w:val="004B5EB3"/>
    <w:rsid w:val="004B6C82"/>
    <w:rsid w:val="004B7263"/>
    <w:rsid w:val="004C048E"/>
    <w:rsid w:val="004C1F3D"/>
    <w:rsid w:val="004C2F77"/>
    <w:rsid w:val="004C4C23"/>
    <w:rsid w:val="004C5976"/>
    <w:rsid w:val="004C5B8D"/>
    <w:rsid w:val="004D3446"/>
    <w:rsid w:val="004D4592"/>
    <w:rsid w:val="004D6A7E"/>
    <w:rsid w:val="004D714D"/>
    <w:rsid w:val="004E0A92"/>
    <w:rsid w:val="004E22E0"/>
    <w:rsid w:val="004E293D"/>
    <w:rsid w:val="004E2BD9"/>
    <w:rsid w:val="004E4FF7"/>
    <w:rsid w:val="004E515B"/>
    <w:rsid w:val="004E583F"/>
    <w:rsid w:val="004E5C68"/>
    <w:rsid w:val="004E6734"/>
    <w:rsid w:val="004E72EB"/>
    <w:rsid w:val="004E77EC"/>
    <w:rsid w:val="004F07E7"/>
    <w:rsid w:val="004F1DB4"/>
    <w:rsid w:val="004F31AC"/>
    <w:rsid w:val="004F35F5"/>
    <w:rsid w:val="004F39E1"/>
    <w:rsid w:val="004F3E9D"/>
    <w:rsid w:val="004F466A"/>
    <w:rsid w:val="004F5511"/>
    <w:rsid w:val="004F60FC"/>
    <w:rsid w:val="004F626C"/>
    <w:rsid w:val="004F7B05"/>
    <w:rsid w:val="0050134C"/>
    <w:rsid w:val="0050225E"/>
    <w:rsid w:val="00502775"/>
    <w:rsid w:val="00505C1A"/>
    <w:rsid w:val="00505F76"/>
    <w:rsid w:val="00506427"/>
    <w:rsid w:val="0050692B"/>
    <w:rsid w:val="00507B58"/>
    <w:rsid w:val="00507CA3"/>
    <w:rsid w:val="00507E4F"/>
    <w:rsid w:val="005108CF"/>
    <w:rsid w:val="00510A18"/>
    <w:rsid w:val="00511DBE"/>
    <w:rsid w:val="00512511"/>
    <w:rsid w:val="00512892"/>
    <w:rsid w:val="00513075"/>
    <w:rsid w:val="0051351F"/>
    <w:rsid w:val="005138B7"/>
    <w:rsid w:val="00513E6E"/>
    <w:rsid w:val="00514468"/>
    <w:rsid w:val="0051565E"/>
    <w:rsid w:val="005161A0"/>
    <w:rsid w:val="00517223"/>
    <w:rsid w:val="00517526"/>
    <w:rsid w:val="005179E6"/>
    <w:rsid w:val="0052165E"/>
    <w:rsid w:val="00521B3B"/>
    <w:rsid w:val="0052229E"/>
    <w:rsid w:val="00522490"/>
    <w:rsid w:val="00522D45"/>
    <w:rsid w:val="005230FF"/>
    <w:rsid w:val="00523206"/>
    <w:rsid w:val="005236F3"/>
    <w:rsid w:val="00523806"/>
    <w:rsid w:val="00524097"/>
    <w:rsid w:val="005246F9"/>
    <w:rsid w:val="005250EC"/>
    <w:rsid w:val="00526EF6"/>
    <w:rsid w:val="00527FE9"/>
    <w:rsid w:val="00531740"/>
    <w:rsid w:val="0053327B"/>
    <w:rsid w:val="0053406C"/>
    <w:rsid w:val="0053515B"/>
    <w:rsid w:val="00535D8D"/>
    <w:rsid w:val="00537A5C"/>
    <w:rsid w:val="005405C3"/>
    <w:rsid w:val="00540B31"/>
    <w:rsid w:val="00542097"/>
    <w:rsid w:val="005426B4"/>
    <w:rsid w:val="00542D72"/>
    <w:rsid w:val="005450E1"/>
    <w:rsid w:val="0054680E"/>
    <w:rsid w:val="00547755"/>
    <w:rsid w:val="00547DF1"/>
    <w:rsid w:val="00551199"/>
    <w:rsid w:val="00552212"/>
    <w:rsid w:val="00553F7B"/>
    <w:rsid w:val="00554971"/>
    <w:rsid w:val="00555E5E"/>
    <w:rsid w:val="005560E8"/>
    <w:rsid w:val="005573EB"/>
    <w:rsid w:val="005607C5"/>
    <w:rsid w:val="00560ED7"/>
    <w:rsid w:val="0056108E"/>
    <w:rsid w:val="0056194A"/>
    <w:rsid w:val="00561D1F"/>
    <w:rsid w:val="005625B3"/>
    <w:rsid w:val="00563313"/>
    <w:rsid w:val="005633F2"/>
    <w:rsid w:val="00563A67"/>
    <w:rsid w:val="00563D53"/>
    <w:rsid w:val="00563D82"/>
    <w:rsid w:val="00563E19"/>
    <w:rsid w:val="00564759"/>
    <w:rsid w:val="005660DA"/>
    <w:rsid w:val="00567945"/>
    <w:rsid w:val="00570CB5"/>
    <w:rsid w:val="00570DE0"/>
    <w:rsid w:val="00571931"/>
    <w:rsid w:val="005720BA"/>
    <w:rsid w:val="00572469"/>
    <w:rsid w:val="00573168"/>
    <w:rsid w:val="0057329D"/>
    <w:rsid w:val="00573F7A"/>
    <w:rsid w:val="00574B9F"/>
    <w:rsid w:val="00575D94"/>
    <w:rsid w:val="00576402"/>
    <w:rsid w:val="00576B80"/>
    <w:rsid w:val="00576CCF"/>
    <w:rsid w:val="0057779E"/>
    <w:rsid w:val="00580419"/>
    <w:rsid w:val="005810B9"/>
    <w:rsid w:val="005810CE"/>
    <w:rsid w:val="0058162A"/>
    <w:rsid w:val="00582188"/>
    <w:rsid w:val="005839E8"/>
    <w:rsid w:val="00584198"/>
    <w:rsid w:val="005848EF"/>
    <w:rsid w:val="00585864"/>
    <w:rsid w:val="00586EBD"/>
    <w:rsid w:val="00590119"/>
    <w:rsid w:val="00590192"/>
    <w:rsid w:val="00590217"/>
    <w:rsid w:val="00590220"/>
    <w:rsid w:val="005907F0"/>
    <w:rsid w:val="005919CF"/>
    <w:rsid w:val="00591A48"/>
    <w:rsid w:val="00591C77"/>
    <w:rsid w:val="005931EC"/>
    <w:rsid w:val="0059321B"/>
    <w:rsid w:val="0059351A"/>
    <w:rsid w:val="0059389B"/>
    <w:rsid w:val="00594D29"/>
    <w:rsid w:val="005955A5"/>
    <w:rsid w:val="00596F66"/>
    <w:rsid w:val="00597DB3"/>
    <w:rsid w:val="00597F46"/>
    <w:rsid w:val="005A009E"/>
    <w:rsid w:val="005A09E9"/>
    <w:rsid w:val="005A0AAE"/>
    <w:rsid w:val="005A2C5B"/>
    <w:rsid w:val="005A3A60"/>
    <w:rsid w:val="005A56D3"/>
    <w:rsid w:val="005A6885"/>
    <w:rsid w:val="005B11F3"/>
    <w:rsid w:val="005B1342"/>
    <w:rsid w:val="005B1403"/>
    <w:rsid w:val="005B20A9"/>
    <w:rsid w:val="005B26FE"/>
    <w:rsid w:val="005B38A9"/>
    <w:rsid w:val="005B5448"/>
    <w:rsid w:val="005B574B"/>
    <w:rsid w:val="005B64C3"/>
    <w:rsid w:val="005B708B"/>
    <w:rsid w:val="005C075F"/>
    <w:rsid w:val="005C0ED7"/>
    <w:rsid w:val="005C18DE"/>
    <w:rsid w:val="005C2DF7"/>
    <w:rsid w:val="005C30C0"/>
    <w:rsid w:val="005C3AD0"/>
    <w:rsid w:val="005C4BBA"/>
    <w:rsid w:val="005C4BFA"/>
    <w:rsid w:val="005C4CC8"/>
    <w:rsid w:val="005C4EFF"/>
    <w:rsid w:val="005C586E"/>
    <w:rsid w:val="005C645F"/>
    <w:rsid w:val="005C7570"/>
    <w:rsid w:val="005C7829"/>
    <w:rsid w:val="005C7D0A"/>
    <w:rsid w:val="005D1361"/>
    <w:rsid w:val="005D1F23"/>
    <w:rsid w:val="005D4751"/>
    <w:rsid w:val="005D4C8A"/>
    <w:rsid w:val="005D4D58"/>
    <w:rsid w:val="005D5EA1"/>
    <w:rsid w:val="005D60BB"/>
    <w:rsid w:val="005D6AFA"/>
    <w:rsid w:val="005E0D5D"/>
    <w:rsid w:val="005E12CD"/>
    <w:rsid w:val="005E20A3"/>
    <w:rsid w:val="005E39BB"/>
    <w:rsid w:val="005E3E15"/>
    <w:rsid w:val="005E4C6A"/>
    <w:rsid w:val="005E5A68"/>
    <w:rsid w:val="005E5AC6"/>
    <w:rsid w:val="005E649F"/>
    <w:rsid w:val="005E6589"/>
    <w:rsid w:val="005E6C70"/>
    <w:rsid w:val="005E7D5B"/>
    <w:rsid w:val="005E7F16"/>
    <w:rsid w:val="005F0021"/>
    <w:rsid w:val="005F0E44"/>
    <w:rsid w:val="005F118F"/>
    <w:rsid w:val="005F24CD"/>
    <w:rsid w:val="005F32AC"/>
    <w:rsid w:val="005F481E"/>
    <w:rsid w:val="005F4900"/>
    <w:rsid w:val="005F521E"/>
    <w:rsid w:val="005F54FA"/>
    <w:rsid w:val="005F5E93"/>
    <w:rsid w:val="005F68D3"/>
    <w:rsid w:val="005F7088"/>
    <w:rsid w:val="005F7370"/>
    <w:rsid w:val="005F7394"/>
    <w:rsid w:val="0060214E"/>
    <w:rsid w:val="006022A8"/>
    <w:rsid w:val="006026E7"/>
    <w:rsid w:val="00602958"/>
    <w:rsid w:val="00602EAF"/>
    <w:rsid w:val="00602F10"/>
    <w:rsid w:val="006038DC"/>
    <w:rsid w:val="00603F09"/>
    <w:rsid w:val="00604552"/>
    <w:rsid w:val="006065AA"/>
    <w:rsid w:val="006070D1"/>
    <w:rsid w:val="00607EB3"/>
    <w:rsid w:val="00607FE4"/>
    <w:rsid w:val="006107E2"/>
    <w:rsid w:val="00611760"/>
    <w:rsid w:val="00612938"/>
    <w:rsid w:val="00612D5E"/>
    <w:rsid w:val="00612F34"/>
    <w:rsid w:val="00613DCC"/>
    <w:rsid w:val="0061434C"/>
    <w:rsid w:val="00614756"/>
    <w:rsid w:val="00614880"/>
    <w:rsid w:val="00615A64"/>
    <w:rsid w:val="006163C9"/>
    <w:rsid w:val="0061687B"/>
    <w:rsid w:val="00617997"/>
    <w:rsid w:val="00617AB8"/>
    <w:rsid w:val="0062012B"/>
    <w:rsid w:val="006207F6"/>
    <w:rsid w:val="00621280"/>
    <w:rsid w:val="00621587"/>
    <w:rsid w:val="00621B6B"/>
    <w:rsid w:val="00623821"/>
    <w:rsid w:val="0062493D"/>
    <w:rsid w:val="00624A14"/>
    <w:rsid w:val="00624DF8"/>
    <w:rsid w:val="0062584A"/>
    <w:rsid w:val="006269AB"/>
    <w:rsid w:val="00626C03"/>
    <w:rsid w:val="006272E0"/>
    <w:rsid w:val="00630028"/>
    <w:rsid w:val="00630532"/>
    <w:rsid w:val="00630CDB"/>
    <w:rsid w:val="00630E81"/>
    <w:rsid w:val="006321ED"/>
    <w:rsid w:val="0063228E"/>
    <w:rsid w:val="00632F9B"/>
    <w:rsid w:val="00633C99"/>
    <w:rsid w:val="00634F18"/>
    <w:rsid w:val="00635C9F"/>
    <w:rsid w:val="006360AA"/>
    <w:rsid w:val="006362CB"/>
    <w:rsid w:val="006367E3"/>
    <w:rsid w:val="00640450"/>
    <w:rsid w:val="00640935"/>
    <w:rsid w:val="00640D97"/>
    <w:rsid w:val="006413DF"/>
    <w:rsid w:val="00641600"/>
    <w:rsid w:val="00642FFE"/>
    <w:rsid w:val="00643DA9"/>
    <w:rsid w:val="006456F9"/>
    <w:rsid w:val="00645A0A"/>
    <w:rsid w:val="00645B36"/>
    <w:rsid w:val="00646194"/>
    <w:rsid w:val="00647208"/>
    <w:rsid w:val="006479FE"/>
    <w:rsid w:val="00647A67"/>
    <w:rsid w:val="00650294"/>
    <w:rsid w:val="00650A6D"/>
    <w:rsid w:val="00651B14"/>
    <w:rsid w:val="0065345F"/>
    <w:rsid w:val="006537AE"/>
    <w:rsid w:val="00654530"/>
    <w:rsid w:val="00654D22"/>
    <w:rsid w:val="00654FA2"/>
    <w:rsid w:val="00655029"/>
    <w:rsid w:val="00655EB2"/>
    <w:rsid w:val="006571B4"/>
    <w:rsid w:val="006571FE"/>
    <w:rsid w:val="00657D5C"/>
    <w:rsid w:val="006600BA"/>
    <w:rsid w:val="00660136"/>
    <w:rsid w:val="00660373"/>
    <w:rsid w:val="00660697"/>
    <w:rsid w:val="006615DA"/>
    <w:rsid w:val="00661D10"/>
    <w:rsid w:val="00662555"/>
    <w:rsid w:val="006628CC"/>
    <w:rsid w:val="0066315E"/>
    <w:rsid w:val="00663185"/>
    <w:rsid w:val="00663331"/>
    <w:rsid w:val="0066350F"/>
    <w:rsid w:val="00664353"/>
    <w:rsid w:val="00665CA7"/>
    <w:rsid w:val="00665D7A"/>
    <w:rsid w:val="00665F05"/>
    <w:rsid w:val="00665F2B"/>
    <w:rsid w:val="00666F4A"/>
    <w:rsid w:val="00667D9C"/>
    <w:rsid w:val="00667DAA"/>
    <w:rsid w:val="00670D5F"/>
    <w:rsid w:val="00672445"/>
    <w:rsid w:val="0067393D"/>
    <w:rsid w:val="00674D8A"/>
    <w:rsid w:val="00675C36"/>
    <w:rsid w:val="006779B7"/>
    <w:rsid w:val="00677CE8"/>
    <w:rsid w:val="006810D0"/>
    <w:rsid w:val="006818FE"/>
    <w:rsid w:val="00681BF0"/>
    <w:rsid w:val="00682111"/>
    <w:rsid w:val="00683D53"/>
    <w:rsid w:val="006843E3"/>
    <w:rsid w:val="00685896"/>
    <w:rsid w:val="00686A0B"/>
    <w:rsid w:val="00687A70"/>
    <w:rsid w:val="00690985"/>
    <w:rsid w:val="00690ADA"/>
    <w:rsid w:val="00690B5A"/>
    <w:rsid w:val="006931D1"/>
    <w:rsid w:val="00693DE0"/>
    <w:rsid w:val="00694F72"/>
    <w:rsid w:val="0069523F"/>
    <w:rsid w:val="00695356"/>
    <w:rsid w:val="0069588F"/>
    <w:rsid w:val="00695E12"/>
    <w:rsid w:val="00696510"/>
    <w:rsid w:val="006971DF"/>
    <w:rsid w:val="0069724A"/>
    <w:rsid w:val="00697E45"/>
    <w:rsid w:val="006A24CE"/>
    <w:rsid w:val="006A2B81"/>
    <w:rsid w:val="006A3FCF"/>
    <w:rsid w:val="006A4AC3"/>
    <w:rsid w:val="006A57CF"/>
    <w:rsid w:val="006A655F"/>
    <w:rsid w:val="006A70C4"/>
    <w:rsid w:val="006A7648"/>
    <w:rsid w:val="006B02FF"/>
    <w:rsid w:val="006B09BA"/>
    <w:rsid w:val="006B1454"/>
    <w:rsid w:val="006B162C"/>
    <w:rsid w:val="006B203F"/>
    <w:rsid w:val="006B26B5"/>
    <w:rsid w:val="006B289E"/>
    <w:rsid w:val="006B2CA7"/>
    <w:rsid w:val="006B3AAE"/>
    <w:rsid w:val="006B46F6"/>
    <w:rsid w:val="006B4C26"/>
    <w:rsid w:val="006B5448"/>
    <w:rsid w:val="006B5546"/>
    <w:rsid w:val="006B5985"/>
    <w:rsid w:val="006B777B"/>
    <w:rsid w:val="006B788D"/>
    <w:rsid w:val="006B7965"/>
    <w:rsid w:val="006B7A47"/>
    <w:rsid w:val="006C0523"/>
    <w:rsid w:val="006C09F3"/>
    <w:rsid w:val="006C1E24"/>
    <w:rsid w:val="006C2910"/>
    <w:rsid w:val="006C32AC"/>
    <w:rsid w:val="006C4163"/>
    <w:rsid w:val="006C43B6"/>
    <w:rsid w:val="006C4638"/>
    <w:rsid w:val="006C5116"/>
    <w:rsid w:val="006C520E"/>
    <w:rsid w:val="006C537F"/>
    <w:rsid w:val="006C63C6"/>
    <w:rsid w:val="006C780E"/>
    <w:rsid w:val="006C7936"/>
    <w:rsid w:val="006C7E98"/>
    <w:rsid w:val="006D0192"/>
    <w:rsid w:val="006D2131"/>
    <w:rsid w:val="006D24DC"/>
    <w:rsid w:val="006D28C8"/>
    <w:rsid w:val="006D2F4D"/>
    <w:rsid w:val="006D3124"/>
    <w:rsid w:val="006D3A72"/>
    <w:rsid w:val="006D3C80"/>
    <w:rsid w:val="006D4057"/>
    <w:rsid w:val="006D558E"/>
    <w:rsid w:val="006D573E"/>
    <w:rsid w:val="006D6B1D"/>
    <w:rsid w:val="006D6F39"/>
    <w:rsid w:val="006D74CD"/>
    <w:rsid w:val="006D784B"/>
    <w:rsid w:val="006E1A84"/>
    <w:rsid w:val="006E21FE"/>
    <w:rsid w:val="006E23E4"/>
    <w:rsid w:val="006E2BA5"/>
    <w:rsid w:val="006E2EDF"/>
    <w:rsid w:val="006E3E3A"/>
    <w:rsid w:val="006E55E0"/>
    <w:rsid w:val="006E631A"/>
    <w:rsid w:val="006E72D4"/>
    <w:rsid w:val="006E79F5"/>
    <w:rsid w:val="006F1192"/>
    <w:rsid w:val="006F15CF"/>
    <w:rsid w:val="006F17DD"/>
    <w:rsid w:val="006F3031"/>
    <w:rsid w:val="006F37BF"/>
    <w:rsid w:val="006F5389"/>
    <w:rsid w:val="006F5A8F"/>
    <w:rsid w:val="006F616C"/>
    <w:rsid w:val="006F61B5"/>
    <w:rsid w:val="006F61B7"/>
    <w:rsid w:val="0070044E"/>
    <w:rsid w:val="00701C43"/>
    <w:rsid w:val="00702197"/>
    <w:rsid w:val="00702359"/>
    <w:rsid w:val="00702EDE"/>
    <w:rsid w:val="007033CE"/>
    <w:rsid w:val="00703401"/>
    <w:rsid w:val="007042F2"/>
    <w:rsid w:val="0070470C"/>
    <w:rsid w:val="00704943"/>
    <w:rsid w:val="00704B83"/>
    <w:rsid w:val="0070502E"/>
    <w:rsid w:val="00705B9C"/>
    <w:rsid w:val="00705BA3"/>
    <w:rsid w:val="007064C0"/>
    <w:rsid w:val="0070720D"/>
    <w:rsid w:val="00707421"/>
    <w:rsid w:val="007074E9"/>
    <w:rsid w:val="00707E83"/>
    <w:rsid w:val="00707E87"/>
    <w:rsid w:val="00710543"/>
    <w:rsid w:val="00711372"/>
    <w:rsid w:val="00711801"/>
    <w:rsid w:val="00711CAB"/>
    <w:rsid w:val="00712484"/>
    <w:rsid w:val="00714648"/>
    <w:rsid w:val="00715A89"/>
    <w:rsid w:val="00716D3D"/>
    <w:rsid w:val="00716DA0"/>
    <w:rsid w:val="007173A3"/>
    <w:rsid w:val="0071784A"/>
    <w:rsid w:val="0071785E"/>
    <w:rsid w:val="00720ABC"/>
    <w:rsid w:val="00720B10"/>
    <w:rsid w:val="0072139A"/>
    <w:rsid w:val="00721919"/>
    <w:rsid w:val="00721B16"/>
    <w:rsid w:val="0072255C"/>
    <w:rsid w:val="00722A2B"/>
    <w:rsid w:val="00723842"/>
    <w:rsid w:val="007240BC"/>
    <w:rsid w:val="007241D0"/>
    <w:rsid w:val="00724E12"/>
    <w:rsid w:val="00724ED0"/>
    <w:rsid w:val="0072682C"/>
    <w:rsid w:val="00726A5A"/>
    <w:rsid w:val="0073076B"/>
    <w:rsid w:val="00730ACA"/>
    <w:rsid w:val="00730BB3"/>
    <w:rsid w:val="00730BE7"/>
    <w:rsid w:val="0073184E"/>
    <w:rsid w:val="00733B3E"/>
    <w:rsid w:val="00734148"/>
    <w:rsid w:val="00734181"/>
    <w:rsid w:val="00734D04"/>
    <w:rsid w:val="00735154"/>
    <w:rsid w:val="00735E57"/>
    <w:rsid w:val="007362E0"/>
    <w:rsid w:val="00736843"/>
    <w:rsid w:val="00736BB6"/>
    <w:rsid w:val="00737D41"/>
    <w:rsid w:val="00737D66"/>
    <w:rsid w:val="00737E3C"/>
    <w:rsid w:val="0074041C"/>
    <w:rsid w:val="00740B60"/>
    <w:rsid w:val="00740D98"/>
    <w:rsid w:val="007411C7"/>
    <w:rsid w:val="00741848"/>
    <w:rsid w:val="007419E8"/>
    <w:rsid w:val="007424C7"/>
    <w:rsid w:val="007425F9"/>
    <w:rsid w:val="00742C79"/>
    <w:rsid w:val="0074307C"/>
    <w:rsid w:val="0074394A"/>
    <w:rsid w:val="00743E44"/>
    <w:rsid w:val="007449F0"/>
    <w:rsid w:val="007463F2"/>
    <w:rsid w:val="00746DD3"/>
    <w:rsid w:val="007471DB"/>
    <w:rsid w:val="00747F58"/>
    <w:rsid w:val="00750BB2"/>
    <w:rsid w:val="00751293"/>
    <w:rsid w:val="00751C4A"/>
    <w:rsid w:val="00752870"/>
    <w:rsid w:val="00752FB5"/>
    <w:rsid w:val="00754790"/>
    <w:rsid w:val="00754834"/>
    <w:rsid w:val="007551BC"/>
    <w:rsid w:val="007563B5"/>
    <w:rsid w:val="007566F7"/>
    <w:rsid w:val="00756924"/>
    <w:rsid w:val="00756AB7"/>
    <w:rsid w:val="00756B81"/>
    <w:rsid w:val="00756D7B"/>
    <w:rsid w:val="0075764F"/>
    <w:rsid w:val="00757BC9"/>
    <w:rsid w:val="007601AB"/>
    <w:rsid w:val="007608D6"/>
    <w:rsid w:val="007612C9"/>
    <w:rsid w:val="00761CF5"/>
    <w:rsid w:val="007629CC"/>
    <w:rsid w:val="00763BEB"/>
    <w:rsid w:val="00764E8A"/>
    <w:rsid w:val="0076563B"/>
    <w:rsid w:val="0076736B"/>
    <w:rsid w:val="007679B7"/>
    <w:rsid w:val="00770261"/>
    <w:rsid w:val="0077204A"/>
    <w:rsid w:val="00772EAB"/>
    <w:rsid w:val="00772FE5"/>
    <w:rsid w:val="00773635"/>
    <w:rsid w:val="007749AD"/>
    <w:rsid w:val="00776E2C"/>
    <w:rsid w:val="007773C9"/>
    <w:rsid w:val="00780488"/>
    <w:rsid w:val="007813E1"/>
    <w:rsid w:val="00782A83"/>
    <w:rsid w:val="00783479"/>
    <w:rsid w:val="00783B7A"/>
    <w:rsid w:val="00783BC7"/>
    <w:rsid w:val="007861AD"/>
    <w:rsid w:val="00786652"/>
    <w:rsid w:val="007926EE"/>
    <w:rsid w:val="00792EC0"/>
    <w:rsid w:val="00795930"/>
    <w:rsid w:val="007959D2"/>
    <w:rsid w:val="00796A71"/>
    <w:rsid w:val="007A00E3"/>
    <w:rsid w:val="007A093A"/>
    <w:rsid w:val="007A0BC6"/>
    <w:rsid w:val="007A124A"/>
    <w:rsid w:val="007A172E"/>
    <w:rsid w:val="007A1D49"/>
    <w:rsid w:val="007A2629"/>
    <w:rsid w:val="007A3CBD"/>
    <w:rsid w:val="007A3EE1"/>
    <w:rsid w:val="007A550F"/>
    <w:rsid w:val="007A5FCE"/>
    <w:rsid w:val="007A6AC3"/>
    <w:rsid w:val="007A6BAF"/>
    <w:rsid w:val="007B00FD"/>
    <w:rsid w:val="007B0181"/>
    <w:rsid w:val="007B0DF0"/>
    <w:rsid w:val="007B10EB"/>
    <w:rsid w:val="007B137C"/>
    <w:rsid w:val="007B2A61"/>
    <w:rsid w:val="007B364E"/>
    <w:rsid w:val="007B4543"/>
    <w:rsid w:val="007B474F"/>
    <w:rsid w:val="007B48C0"/>
    <w:rsid w:val="007B5208"/>
    <w:rsid w:val="007B5796"/>
    <w:rsid w:val="007B5E1C"/>
    <w:rsid w:val="007B671F"/>
    <w:rsid w:val="007B775C"/>
    <w:rsid w:val="007C03B7"/>
    <w:rsid w:val="007C0FDE"/>
    <w:rsid w:val="007C189A"/>
    <w:rsid w:val="007C1AFE"/>
    <w:rsid w:val="007C2126"/>
    <w:rsid w:val="007C26DC"/>
    <w:rsid w:val="007C2AD4"/>
    <w:rsid w:val="007C3402"/>
    <w:rsid w:val="007C41E5"/>
    <w:rsid w:val="007C436B"/>
    <w:rsid w:val="007C445F"/>
    <w:rsid w:val="007C48B3"/>
    <w:rsid w:val="007C4956"/>
    <w:rsid w:val="007C6CBE"/>
    <w:rsid w:val="007C6F52"/>
    <w:rsid w:val="007C7B7C"/>
    <w:rsid w:val="007D03CA"/>
    <w:rsid w:val="007D07FC"/>
    <w:rsid w:val="007D118F"/>
    <w:rsid w:val="007D45DE"/>
    <w:rsid w:val="007D5404"/>
    <w:rsid w:val="007D6233"/>
    <w:rsid w:val="007D62DE"/>
    <w:rsid w:val="007D6922"/>
    <w:rsid w:val="007D6C6F"/>
    <w:rsid w:val="007E017B"/>
    <w:rsid w:val="007E2388"/>
    <w:rsid w:val="007E25C5"/>
    <w:rsid w:val="007E2DF7"/>
    <w:rsid w:val="007E3048"/>
    <w:rsid w:val="007E399D"/>
    <w:rsid w:val="007E404D"/>
    <w:rsid w:val="007E4416"/>
    <w:rsid w:val="007E5C4D"/>
    <w:rsid w:val="007E5EAC"/>
    <w:rsid w:val="007F0594"/>
    <w:rsid w:val="007F1B62"/>
    <w:rsid w:val="007F1D5F"/>
    <w:rsid w:val="007F286D"/>
    <w:rsid w:val="007F5C67"/>
    <w:rsid w:val="007F62F4"/>
    <w:rsid w:val="007F6A73"/>
    <w:rsid w:val="007F7459"/>
    <w:rsid w:val="007F7751"/>
    <w:rsid w:val="007F7805"/>
    <w:rsid w:val="007F78AF"/>
    <w:rsid w:val="008012B7"/>
    <w:rsid w:val="00802E6E"/>
    <w:rsid w:val="008044B2"/>
    <w:rsid w:val="008044CA"/>
    <w:rsid w:val="008045F8"/>
    <w:rsid w:val="00804BC7"/>
    <w:rsid w:val="008055A2"/>
    <w:rsid w:val="00805D09"/>
    <w:rsid w:val="0080705D"/>
    <w:rsid w:val="00807231"/>
    <w:rsid w:val="00807958"/>
    <w:rsid w:val="008113D7"/>
    <w:rsid w:val="00812C56"/>
    <w:rsid w:val="0081363B"/>
    <w:rsid w:val="008141E7"/>
    <w:rsid w:val="0081466A"/>
    <w:rsid w:val="00815168"/>
    <w:rsid w:val="00815567"/>
    <w:rsid w:val="00815671"/>
    <w:rsid w:val="008165E9"/>
    <w:rsid w:val="00816630"/>
    <w:rsid w:val="0081674A"/>
    <w:rsid w:val="00816750"/>
    <w:rsid w:val="008168BD"/>
    <w:rsid w:val="00820A16"/>
    <w:rsid w:val="0082132A"/>
    <w:rsid w:val="0082217F"/>
    <w:rsid w:val="00822A20"/>
    <w:rsid w:val="00822AF3"/>
    <w:rsid w:val="00822D9D"/>
    <w:rsid w:val="00824291"/>
    <w:rsid w:val="00824A02"/>
    <w:rsid w:val="00824DF5"/>
    <w:rsid w:val="0082547F"/>
    <w:rsid w:val="00825CE1"/>
    <w:rsid w:val="00826C00"/>
    <w:rsid w:val="00826DC6"/>
    <w:rsid w:val="008274FC"/>
    <w:rsid w:val="00830C5B"/>
    <w:rsid w:val="00832109"/>
    <w:rsid w:val="00832789"/>
    <w:rsid w:val="0083281A"/>
    <w:rsid w:val="0083301D"/>
    <w:rsid w:val="008331F1"/>
    <w:rsid w:val="00833C0B"/>
    <w:rsid w:val="00833C6A"/>
    <w:rsid w:val="00834C2C"/>
    <w:rsid w:val="00835663"/>
    <w:rsid w:val="00835E1E"/>
    <w:rsid w:val="00835F7B"/>
    <w:rsid w:val="008365B2"/>
    <w:rsid w:val="0083699C"/>
    <w:rsid w:val="00836EE1"/>
    <w:rsid w:val="00837AC6"/>
    <w:rsid w:val="008404A9"/>
    <w:rsid w:val="00842841"/>
    <w:rsid w:val="0084526E"/>
    <w:rsid w:val="0084733A"/>
    <w:rsid w:val="0084787F"/>
    <w:rsid w:val="00847DE1"/>
    <w:rsid w:val="0085060F"/>
    <w:rsid w:val="0085226D"/>
    <w:rsid w:val="00852879"/>
    <w:rsid w:val="008545A9"/>
    <w:rsid w:val="00855048"/>
    <w:rsid w:val="008550EF"/>
    <w:rsid w:val="008553AF"/>
    <w:rsid w:val="00855B38"/>
    <w:rsid w:val="00856359"/>
    <w:rsid w:val="008564F7"/>
    <w:rsid w:val="00857126"/>
    <w:rsid w:val="00860805"/>
    <w:rsid w:val="00860CA9"/>
    <w:rsid w:val="00860E0C"/>
    <w:rsid w:val="008611BD"/>
    <w:rsid w:val="0086232B"/>
    <w:rsid w:val="00862827"/>
    <w:rsid w:val="00862904"/>
    <w:rsid w:val="00862DB6"/>
    <w:rsid w:val="00863E78"/>
    <w:rsid w:val="008643DC"/>
    <w:rsid w:val="00865A79"/>
    <w:rsid w:val="00866493"/>
    <w:rsid w:val="008664FF"/>
    <w:rsid w:val="00867C41"/>
    <w:rsid w:val="008714B5"/>
    <w:rsid w:val="00871888"/>
    <w:rsid w:val="00872B14"/>
    <w:rsid w:val="00872DC8"/>
    <w:rsid w:val="008739EA"/>
    <w:rsid w:val="00876378"/>
    <w:rsid w:val="00876862"/>
    <w:rsid w:val="00876B44"/>
    <w:rsid w:val="00880960"/>
    <w:rsid w:val="00880C56"/>
    <w:rsid w:val="00880F3C"/>
    <w:rsid w:val="00881855"/>
    <w:rsid w:val="008826A7"/>
    <w:rsid w:val="008826D2"/>
    <w:rsid w:val="00882995"/>
    <w:rsid w:val="00882B21"/>
    <w:rsid w:val="00882E2F"/>
    <w:rsid w:val="00882FA9"/>
    <w:rsid w:val="00883B86"/>
    <w:rsid w:val="00883F40"/>
    <w:rsid w:val="008842A2"/>
    <w:rsid w:val="008850EE"/>
    <w:rsid w:val="008851B7"/>
    <w:rsid w:val="0088558A"/>
    <w:rsid w:val="00886029"/>
    <w:rsid w:val="00886091"/>
    <w:rsid w:val="00886D59"/>
    <w:rsid w:val="0088746E"/>
    <w:rsid w:val="008874BC"/>
    <w:rsid w:val="008901E5"/>
    <w:rsid w:val="00890B10"/>
    <w:rsid w:val="00890B64"/>
    <w:rsid w:val="00891142"/>
    <w:rsid w:val="00891873"/>
    <w:rsid w:val="00893158"/>
    <w:rsid w:val="008956EB"/>
    <w:rsid w:val="008962D4"/>
    <w:rsid w:val="0089647C"/>
    <w:rsid w:val="00897AC4"/>
    <w:rsid w:val="00897FF4"/>
    <w:rsid w:val="008A0615"/>
    <w:rsid w:val="008A063B"/>
    <w:rsid w:val="008A0738"/>
    <w:rsid w:val="008A1687"/>
    <w:rsid w:val="008A1999"/>
    <w:rsid w:val="008A20B8"/>
    <w:rsid w:val="008A35BD"/>
    <w:rsid w:val="008A3F0E"/>
    <w:rsid w:val="008A3F4F"/>
    <w:rsid w:val="008A3F8B"/>
    <w:rsid w:val="008A42D2"/>
    <w:rsid w:val="008A4977"/>
    <w:rsid w:val="008A55C3"/>
    <w:rsid w:val="008A57E4"/>
    <w:rsid w:val="008A7C2F"/>
    <w:rsid w:val="008B0073"/>
    <w:rsid w:val="008B0836"/>
    <w:rsid w:val="008B1913"/>
    <w:rsid w:val="008B1BBD"/>
    <w:rsid w:val="008B3664"/>
    <w:rsid w:val="008B3D68"/>
    <w:rsid w:val="008B50F2"/>
    <w:rsid w:val="008B60F3"/>
    <w:rsid w:val="008B66AD"/>
    <w:rsid w:val="008B66DE"/>
    <w:rsid w:val="008B6D0B"/>
    <w:rsid w:val="008C048C"/>
    <w:rsid w:val="008C094D"/>
    <w:rsid w:val="008C1648"/>
    <w:rsid w:val="008C339E"/>
    <w:rsid w:val="008C4C97"/>
    <w:rsid w:val="008C504D"/>
    <w:rsid w:val="008C55CF"/>
    <w:rsid w:val="008C615D"/>
    <w:rsid w:val="008C6CD0"/>
    <w:rsid w:val="008D1C0E"/>
    <w:rsid w:val="008D1ED4"/>
    <w:rsid w:val="008D23F9"/>
    <w:rsid w:val="008D2AE6"/>
    <w:rsid w:val="008D343D"/>
    <w:rsid w:val="008D385A"/>
    <w:rsid w:val="008D38A0"/>
    <w:rsid w:val="008D45C6"/>
    <w:rsid w:val="008D47D6"/>
    <w:rsid w:val="008D6F55"/>
    <w:rsid w:val="008D7ABC"/>
    <w:rsid w:val="008E027B"/>
    <w:rsid w:val="008E041D"/>
    <w:rsid w:val="008E0602"/>
    <w:rsid w:val="008E08EB"/>
    <w:rsid w:val="008E0B21"/>
    <w:rsid w:val="008E1197"/>
    <w:rsid w:val="008E22E7"/>
    <w:rsid w:val="008E289E"/>
    <w:rsid w:val="008E2C79"/>
    <w:rsid w:val="008E3A11"/>
    <w:rsid w:val="008E43F9"/>
    <w:rsid w:val="008E50B1"/>
    <w:rsid w:val="008E61D7"/>
    <w:rsid w:val="008E73FD"/>
    <w:rsid w:val="008F01E4"/>
    <w:rsid w:val="008F0A58"/>
    <w:rsid w:val="008F1456"/>
    <w:rsid w:val="008F18AB"/>
    <w:rsid w:val="008F305C"/>
    <w:rsid w:val="008F326E"/>
    <w:rsid w:val="008F389B"/>
    <w:rsid w:val="008F515B"/>
    <w:rsid w:val="008F5DBF"/>
    <w:rsid w:val="008F7111"/>
    <w:rsid w:val="008F7A4E"/>
    <w:rsid w:val="00902731"/>
    <w:rsid w:val="009028AB"/>
    <w:rsid w:val="009030EB"/>
    <w:rsid w:val="00903BF9"/>
    <w:rsid w:val="00904637"/>
    <w:rsid w:val="009048E2"/>
    <w:rsid w:val="0090602C"/>
    <w:rsid w:val="00907D09"/>
    <w:rsid w:val="00907FA7"/>
    <w:rsid w:val="009105EF"/>
    <w:rsid w:val="00911D27"/>
    <w:rsid w:val="009128CF"/>
    <w:rsid w:val="00912BC8"/>
    <w:rsid w:val="009138E5"/>
    <w:rsid w:val="0091613B"/>
    <w:rsid w:val="009171DE"/>
    <w:rsid w:val="0091732D"/>
    <w:rsid w:val="0091733C"/>
    <w:rsid w:val="0091785E"/>
    <w:rsid w:val="00917B11"/>
    <w:rsid w:val="00917B5B"/>
    <w:rsid w:val="00920CA1"/>
    <w:rsid w:val="00920D57"/>
    <w:rsid w:val="00921513"/>
    <w:rsid w:val="00921679"/>
    <w:rsid w:val="00922A10"/>
    <w:rsid w:val="00922C1B"/>
    <w:rsid w:val="009239CA"/>
    <w:rsid w:val="0092445B"/>
    <w:rsid w:val="00924976"/>
    <w:rsid w:val="00924FCF"/>
    <w:rsid w:val="00926D77"/>
    <w:rsid w:val="009278EB"/>
    <w:rsid w:val="0093033C"/>
    <w:rsid w:val="00930FB1"/>
    <w:rsid w:val="00931440"/>
    <w:rsid w:val="009315A7"/>
    <w:rsid w:val="00931F7E"/>
    <w:rsid w:val="00932064"/>
    <w:rsid w:val="0093269D"/>
    <w:rsid w:val="009329F5"/>
    <w:rsid w:val="00932F1E"/>
    <w:rsid w:val="009330EB"/>
    <w:rsid w:val="009333F0"/>
    <w:rsid w:val="009334EF"/>
    <w:rsid w:val="009340B4"/>
    <w:rsid w:val="00934502"/>
    <w:rsid w:val="00934750"/>
    <w:rsid w:val="00934891"/>
    <w:rsid w:val="00935547"/>
    <w:rsid w:val="00936475"/>
    <w:rsid w:val="00936485"/>
    <w:rsid w:val="0093759E"/>
    <w:rsid w:val="00940C69"/>
    <w:rsid w:val="009415A1"/>
    <w:rsid w:val="00941663"/>
    <w:rsid w:val="00941D28"/>
    <w:rsid w:val="00941F25"/>
    <w:rsid w:val="00942A65"/>
    <w:rsid w:val="00942BA1"/>
    <w:rsid w:val="00943684"/>
    <w:rsid w:val="009437D9"/>
    <w:rsid w:val="009461A0"/>
    <w:rsid w:val="0094698E"/>
    <w:rsid w:val="00946CCC"/>
    <w:rsid w:val="0094781E"/>
    <w:rsid w:val="009505F8"/>
    <w:rsid w:val="00951590"/>
    <w:rsid w:val="00951F1A"/>
    <w:rsid w:val="00952769"/>
    <w:rsid w:val="00952CC6"/>
    <w:rsid w:val="00952E26"/>
    <w:rsid w:val="00953791"/>
    <w:rsid w:val="00953BD2"/>
    <w:rsid w:val="0095457D"/>
    <w:rsid w:val="00954985"/>
    <w:rsid w:val="00955140"/>
    <w:rsid w:val="0095558F"/>
    <w:rsid w:val="009556A8"/>
    <w:rsid w:val="00957470"/>
    <w:rsid w:val="009579A1"/>
    <w:rsid w:val="00957C1D"/>
    <w:rsid w:val="00960694"/>
    <w:rsid w:val="009606AE"/>
    <w:rsid w:val="0096202A"/>
    <w:rsid w:val="00962229"/>
    <w:rsid w:val="009622D8"/>
    <w:rsid w:val="009634A3"/>
    <w:rsid w:val="00963690"/>
    <w:rsid w:val="00963AEE"/>
    <w:rsid w:val="00964482"/>
    <w:rsid w:val="00964675"/>
    <w:rsid w:val="009648D8"/>
    <w:rsid w:val="0096493D"/>
    <w:rsid w:val="009661FD"/>
    <w:rsid w:val="00966A9E"/>
    <w:rsid w:val="00966E20"/>
    <w:rsid w:val="00967A65"/>
    <w:rsid w:val="00967BD1"/>
    <w:rsid w:val="00970098"/>
    <w:rsid w:val="009703C8"/>
    <w:rsid w:val="0097082D"/>
    <w:rsid w:val="009720ED"/>
    <w:rsid w:val="0097280C"/>
    <w:rsid w:val="009736CC"/>
    <w:rsid w:val="0097420F"/>
    <w:rsid w:val="0097535C"/>
    <w:rsid w:val="00975A1C"/>
    <w:rsid w:val="00975D67"/>
    <w:rsid w:val="00976397"/>
    <w:rsid w:val="00976994"/>
    <w:rsid w:val="00976F6F"/>
    <w:rsid w:val="00977BCA"/>
    <w:rsid w:val="00980004"/>
    <w:rsid w:val="00980486"/>
    <w:rsid w:val="00980B44"/>
    <w:rsid w:val="00980D8C"/>
    <w:rsid w:val="00980DA0"/>
    <w:rsid w:val="009812D2"/>
    <w:rsid w:val="0098146C"/>
    <w:rsid w:val="009814BD"/>
    <w:rsid w:val="00983391"/>
    <w:rsid w:val="009834A7"/>
    <w:rsid w:val="009836CA"/>
    <w:rsid w:val="009847B3"/>
    <w:rsid w:val="00985D46"/>
    <w:rsid w:val="009868ED"/>
    <w:rsid w:val="00987611"/>
    <w:rsid w:val="00987FFD"/>
    <w:rsid w:val="009909E6"/>
    <w:rsid w:val="00991693"/>
    <w:rsid w:val="00991A10"/>
    <w:rsid w:val="00991B82"/>
    <w:rsid w:val="00991F40"/>
    <w:rsid w:val="00992E7F"/>
    <w:rsid w:val="009934AE"/>
    <w:rsid w:val="00994030"/>
    <w:rsid w:val="00995FF4"/>
    <w:rsid w:val="009960EB"/>
    <w:rsid w:val="009960FE"/>
    <w:rsid w:val="0099723A"/>
    <w:rsid w:val="00997447"/>
    <w:rsid w:val="009974EA"/>
    <w:rsid w:val="009975DB"/>
    <w:rsid w:val="009A08B1"/>
    <w:rsid w:val="009A09A3"/>
    <w:rsid w:val="009A0CF0"/>
    <w:rsid w:val="009A1230"/>
    <w:rsid w:val="009A1679"/>
    <w:rsid w:val="009A16BC"/>
    <w:rsid w:val="009A1B09"/>
    <w:rsid w:val="009A2662"/>
    <w:rsid w:val="009A3342"/>
    <w:rsid w:val="009A4D6D"/>
    <w:rsid w:val="009A4E77"/>
    <w:rsid w:val="009A65FD"/>
    <w:rsid w:val="009A760A"/>
    <w:rsid w:val="009B0C91"/>
    <w:rsid w:val="009B1C33"/>
    <w:rsid w:val="009B3265"/>
    <w:rsid w:val="009B40EA"/>
    <w:rsid w:val="009B459E"/>
    <w:rsid w:val="009B593A"/>
    <w:rsid w:val="009B750A"/>
    <w:rsid w:val="009B7608"/>
    <w:rsid w:val="009C03BE"/>
    <w:rsid w:val="009C082D"/>
    <w:rsid w:val="009C09FD"/>
    <w:rsid w:val="009C1EC5"/>
    <w:rsid w:val="009C44E5"/>
    <w:rsid w:val="009C6A71"/>
    <w:rsid w:val="009C71DD"/>
    <w:rsid w:val="009C79F9"/>
    <w:rsid w:val="009C7F7F"/>
    <w:rsid w:val="009D03FE"/>
    <w:rsid w:val="009D2822"/>
    <w:rsid w:val="009D2E4C"/>
    <w:rsid w:val="009D34D1"/>
    <w:rsid w:val="009D4AAF"/>
    <w:rsid w:val="009D4BB8"/>
    <w:rsid w:val="009D4FD2"/>
    <w:rsid w:val="009D519F"/>
    <w:rsid w:val="009D7ECB"/>
    <w:rsid w:val="009E00B5"/>
    <w:rsid w:val="009E03E4"/>
    <w:rsid w:val="009E07F5"/>
    <w:rsid w:val="009E1CA7"/>
    <w:rsid w:val="009E2D5F"/>
    <w:rsid w:val="009E381E"/>
    <w:rsid w:val="009E3F38"/>
    <w:rsid w:val="009E51D6"/>
    <w:rsid w:val="009E5E1D"/>
    <w:rsid w:val="009E5FE7"/>
    <w:rsid w:val="009E79E4"/>
    <w:rsid w:val="009F033A"/>
    <w:rsid w:val="009F0775"/>
    <w:rsid w:val="009F1B41"/>
    <w:rsid w:val="009F1F24"/>
    <w:rsid w:val="009F20B4"/>
    <w:rsid w:val="009F2576"/>
    <w:rsid w:val="009F2E79"/>
    <w:rsid w:val="009F33C4"/>
    <w:rsid w:val="009F376A"/>
    <w:rsid w:val="009F3A1E"/>
    <w:rsid w:val="009F3C01"/>
    <w:rsid w:val="009F47E8"/>
    <w:rsid w:val="009F4A7B"/>
    <w:rsid w:val="009F4C95"/>
    <w:rsid w:val="009F6BC5"/>
    <w:rsid w:val="009F72C7"/>
    <w:rsid w:val="009F760C"/>
    <w:rsid w:val="009F78DE"/>
    <w:rsid w:val="00A00512"/>
    <w:rsid w:val="00A03803"/>
    <w:rsid w:val="00A03EEA"/>
    <w:rsid w:val="00A042CA"/>
    <w:rsid w:val="00A04AE9"/>
    <w:rsid w:val="00A05002"/>
    <w:rsid w:val="00A050BD"/>
    <w:rsid w:val="00A054FB"/>
    <w:rsid w:val="00A05DF7"/>
    <w:rsid w:val="00A06425"/>
    <w:rsid w:val="00A07B0C"/>
    <w:rsid w:val="00A07CB3"/>
    <w:rsid w:val="00A10616"/>
    <w:rsid w:val="00A12032"/>
    <w:rsid w:val="00A1208D"/>
    <w:rsid w:val="00A120C0"/>
    <w:rsid w:val="00A12423"/>
    <w:rsid w:val="00A12A04"/>
    <w:rsid w:val="00A12AE2"/>
    <w:rsid w:val="00A12FBB"/>
    <w:rsid w:val="00A13332"/>
    <w:rsid w:val="00A1338D"/>
    <w:rsid w:val="00A13826"/>
    <w:rsid w:val="00A13A64"/>
    <w:rsid w:val="00A148D0"/>
    <w:rsid w:val="00A14C4D"/>
    <w:rsid w:val="00A14CB1"/>
    <w:rsid w:val="00A14D7C"/>
    <w:rsid w:val="00A14F3C"/>
    <w:rsid w:val="00A154F5"/>
    <w:rsid w:val="00A15F23"/>
    <w:rsid w:val="00A17598"/>
    <w:rsid w:val="00A208F4"/>
    <w:rsid w:val="00A20A52"/>
    <w:rsid w:val="00A218E0"/>
    <w:rsid w:val="00A2232A"/>
    <w:rsid w:val="00A22FBF"/>
    <w:rsid w:val="00A23099"/>
    <w:rsid w:val="00A23904"/>
    <w:rsid w:val="00A24787"/>
    <w:rsid w:val="00A249FD"/>
    <w:rsid w:val="00A24E2F"/>
    <w:rsid w:val="00A25C1C"/>
    <w:rsid w:val="00A26AF9"/>
    <w:rsid w:val="00A26C1D"/>
    <w:rsid w:val="00A26D5C"/>
    <w:rsid w:val="00A26EDA"/>
    <w:rsid w:val="00A27B66"/>
    <w:rsid w:val="00A30555"/>
    <w:rsid w:val="00A3072A"/>
    <w:rsid w:val="00A316E9"/>
    <w:rsid w:val="00A32636"/>
    <w:rsid w:val="00A3343C"/>
    <w:rsid w:val="00A34464"/>
    <w:rsid w:val="00A34FB1"/>
    <w:rsid w:val="00A35658"/>
    <w:rsid w:val="00A35C68"/>
    <w:rsid w:val="00A36265"/>
    <w:rsid w:val="00A36AEC"/>
    <w:rsid w:val="00A41354"/>
    <w:rsid w:val="00A41C50"/>
    <w:rsid w:val="00A41DF7"/>
    <w:rsid w:val="00A435A7"/>
    <w:rsid w:val="00A44A7E"/>
    <w:rsid w:val="00A47305"/>
    <w:rsid w:val="00A50019"/>
    <w:rsid w:val="00A504CD"/>
    <w:rsid w:val="00A50580"/>
    <w:rsid w:val="00A524D3"/>
    <w:rsid w:val="00A5271E"/>
    <w:rsid w:val="00A54298"/>
    <w:rsid w:val="00A5448B"/>
    <w:rsid w:val="00A549F1"/>
    <w:rsid w:val="00A54A1A"/>
    <w:rsid w:val="00A54F24"/>
    <w:rsid w:val="00A55170"/>
    <w:rsid w:val="00A552CF"/>
    <w:rsid w:val="00A56475"/>
    <w:rsid w:val="00A60363"/>
    <w:rsid w:val="00A60388"/>
    <w:rsid w:val="00A61D40"/>
    <w:rsid w:val="00A62574"/>
    <w:rsid w:val="00A62695"/>
    <w:rsid w:val="00A6319C"/>
    <w:rsid w:val="00A636BA"/>
    <w:rsid w:val="00A63DD9"/>
    <w:rsid w:val="00A6442D"/>
    <w:rsid w:val="00A64640"/>
    <w:rsid w:val="00A6483F"/>
    <w:rsid w:val="00A65002"/>
    <w:rsid w:val="00A65076"/>
    <w:rsid w:val="00A66105"/>
    <w:rsid w:val="00A664DB"/>
    <w:rsid w:val="00A6763A"/>
    <w:rsid w:val="00A67C50"/>
    <w:rsid w:val="00A70608"/>
    <w:rsid w:val="00A70CB4"/>
    <w:rsid w:val="00A71C05"/>
    <w:rsid w:val="00A72B46"/>
    <w:rsid w:val="00A746B4"/>
    <w:rsid w:val="00A755D2"/>
    <w:rsid w:val="00A759E3"/>
    <w:rsid w:val="00A76240"/>
    <w:rsid w:val="00A76BFC"/>
    <w:rsid w:val="00A772A0"/>
    <w:rsid w:val="00A77322"/>
    <w:rsid w:val="00A77B67"/>
    <w:rsid w:val="00A80A7B"/>
    <w:rsid w:val="00A81B8F"/>
    <w:rsid w:val="00A84E16"/>
    <w:rsid w:val="00A86B56"/>
    <w:rsid w:val="00A877CF"/>
    <w:rsid w:val="00A878CA"/>
    <w:rsid w:val="00A90773"/>
    <w:rsid w:val="00A90F46"/>
    <w:rsid w:val="00A91404"/>
    <w:rsid w:val="00A91BE0"/>
    <w:rsid w:val="00A92412"/>
    <w:rsid w:val="00A93F61"/>
    <w:rsid w:val="00A94BEC"/>
    <w:rsid w:val="00A94D39"/>
    <w:rsid w:val="00A9541A"/>
    <w:rsid w:val="00A95851"/>
    <w:rsid w:val="00A95EE4"/>
    <w:rsid w:val="00A96A6E"/>
    <w:rsid w:val="00A96DB6"/>
    <w:rsid w:val="00A97D7C"/>
    <w:rsid w:val="00AA05DF"/>
    <w:rsid w:val="00AA06B3"/>
    <w:rsid w:val="00AA15D8"/>
    <w:rsid w:val="00AA4370"/>
    <w:rsid w:val="00AA4541"/>
    <w:rsid w:val="00AA4568"/>
    <w:rsid w:val="00AA5036"/>
    <w:rsid w:val="00AA6345"/>
    <w:rsid w:val="00AA63DF"/>
    <w:rsid w:val="00AA7239"/>
    <w:rsid w:val="00AA7825"/>
    <w:rsid w:val="00AA7E9A"/>
    <w:rsid w:val="00AB09EE"/>
    <w:rsid w:val="00AB18F5"/>
    <w:rsid w:val="00AB1A32"/>
    <w:rsid w:val="00AB2238"/>
    <w:rsid w:val="00AB3B42"/>
    <w:rsid w:val="00AB4341"/>
    <w:rsid w:val="00AB49F3"/>
    <w:rsid w:val="00AB5126"/>
    <w:rsid w:val="00AB53D9"/>
    <w:rsid w:val="00AB6642"/>
    <w:rsid w:val="00AB71CD"/>
    <w:rsid w:val="00AC00A2"/>
    <w:rsid w:val="00AC09E8"/>
    <w:rsid w:val="00AC4322"/>
    <w:rsid w:val="00AC4400"/>
    <w:rsid w:val="00AC51DB"/>
    <w:rsid w:val="00AC56AC"/>
    <w:rsid w:val="00AC658E"/>
    <w:rsid w:val="00AC6D97"/>
    <w:rsid w:val="00AC7A84"/>
    <w:rsid w:val="00AC7ADE"/>
    <w:rsid w:val="00AD26F5"/>
    <w:rsid w:val="00AD2A05"/>
    <w:rsid w:val="00AD36CE"/>
    <w:rsid w:val="00AD3A03"/>
    <w:rsid w:val="00AD3F3F"/>
    <w:rsid w:val="00AD41E7"/>
    <w:rsid w:val="00AD471D"/>
    <w:rsid w:val="00AD5C64"/>
    <w:rsid w:val="00AD7478"/>
    <w:rsid w:val="00AD78A7"/>
    <w:rsid w:val="00AD78F0"/>
    <w:rsid w:val="00AE12ED"/>
    <w:rsid w:val="00AE19A3"/>
    <w:rsid w:val="00AE1E72"/>
    <w:rsid w:val="00AE1F0C"/>
    <w:rsid w:val="00AE2492"/>
    <w:rsid w:val="00AE2A25"/>
    <w:rsid w:val="00AE3D87"/>
    <w:rsid w:val="00AE471F"/>
    <w:rsid w:val="00AE4E17"/>
    <w:rsid w:val="00AE5B38"/>
    <w:rsid w:val="00AE6559"/>
    <w:rsid w:val="00AE74E1"/>
    <w:rsid w:val="00AE75B9"/>
    <w:rsid w:val="00AE7600"/>
    <w:rsid w:val="00AF0827"/>
    <w:rsid w:val="00AF0903"/>
    <w:rsid w:val="00AF0E96"/>
    <w:rsid w:val="00AF23A0"/>
    <w:rsid w:val="00AF2697"/>
    <w:rsid w:val="00AF29DF"/>
    <w:rsid w:val="00AF4230"/>
    <w:rsid w:val="00AF42B2"/>
    <w:rsid w:val="00AF4567"/>
    <w:rsid w:val="00AF4B35"/>
    <w:rsid w:val="00AF564E"/>
    <w:rsid w:val="00AF5CF2"/>
    <w:rsid w:val="00AF6884"/>
    <w:rsid w:val="00AF6E9C"/>
    <w:rsid w:val="00AF7DB7"/>
    <w:rsid w:val="00B0094B"/>
    <w:rsid w:val="00B02491"/>
    <w:rsid w:val="00B02683"/>
    <w:rsid w:val="00B038CF"/>
    <w:rsid w:val="00B04013"/>
    <w:rsid w:val="00B057D6"/>
    <w:rsid w:val="00B05AD5"/>
    <w:rsid w:val="00B05FCF"/>
    <w:rsid w:val="00B0673B"/>
    <w:rsid w:val="00B06770"/>
    <w:rsid w:val="00B06AE1"/>
    <w:rsid w:val="00B0732C"/>
    <w:rsid w:val="00B0754F"/>
    <w:rsid w:val="00B07BB7"/>
    <w:rsid w:val="00B10CBF"/>
    <w:rsid w:val="00B11179"/>
    <w:rsid w:val="00B11711"/>
    <w:rsid w:val="00B129C0"/>
    <w:rsid w:val="00B12E0F"/>
    <w:rsid w:val="00B12ECE"/>
    <w:rsid w:val="00B158A7"/>
    <w:rsid w:val="00B16022"/>
    <w:rsid w:val="00B16FD6"/>
    <w:rsid w:val="00B175F8"/>
    <w:rsid w:val="00B17897"/>
    <w:rsid w:val="00B21F25"/>
    <w:rsid w:val="00B22F98"/>
    <w:rsid w:val="00B23110"/>
    <w:rsid w:val="00B2375B"/>
    <w:rsid w:val="00B23EF7"/>
    <w:rsid w:val="00B23FE9"/>
    <w:rsid w:val="00B243DB"/>
    <w:rsid w:val="00B24A30"/>
    <w:rsid w:val="00B24D0E"/>
    <w:rsid w:val="00B26E40"/>
    <w:rsid w:val="00B26F3B"/>
    <w:rsid w:val="00B2751B"/>
    <w:rsid w:val="00B27BE6"/>
    <w:rsid w:val="00B301DA"/>
    <w:rsid w:val="00B3082A"/>
    <w:rsid w:val="00B309CD"/>
    <w:rsid w:val="00B30E88"/>
    <w:rsid w:val="00B32B2C"/>
    <w:rsid w:val="00B32B4B"/>
    <w:rsid w:val="00B346CA"/>
    <w:rsid w:val="00B3617B"/>
    <w:rsid w:val="00B3673E"/>
    <w:rsid w:val="00B36B17"/>
    <w:rsid w:val="00B40916"/>
    <w:rsid w:val="00B40984"/>
    <w:rsid w:val="00B411A7"/>
    <w:rsid w:val="00B42398"/>
    <w:rsid w:val="00B42A70"/>
    <w:rsid w:val="00B44D26"/>
    <w:rsid w:val="00B45AA0"/>
    <w:rsid w:val="00B46885"/>
    <w:rsid w:val="00B47632"/>
    <w:rsid w:val="00B47EBE"/>
    <w:rsid w:val="00B517B3"/>
    <w:rsid w:val="00B517E1"/>
    <w:rsid w:val="00B522E8"/>
    <w:rsid w:val="00B528EF"/>
    <w:rsid w:val="00B52D1A"/>
    <w:rsid w:val="00B539DB"/>
    <w:rsid w:val="00B54C5B"/>
    <w:rsid w:val="00B552CC"/>
    <w:rsid w:val="00B562E9"/>
    <w:rsid w:val="00B60CFF"/>
    <w:rsid w:val="00B6117B"/>
    <w:rsid w:val="00B61417"/>
    <w:rsid w:val="00B6236F"/>
    <w:rsid w:val="00B62FCE"/>
    <w:rsid w:val="00B6317E"/>
    <w:rsid w:val="00B636FC"/>
    <w:rsid w:val="00B641C8"/>
    <w:rsid w:val="00B648C0"/>
    <w:rsid w:val="00B65156"/>
    <w:rsid w:val="00B65DC1"/>
    <w:rsid w:val="00B6672F"/>
    <w:rsid w:val="00B66EC6"/>
    <w:rsid w:val="00B674BE"/>
    <w:rsid w:val="00B67AED"/>
    <w:rsid w:val="00B707BA"/>
    <w:rsid w:val="00B7439A"/>
    <w:rsid w:val="00B753E2"/>
    <w:rsid w:val="00B76612"/>
    <w:rsid w:val="00B76E93"/>
    <w:rsid w:val="00B8087F"/>
    <w:rsid w:val="00B809DD"/>
    <w:rsid w:val="00B80C1F"/>
    <w:rsid w:val="00B80CBD"/>
    <w:rsid w:val="00B813A0"/>
    <w:rsid w:val="00B81E3F"/>
    <w:rsid w:val="00B820CE"/>
    <w:rsid w:val="00B8366E"/>
    <w:rsid w:val="00B83C43"/>
    <w:rsid w:val="00B86595"/>
    <w:rsid w:val="00B86A0D"/>
    <w:rsid w:val="00B87AE0"/>
    <w:rsid w:val="00B90B34"/>
    <w:rsid w:val="00B90BBA"/>
    <w:rsid w:val="00B91025"/>
    <w:rsid w:val="00B9145E"/>
    <w:rsid w:val="00B9178F"/>
    <w:rsid w:val="00B9215E"/>
    <w:rsid w:val="00B92BCD"/>
    <w:rsid w:val="00B93A02"/>
    <w:rsid w:val="00B94983"/>
    <w:rsid w:val="00B95117"/>
    <w:rsid w:val="00B956A7"/>
    <w:rsid w:val="00B95CB1"/>
    <w:rsid w:val="00B974BE"/>
    <w:rsid w:val="00BA0875"/>
    <w:rsid w:val="00BA12F0"/>
    <w:rsid w:val="00BA1909"/>
    <w:rsid w:val="00BA1E2D"/>
    <w:rsid w:val="00BA2112"/>
    <w:rsid w:val="00BA2364"/>
    <w:rsid w:val="00BA2799"/>
    <w:rsid w:val="00BA27D7"/>
    <w:rsid w:val="00BA293A"/>
    <w:rsid w:val="00BA2BDC"/>
    <w:rsid w:val="00BA5539"/>
    <w:rsid w:val="00BB020D"/>
    <w:rsid w:val="00BB0298"/>
    <w:rsid w:val="00BB086C"/>
    <w:rsid w:val="00BB156D"/>
    <w:rsid w:val="00BB181D"/>
    <w:rsid w:val="00BB201B"/>
    <w:rsid w:val="00BB2C5A"/>
    <w:rsid w:val="00BB300A"/>
    <w:rsid w:val="00BB3ED7"/>
    <w:rsid w:val="00BB4C44"/>
    <w:rsid w:val="00BB513F"/>
    <w:rsid w:val="00BB56C4"/>
    <w:rsid w:val="00BB6AF0"/>
    <w:rsid w:val="00BC18D9"/>
    <w:rsid w:val="00BC24EA"/>
    <w:rsid w:val="00BC26D1"/>
    <w:rsid w:val="00BC3AD4"/>
    <w:rsid w:val="00BC3D5F"/>
    <w:rsid w:val="00BC4462"/>
    <w:rsid w:val="00BC4577"/>
    <w:rsid w:val="00BC4BAE"/>
    <w:rsid w:val="00BC5456"/>
    <w:rsid w:val="00BC5E22"/>
    <w:rsid w:val="00BC63E3"/>
    <w:rsid w:val="00BC7E52"/>
    <w:rsid w:val="00BD09A3"/>
    <w:rsid w:val="00BD0AA3"/>
    <w:rsid w:val="00BD167D"/>
    <w:rsid w:val="00BD20BB"/>
    <w:rsid w:val="00BD20E4"/>
    <w:rsid w:val="00BD3566"/>
    <w:rsid w:val="00BD3BA1"/>
    <w:rsid w:val="00BD3D6E"/>
    <w:rsid w:val="00BD4BC2"/>
    <w:rsid w:val="00BD4F83"/>
    <w:rsid w:val="00BD6C38"/>
    <w:rsid w:val="00BE016B"/>
    <w:rsid w:val="00BE0C3B"/>
    <w:rsid w:val="00BE0D3D"/>
    <w:rsid w:val="00BE1901"/>
    <w:rsid w:val="00BE2BEC"/>
    <w:rsid w:val="00BE4215"/>
    <w:rsid w:val="00BE424A"/>
    <w:rsid w:val="00BE5392"/>
    <w:rsid w:val="00BE592A"/>
    <w:rsid w:val="00BE5B6B"/>
    <w:rsid w:val="00BE5CF9"/>
    <w:rsid w:val="00BE60CD"/>
    <w:rsid w:val="00BE6245"/>
    <w:rsid w:val="00BE6E40"/>
    <w:rsid w:val="00BE6EA8"/>
    <w:rsid w:val="00BE744A"/>
    <w:rsid w:val="00BF02E4"/>
    <w:rsid w:val="00BF07AB"/>
    <w:rsid w:val="00BF0C48"/>
    <w:rsid w:val="00BF0D2C"/>
    <w:rsid w:val="00BF15E3"/>
    <w:rsid w:val="00BF1650"/>
    <w:rsid w:val="00BF245F"/>
    <w:rsid w:val="00BF2999"/>
    <w:rsid w:val="00BF2FF9"/>
    <w:rsid w:val="00BF335C"/>
    <w:rsid w:val="00BF4118"/>
    <w:rsid w:val="00BF44C3"/>
    <w:rsid w:val="00BF4F84"/>
    <w:rsid w:val="00BF52F2"/>
    <w:rsid w:val="00BF606A"/>
    <w:rsid w:val="00BF606B"/>
    <w:rsid w:val="00BF7001"/>
    <w:rsid w:val="00BF76A5"/>
    <w:rsid w:val="00C023C5"/>
    <w:rsid w:val="00C02706"/>
    <w:rsid w:val="00C02F76"/>
    <w:rsid w:val="00C03C0F"/>
    <w:rsid w:val="00C04F8C"/>
    <w:rsid w:val="00C05546"/>
    <w:rsid w:val="00C060E0"/>
    <w:rsid w:val="00C068BD"/>
    <w:rsid w:val="00C06B82"/>
    <w:rsid w:val="00C06D0E"/>
    <w:rsid w:val="00C07673"/>
    <w:rsid w:val="00C0771E"/>
    <w:rsid w:val="00C07D07"/>
    <w:rsid w:val="00C07E1C"/>
    <w:rsid w:val="00C10747"/>
    <w:rsid w:val="00C11482"/>
    <w:rsid w:val="00C11CB6"/>
    <w:rsid w:val="00C14DDC"/>
    <w:rsid w:val="00C15716"/>
    <w:rsid w:val="00C15954"/>
    <w:rsid w:val="00C17906"/>
    <w:rsid w:val="00C2060D"/>
    <w:rsid w:val="00C2141F"/>
    <w:rsid w:val="00C22E95"/>
    <w:rsid w:val="00C2356C"/>
    <w:rsid w:val="00C24723"/>
    <w:rsid w:val="00C24C24"/>
    <w:rsid w:val="00C253FB"/>
    <w:rsid w:val="00C256E4"/>
    <w:rsid w:val="00C2632E"/>
    <w:rsid w:val="00C26B43"/>
    <w:rsid w:val="00C27671"/>
    <w:rsid w:val="00C27EED"/>
    <w:rsid w:val="00C304F7"/>
    <w:rsid w:val="00C318F4"/>
    <w:rsid w:val="00C31B9D"/>
    <w:rsid w:val="00C32ADE"/>
    <w:rsid w:val="00C32D4B"/>
    <w:rsid w:val="00C32E82"/>
    <w:rsid w:val="00C33CEC"/>
    <w:rsid w:val="00C34387"/>
    <w:rsid w:val="00C34420"/>
    <w:rsid w:val="00C3459D"/>
    <w:rsid w:val="00C34B7A"/>
    <w:rsid w:val="00C34BDA"/>
    <w:rsid w:val="00C35667"/>
    <w:rsid w:val="00C36D50"/>
    <w:rsid w:val="00C40FC2"/>
    <w:rsid w:val="00C412C0"/>
    <w:rsid w:val="00C41807"/>
    <w:rsid w:val="00C423F5"/>
    <w:rsid w:val="00C428EB"/>
    <w:rsid w:val="00C42A0D"/>
    <w:rsid w:val="00C43158"/>
    <w:rsid w:val="00C440A9"/>
    <w:rsid w:val="00C45D23"/>
    <w:rsid w:val="00C46910"/>
    <w:rsid w:val="00C46E29"/>
    <w:rsid w:val="00C4729C"/>
    <w:rsid w:val="00C472E8"/>
    <w:rsid w:val="00C50603"/>
    <w:rsid w:val="00C509AA"/>
    <w:rsid w:val="00C517BA"/>
    <w:rsid w:val="00C5441F"/>
    <w:rsid w:val="00C561EF"/>
    <w:rsid w:val="00C5769C"/>
    <w:rsid w:val="00C576E1"/>
    <w:rsid w:val="00C605AC"/>
    <w:rsid w:val="00C607C7"/>
    <w:rsid w:val="00C60C27"/>
    <w:rsid w:val="00C61434"/>
    <w:rsid w:val="00C61A85"/>
    <w:rsid w:val="00C62995"/>
    <w:rsid w:val="00C62CC9"/>
    <w:rsid w:val="00C63D1E"/>
    <w:rsid w:val="00C63D82"/>
    <w:rsid w:val="00C64556"/>
    <w:rsid w:val="00C652F2"/>
    <w:rsid w:val="00C657EF"/>
    <w:rsid w:val="00C663EC"/>
    <w:rsid w:val="00C66F56"/>
    <w:rsid w:val="00C67129"/>
    <w:rsid w:val="00C6771D"/>
    <w:rsid w:val="00C6793B"/>
    <w:rsid w:val="00C67A63"/>
    <w:rsid w:val="00C701F2"/>
    <w:rsid w:val="00C70C50"/>
    <w:rsid w:val="00C70C7E"/>
    <w:rsid w:val="00C71397"/>
    <w:rsid w:val="00C71632"/>
    <w:rsid w:val="00C71B86"/>
    <w:rsid w:val="00C72975"/>
    <w:rsid w:val="00C72F8A"/>
    <w:rsid w:val="00C73210"/>
    <w:rsid w:val="00C7434A"/>
    <w:rsid w:val="00C74C7F"/>
    <w:rsid w:val="00C762DD"/>
    <w:rsid w:val="00C76889"/>
    <w:rsid w:val="00C77146"/>
    <w:rsid w:val="00C778FC"/>
    <w:rsid w:val="00C80932"/>
    <w:rsid w:val="00C814EB"/>
    <w:rsid w:val="00C82462"/>
    <w:rsid w:val="00C835CA"/>
    <w:rsid w:val="00C84CA8"/>
    <w:rsid w:val="00C85401"/>
    <w:rsid w:val="00C85785"/>
    <w:rsid w:val="00C85B0B"/>
    <w:rsid w:val="00C85C7D"/>
    <w:rsid w:val="00C87B52"/>
    <w:rsid w:val="00C90163"/>
    <w:rsid w:val="00C905D8"/>
    <w:rsid w:val="00C911D2"/>
    <w:rsid w:val="00C913D3"/>
    <w:rsid w:val="00C9220C"/>
    <w:rsid w:val="00C92E51"/>
    <w:rsid w:val="00C9321F"/>
    <w:rsid w:val="00C9383C"/>
    <w:rsid w:val="00C93989"/>
    <w:rsid w:val="00C94B38"/>
    <w:rsid w:val="00C95606"/>
    <w:rsid w:val="00C956DE"/>
    <w:rsid w:val="00C963FE"/>
    <w:rsid w:val="00C9668B"/>
    <w:rsid w:val="00C97153"/>
    <w:rsid w:val="00C97C72"/>
    <w:rsid w:val="00C97CB9"/>
    <w:rsid w:val="00C97F81"/>
    <w:rsid w:val="00C97F8F"/>
    <w:rsid w:val="00CA1BC2"/>
    <w:rsid w:val="00CA2897"/>
    <w:rsid w:val="00CA36E2"/>
    <w:rsid w:val="00CA46B1"/>
    <w:rsid w:val="00CA506F"/>
    <w:rsid w:val="00CA5BE0"/>
    <w:rsid w:val="00CA659A"/>
    <w:rsid w:val="00CB143F"/>
    <w:rsid w:val="00CB478D"/>
    <w:rsid w:val="00CB4BE6"/>
    <w:rsid w:val="00CB4F8F"/>
    <w:rsid w:val="00CB5C6A"/>
    <w:rsid w:val="00CB5E24"/>
    <w:rsid w:val="00CB6A44"/>
    <w:rsid w:val="00CB6DA9"/>
    <w:rsid w:val="00CB79D0"/>
    <w:rsid w:val="00CB7C52"/>
    <w:rsid w:val="00CC171F"/>
    <w:rsid w:val="00CC1E6A"/>
    <w:rsid w:val="00CC1F6C"/>
    <w:rsid w:val="00CC25BF"/>
    <w:rsid w:val="00CC2ED3"/>
    <w:rsid w:val="00CC3282"/>
    <w:rsid w:val="00CC470F"/>
    <w:rsid w:val="00CC4B3A"/>
    <w:rsid w:val="00CC54CA"/>
    <w:rsid w:val="00CC6558"/>
    <w:rsid w:val="00CC6670"/>
    <w:rsid w:val="00CC694A"/>
    <w:rsid w:val="00CC7151"/>
    <w:rsid w:val="00CC7494"/>
    <w:rsid w:val="00CC78A8"/>
    <w:rsid w:val="00CD0245"/>
    <w:rsid w:val="00CD02AF"/>
    <w:rsid w:val="00CD1F5B"/>
    <w:rsid w:val="00CD231C"/>
    <w:rsid w:val="00CD2897"/>
    <w:rsid w:val="00CD2ABF"/>
    <w:rsid w:val="00CD2C1D"/>
    <w:rsid w:val="00CD2F7F"/>
    <w:rsid w:val="00CD36DB"/>
    <w:rsid w:val="00CD51C9"/>
    <w:rsid w:val="00CD5416"/>
    <w:rsid w:val="00CD5431"/>
    <w:rsid w:val="00CD63D5"/>
    <w:rsid w:val="00CD7662"/>
    <w:rsid w:val="00CD78A3"/>
    <w:rsid w:val="00CD7C44"/>
    <w:rsid w:val="00CE00A4"/>
    <w:rsid w:val="00CE01FC"/>
    <w:rsid w:val="00CE06CD"/>
    <w:rsid w:val="00CE0CC6"/>
    <w:rsid w:val="00CE0E48"/>
    <w:rsid w:val="00CE148C"/>
    <w:rsid w:val="00CE156E"/>
    <w:rsid w:val="00CE3A42"/>
    <w:rsid w:val="00CE3D42"/>
    <w:rsid w:val="00CE4322"/>
    <w:rsid w:val="00CE4324"/>
    <w:rsid w:val="00CE49FD"/>
    <w:rsid w:val="00CE4B86"/>
    <w:rsid w:val="00CE51DA"/>
    <w:rsid w:val="00CE573B"/>
    <w:rsid w:val="00CE6491"/>
    <w:rsid w:val="00CE6BEC"/>
    <w:rsid w:val="00CE75DD"/>
    <w:rsid w:val="00CF12B1"/>
    <w:rsid w:val="00CF139C"/>
    <w:rsid w:val="00CF20A1"/>
    <w:rsid w:val="00CF2613"/>
    <w:rsid w:val="00CF268C"/>
    <w:rsid w:val="00CF2F2A"/>
    <w:rsid w:val="00CF30D8"/>
    <w:rsid w:val="00CF34E0"/>
    <w:rsid w:val="00CF372F"/>
    <w:rsid w:val="00CF3B84"/>
    <w:rsid w:val="00CF4021"/>
    <w:rsid w:val="00CF4690"/>
    <w:rsid w:val="00CF48D6"/>
    <w:rsid w:val="00CF4CC0"/>
    <w:rsid w:val="00CF5427"/>
    <w:rsid w:val="00CF6046"/>
    <w:rsid w:val="00CF6532"/>
    <w:rsid w:val="00CF67B8"/>
    <w:rsid w:val="00CF6F51"/>
    <w:rsid w:val="00CF75C4"/>
    <w:rsid w:val="00CF794D"/>
    <w:rsid w:val="00CF7F1C"/>
    <w:rsid w:val="00D00AF0"/>
    <w:rsid w:val="00D01935"/>
    <w:rsid w:val="00D026FD"/>
    <w:rsid w:val="00D02BD3"/>
    <w:rsid w:val="00D03142"/>
    <w:rsid w:val="00D036F9"/>
    <w:rsid w:val="00D037A7"/>
    <w:rsid w:val="00D03B17"/>
    <w:rsid w:val="00D04C78"/>
    <w:rsid w:val="00D04F1D"/>
    <w:rsid w:val="00D0570A"/>
    <w:rsid w:val="00D05AF0"/>
    <w:rsid w:val="00D05B8A"/>
    <w:rsid w:val="00D06B60"/>
    <w:rsid w:val="00D071A4"/>
    <w:rsid w:val="00D076C1"/>
    <w:rsid w:val="00D10614"/>
    <w:rsid w:val="00D1077B"/>
    <w:rsid w:val="00D10A7C"/>
    <w:rsid w:val="00D10DBD"/>
    <w:rsid w:val="00D11F21"/>
    <w:rsid w:val="00D12B45"/>
    <w:rsid w:val="00D12C53"/>
    <w:rsid w:val="00D13C06"/>
    <w:rsid w:val="00D13CB6"/>
    <w:rsid w:val="00D1433B"/>
    <w:rsid w:val="00D1445C"/>
    <w:rsid w:val="00D16011"/>
    <w:rsid w:val="00D163BF"/>
    <w:rsid w:val="00D164F0"/>
    <w:rsid w:val="00D16C2E"/>
    <w:rsid w:val="00D20B22"/>
    <w:rsid w:val="00D21FD2"/>
    <w:rsid w:val="00D23111"/>
    <w:rsid w:val="00D240CD"/>
    <w:rsid w:val="00D251E4"/>
    <w:rsid w:val="00D306B1"/>
    <w:rsid w:val="00D3092F"/>
    <w:rsid w:val="00D30EBF"/>
    <w:rsid w:val="00D32B46"/>
    <w:rsid w:val="00D330F1"/>
    <w:rsid w:val="00D33315"/>
    <w:rsid w:val="00D34E71"/>
    <w:rsid w:val="00D35A9B"/>
    <w:rsid w:val="00D3651F"/>
    <w:rsid w:val="00D366B5"/>
    <w:rsid w:val="00D36839"/>
    <w:rsid w:val="00D368BB"/>
    <w:rsid w:val="00D37945"/>
    <w:rsid w:val="00D37C8C"/>
    <w:rsid w:val="00D4010E"/>
    <w:rsid w:val="00D42325"/>
    <w:rsid w:val="00D42579"/>
    <w:rsid w:val="00D437C9"/>
    <w:rsid w:val="00D43C51"/>
    <w:rsid w:val="00D45015"/>
    <w:rsid w:val="00D45055"/>
    <w:rsid w:val="00D46105"/>
    <w:rsid w:val="00D463EE"/>
    <w:rsid w:val="00D46F91"/>
    <w:rsid w:val="00D5079A"/>
    <w:rsid w:val="00D51BBA"/>
    <w:rsid w:val="00D533DD"/>
    <w:rsid w:val="00D53826"/>
    <w:rsid w:val="00D542B7"/>
    <w:rsid w:val="00D5490B"/>
    <w:rsid w:val="00D55433"/>
    <w:rsid w:val="00D5559A"/>
    <w:rsid w:val="00D556B4"/>
    <w:rsid w:val="00D57AF0"/>
    <w:rsid w:val="00D57B98"/>
    <w:rsid w:val="00D57BA2"/>
    <w:rsid w:val="00D626A0"/>
    <w:rsid w:val="00D63194"/>
    <w:rsid w:val="00D63423"/>
    <w:rsid w:val="00D64644"/>
    <w:rsid w:val="00D646C8"/>
    <w:rsid w:val="00D6483C"/>
    <w:rsid w:val="00D64D4D"/>
    <w:rsid w:val="00D656B5"/>
    <w:rsid w:val="00D65950"/>
    <w:rsid w:val="00D6631E"/>
    <w:rsid w:val="00D66413"/>
    <w:rsid w:val="00D669A6"/>
    <w:rsid w:val="00D67D6D"/>
    <w:rsid w:val="00D7035A"/>
    <w:rsid w:val="00D70DD1"/>
    <w:rsid w:val="00D713C6"/>
    <w:rsid w:val="00D71A22"/>
    <w:rsid w:val="00D72BA6"/>
    <w:rsid w:val="00D735AC"/>
    <w:rsid w:val="00D73AE1"/>
    <w:rsid w:val="00D73C8F"/>
    <w:rsid w:val="00D74642"/>
    <w:rsid w:val="00D749C2"/>
    <w:rsid w:val="00D751AF"/>
    <w:rsid w:val="00D77AFF"/>
    <w:rsid w:val="00D80659"/>
    <w:rsid w:val="00D81AE7"/>
    <w:rsid w:val="00D829B0"/>
    <w:rsid w:val="00D8361B"/>
    <w:rsid w:val="00D83CA9"/>
    <w:rsid w:val="00D84308"/>
    <w:rsid w:val="00D852F1"/>
    <w:rsid w:val="00D859EF"/>
    <w:rsid w:val="00D85CB9"/>
    <w:rsid w:val="00D8697D"/>
    <w:rsid w:val="00D874AB"/>
    <w:rsid w:val="00D90171"/>
    <w:rsid w:val="00D90AAA"/>
    <w:rsid w:val="00D91777"/>
    <w:rsid w:val="00D91C3C"/>
    <w:rsid w:val="00D91DA8"/>
    <w:rsid w:val="00D927F6"/>
    <w:rsid w:val="00D92E01"/>
    <w:rsid w:val="00D94199"/>
    <w:rsid w:val="00D965A7"/>
    <w:rsid w:val="00D96CAC"/>
    <w:rsid w:val="00D973C9"/>
    <w:rsid w:val="00D97910"/>
    <w:rsid w:val="00D979B7"/>
    <w:rsid w:val="00DA0A25"/>
    <w:rsid w:val="00DA1388"/>
    <w:rsid w:val="00DA1BD6"/>
    <w:rsid w:val="00DA281C"/>
    <w:rsid w:val="00DA4758"/>
    <w:rsid w:val="00DA4FA3"/>
    <w:rsid w:val="00DA561B"/>
    <w:rsid w:val="00DA599A"/>
    <w:rsid w:val="00DA62B5"/>
    <w:rsid w:val="00DA6677"/>
    <w:rsid w:val="00DA731F"/>
    <w:rsid w:val="00DA753A"/>
    <w:rsid w:val="00DB022A"/>
    <w:rsid w:val="00DB104B"/>
    <w:rsid w:val="00DB12FA"/>
    <w:rsid w:val="00DB1B6C"/>
    <w:rsid w:val="00DB3199"/>
    <w:rsid w:val="00DB3FAF"/>
    <w:rsid w:val="00DB4047"/>
    <w:rsid w:val="00DB4FE7"/>
    <w:rsid w:val="00DB5708"/>
    <w:rsid w:val="00DB57BC"/>
    <w:rsid w:val="00DB670A"/>
    <w:rsid w:val="00DB6B74"/>
    <w:rsid w:val="00DB6D31"/>
    <w:rsid w:val="00DB7B95"/>
    <w:rsid w:val="00DC095C"/>
    <w:rsid w:val="00DC1448"/>
    <w:rsid w:val="00DC19B0"/>
    <w:rsid w:val="00DC2BBC"/>
    <w:rsid w:val="00DC3566"/>
    <w:rsid w:val="00DC4185"/>
    <w:rsid w:val="00DC4B4B"/>
    <w:rsid w:val="00DC4D92"/>
    <w:rsid w:val="00DC5D12"/>
    <w:rsid w:val="00DC5F32"/>
    <w:rsid w:val="00DC62E8"/>
    <w:rsid w:val="00DC63F9"/>
    <w:rsid w:val="00DC6B8F"/>
    <w:rsid w:val="00DC770A"/>
    <w:rsid w:val="00DD017F"/>
    <w:rsid w:val="00DD0339"/>
    <w:rsid w:val="00DD0EF2"/>
    <w:rsid w:val="00DD194A"/>
    <w:rsid w:val="00DD46D0"/>
    <w:rsid w:val="00DD4F3C"/>
    <w:rsid w:val="00DD5206"/>
    <w:rsid w:val="00DD52EC"/>
    <w:rsid w:val="00DE02C6"/>
    <w:rsid w:val="00DE076D"/>
    <w:rsid w:val="00DE0B43"/>
    <w:rsid w:val="00DE0DE3"/>
    <w:rsid w:val="00DE0E89"/>
    <w:rsid w:val="00DE16E9"/>
    <w:rsid w:val="00DE3157"/>
    <w:rsid w:val="00DE39BC"/>
    <w:rsid w:val="00DE40FA"/>
    <w:rsid w:val="00DE430D"/>
    <w:rsid w:val="00DF1A89"/>
    <w:rsid w:val="00DF22A5"/>
    <w:rsid w:val="00DF26E7"/>
    <w:rsid w:val="00DF2A40"/>
    <w:rsid w:val="00DF3C1E"/>
    <w:rsid w:val="00DF3DD8"/>
    <w:rsid w:val="00DF4A8F"/>
    <w:rsid w:val="00DF4C59"/>
    <w:rsid w:val="00DF4DF4"/>
    <w:rsid w:val="00DF57A8"/>
    <w:rsid w:val="00DF5F39"/>
    <w:rsid w:val="00DF69C5"/>
    <w:rsid w:val="00DF6A8E"/>
    <w:rsid w:val="00DF7768"/>
    <w:rsid w:val="00DF77C7"/>
    <w:rsid w:val="00DF77E8"/>
    <w:rsid w:val="00E00058"/>
    <w:rsid w:val="00E0109C"/>
    <w:rsid w:val="00E01602"/>
    <w:rsid w:val="00E02798"/>
    <w:rsid w:val="00E02CDA"/>
    <w:rsid w:val="00E03161"/>
    <w:rsid w:val="00E03D05"/>
    <w:rsid w:val="00E05035"/>
    <w:rsid w:val="00E055E4"/>
    <w:rsid w:val="00E06948"/>
    <w:rsid w:val="00E070E1"/>
    <w:rsid w:val="00E071AD"/>
    <w:rsid w:val="00E075E8"/>
    <w:rsid w:val="00E10B60"/>
    <w:rsid w:val="00E10EEE"/>
    <w:rsid w:val="00E12029"/>
    <w:rsid w:val="00E12945"/>
    <w:rsid w:val="00E12B1D"/>
    <w:rsid w:val="00E12E13"/>
    <w:rsid w:val="00E1341F"/>
    <w:rsid w:val="00E136B8"/>
    <w:rsid w:val="00E13D65"/>
    <w:rsid w:val="00E13E46"/>
    <w:rsid w:val="00E13ED4"/>
    <w:rsid w:val="00E153D3"/>
    <w:rsid w:val="00E15722"/>
    <w:rsid w:val="00E1580A"/>
    <w:rsid w:val="00E15B23"/>
    <w:rsid w:val="00E15CB1"/>
    <w:rsid w:val="00E16886"/>
    <w:rsid w:val="00E20746"/>
    <w:rsid w:val="00E20C45"/>
    <w:rsid w:val="00E20E50"/>
    <w:rsid w:val="00E211FC"/>
    <w:rsid w:val="00E22860"/>
    <w:rsid w:val="00E24061"/>
    <w:rsid w:val="00E241FE"/>
    <w:rsid w:val="00E2502A"/>
    <w:rsid w:val="00E2512D"/>
    <w:rsid w:val="00E25B65"/>
    <w:rsid w:val="00E25FB7"/>
    <w:rsid w:val="00E26B0E"/>
    <w:rsid w:val="00E26F68"/>
    <w:rsid w:val="00E311C0"/>
    <w:rsid w:val="00E31D70"/>
    <w:rsid w:val="00E320C9"/>
    <w:rsid w:val="00E32220"/>
    <w:rsid w:val="00E32E77"/>
    <w:rsid w:val="00E34375"/>
    <w:rsid w:val="00E35374"/>
    <w:rsid w:val="00E358B1"/>
    <w:rsid w:val="00E35E49"/>
    <w:rsid w:val="00E364A0"/>
    <w:rsid w:val="00E36C12"/>
    <w:rsid w:val="00E36D10"/>
    <w:rsid w:val="00E3717D"/>
    <w:rsid w:val="00E37B93"/>
    <w:rsid w:val="00E37BD9"/>
    <w:rsid w:val="00E37F64"/>
    <w:rsid w:val="00E40C11"/>
    <w:rsid w:val="00E410EB"/>
    <w:rsid w:val="00E420ED"/>
    <w:rsid w:val="00E431F6"/>
    <w:rsid w:val="00E436D6"/>
    <w:rsid w:val="00E43D09"/>
    <w:rsid w:val="00E44DDB"/>
    <w:rsid w:val="00E457F4"/>
    <w:rsid w:val="00E45884"/>
    <w:rsid w:val="00E47049"/>
    <w:rsid w:val="00E47C39"/>
    <w:rsid w:val="00E501DD"/>
    <w:rsid w:val="00E5041A"/>
    <w:rsid w:val="00E5041C"/>
    <w:rsid w:val="00E504A7"/>
    <w:rsid w:val="00E5077C"/>
    <w:rsid w:val="00E525FB"/>
    <w:rsid w:val="00E52EB1"/>
    <w:rsid w:val="00E53015"/>
    <w:rsid w:val="00E5332F"/>
    <w:rsid w:val="00E535F2"/>
    <w:rsid w:val="00E54AB3"/>
    <w:rsid w:val="00E551D2"/>
    <w:rsid w:val="00E5606A"/>
    <w:rsid w:val="00E56511"/>
    <w:rsid w:val="00E56B91"/>
    <w:rsid w:val="00E5780C"/>
    <w:rsid w:val="00E62052"/>
    <w:rsid w:val="00E6293B"/>
    <w:rsid w:val="00E62C7E"/>
    <w:rsid w:val="00E62EDE"/>
    <w:rsid w:val="00E639E3"/>
    <w:rsid w:val="00E648AC"/>
    <w:rsid w:val="00E6491C"/>
    <w:rsid w:val="00E64C44"/>
    <w:rsid w:val="00E65D22"/>
    <w:rsid w:val="00E66359"/>
    <w:rsid w:val="00E66656"/>
    <w:rsid w:val="00E66BD2"/>
    <w:rsid w:val="00E67365"/>
    <w:rsid w:val="00E67499"/>
    <w:rsid w:val="00E67D6F"/>
    <w:rsid w:val="00E712F4"/>
    <w:rsid w:val="00E71753"/>
    <w:rsid w:val="00E71795"/>
    <w:rsid w:val="00E721B0"/>
    <w:rsid w:val="00E7276F"/>
    <w:rsid w:val="00E72F9A"/>
    <w:rsid w:val="00E73306"/>
    <w:rsid w:val="00E736DA"/>
    <w:rsid w:val="00E73FD0"/>
    <w:rsid w:val="00E7408E"/>
    <w:rsid w:val="00E741E3"/>
    <w:rsid w:val="00E7441C"/>
    <w:rsid w:val="00E745A0"/>
    <w:rsid w:val="00E74732"/>
    <w:rsid w:val="00E75AA6"/>
    <w:rsid w:val="00E75BED"/>
    <w:rsid w:val="00E75E92"/>
    <w:rsid w:val="00E76F2F"/>
    <w:rsid w:val="00E77421"/>
    <w:rsid w:val="00E80452"/>
    <w:rsid w:val="00E80700"/>
    <w:rsid w:val="00E809B6"/>
    <w:rsid w:val="00E81802"/>
    <w:rsid w:val="00E82AFE"/>
    <w:rsid w:val="00E83095"/>
    <w:rsid w:val="00E834EB"/>
    <w:rsid w:val="00E8577C"/>
    <w:rsid w:val="00E857CB"/>
    <w:rsid w:val="00E859F9"/>
    <w:rsid w:val="00E85BBE"/>
    <w:rsid w:val="00E86407"/>
    <w:rsid w:val="00E875FC"/>
    <w:rsid w:val="00E87C7C"/>
    <w:rsid w:val="00E9162C"/>
    <w:rsid w:val="00E91B8B"/>
    <w:rsid w:val="00E91D2D"/>
    <w:rsid w:val="00E93CC4"/>
    <w:rsid w:val="00E94766"/>
    <w:rsid w:val="00E9599E"/>
    <w:rsid w:val="00E95D24"/>
    <w:rsid w:val="00E96323"/>
    <w:rsid w:val="00E9759C"/>
    <w:rsid w:val="00E97ACB"/>
    <w:rsid w:val="00E97EB7"/>
    <w:rsid w:val="00E97FAF"/>
    <w:rsid w:val="00EA0028"/>
    <w:rsid w:val="00EA16A2"/>
    <w:rsid w:val="00EA4D22"/>
    <w:rsid w:val="00EA5250"/>
    <w:rsid w:val="00EA58D0"/>
    <w:rsid w:val="00EA66C8"/>
    <w:rsid w:val="00EA69F1"/>
    <w:rsid w:val="00EA6C54"/>
    <w:rsid w:val="00EA79B2"/>
    <w:rsid w:val="00EB0007"/>
    <w:rsid w:val="00EB0181"/>
    <w:rsid w:val="00EB0DBF"/>
    <w:rsid w:val="00EB1C46"/>
    <w:rsid w:val="00EB2CBE"/>
    <w:rsid w:val="00EB3ADF"/>
    <w:rsid w:val="00EB5CDB"/>
    <w:rsid w:val="00EB6E5D"/>
    <w:rsid w:val="00EC0057"/>
    <w:rsid w:val="00EC05F5"/>
    <w:rsid w:val="00EC1DBD"/>
    <w:rsid w:val="00EC26D1"/>
    <w:rsid w:val="00EC2F0E"/>
    <w:rsid w:val="00EC41B2"/>
    <w:rsid w:val="00EC4233"/>
    <w:rsid w:val="00EC50FD"/>
    <w:rsid w:val="00EC58C4"/>
    <w:rsid w:val="00EC59FC"/>
    <w:rsid w:val="00EC722E"/>
    <w:rsid w:val="00EC77CD"/>
    <w:rsid w:val="00EC7C6F"/>
    <w:rsid w:val="00ED0C3B"/>
    <w:rsid w:val="00ED1328"/>
    <w:rsid w:val="00ED3E80"/>
    <w:rsid w:val="00ED4148"/>
    <w:rsid w:val="00ED5F52"/>
    <w:rsid w:val="00ED6694"/>
    <w:rsid w:val="00ED724E"/>
    <w:rsid w:val="00ED783A"/>
    <w:rsid w:val="00ED7D6D"/>
    <w:rsid w:val="00ED7F3B"/>
    <w:rsid w:val="00EE021C"/>
    <w:rsid w:val="00EE0B11"/>
    <w:rsid w:val="00EE1776"/>
    <w:rsid w:val="00EE17DB"/>
    <w:rsid w:val="00EE2D22"/>
    <w:rsid w:val="00EE3D5F"/>
    <w:rsid w:val="00EE4353"/>
    <w:rsid w:val="00EE525B"/>
    <w:rsid w:val="00EE53D6"/>
    <w:rsid w:val="00EE7135"/>
    <w:rsid w:val="00EE741A"/>
    <w:rsid w:val="00EE7C13"/>
    <w:rsid w:val="00EE7C99"/>
    <w:rsid w:val="00EF029E"/>
    <w:rsid w:val="00EF0EC1"/>
    <w:rsid w:val="00EF19D8"/>
    <w:rsid w:val="00EF3885"/>
    <w:rsid w:val="00EF3A7D"/>
    <w:rsid w:val="00EF3D2A"/>
    <w:rsid w:val="00EF4C38"/>
    <w:rsid w:val="00EF5765"/>
    <w:rsid w:val="00EF612A"/>
    <w:rsid w:val="00EF7512"/>
    <w:rsid w:val="00EF77FF"/>
    <w:rsid w:val="00EF7CAC"/>
    <w:rsid w:val="00EF7D12"/>
    <w:rsid w:val="00F00141"/>
    <w:rsid w:val="00F00367"/>
    <w:rsid w:val="00F00F3C"/>
    <w:rsid w:val="00F01CE8"/>
    <w:rsid w:val="00F01DEF"/>
    <w:rsid w:val="00F026EC"/>
    <w:rsid w:val="00F0313D"/>
    <w:rsid w:val="00F04201"/>
    <w:rsid w:val="00F060A7"/>
    <w:rsid w:val="00F06276"/>
    <w:rsid w:val="00F0632D"/>
    <w:rsid w:val="00F065E9"/>
    <w:rsid w:val="00F06C01"/>
    <w:rsid w:val="00F06CEC"/>
    <w:rsid w:val="00F07394"/>
    <w:rsid w:val="00F10940"/>
    <w:rsid w:val="00F110B1"/>
    <w:rsid w:val="00F11714"/>
    <w:rsid w:val="00F130F5"/>
    <w:rsid w:val="00F13C6F"/>
    <w:rsid w:val="00F13EBA"/>
    <w:rsid w:val="00F14BBA"/>
    <w:rsid w:val="00F14D2E"/>
    <w:rsid w:val="00F169F8"/>
    <w:rsid w:val="00F20745"/>
    <w:rsid w:val="00F20BCE"/>
    <w:rsid w:val="00F21714"/>
    <w:rsid w:val="00F21DB4"/>
    <w:rsid w:val="00F23EA6"/>
    <w:rsid w:val="00F25005"/>
    <w:rsid w:val="00F251E8"/>
    <w:rsid w:val="00F25458"/>
    <w:rsid w:val="00F256FA"/>
    <w:rsid w:val="00F27005"/>
    <w:rsid w:val="00F27521"/>
    <w:rsid w:val="00F27661"/>
    <w:rsid w:val="00F27A19"/>
    <w:rsid w:val="00F27A39"/>
    <w:rsid w:val="00F30A36"/>
    <w:rsid w:val="00F30F25"/>
    <w:rsid w:val="00F31ABB"/>
    <w:rsid w:val="00F32DEF"/>
    <w:rsid w:val="00F33B0C"/>
    <w:rsid w:val="00F33C89"/>
    <w:rsid w:val="00F34175"/>
    <w:rsid w:val="00F34C4B"/>
    <w:rsid w:val="00F34E22"/>
    <w:rsid w:val="00F35391"/>
    <w:rsid w:val="00F35FD4"/>
    <w:rsid w:val="00F367DD"/>
    <w:rsid w:val="00F371A7"/>
    <w:rsid w:val="00F375D7"/>
    <w:rsid w:val="00F376C3"/>
    <w:rsid w:val="00F40147"/>
    <w:rsid w:val="00F40FEC"/>
    <w:rsid w:val="00F41592"/>
    <w:rsid w:val="00F42332"/>
    <w:rsid w:val="00F43D25"/>
    <w:rsid w:val="00F446CF"/>
    <w:rsid w:val="00F44B4E"/>
    <w:rsid w:val="00F45B61"/>
    <w:rsid w:val="00F4697E"/>
    <w:rsid w:val="00F46A5F"/>
    <w:rsid w:val="00F46ADE"/>
    <w:rsid w:val="00F473BA"/>
    <w:rsid w:val="00F50ECC"/>
    <w:rsid w:val="00F51BE5"/>
    <w:rsid w:val="00F54169"/>
    <w:rsid w:val="00F546F4"/>
    <w:rsid w:val="00F549C8"/>
    <w:rsid w:val="00F55044"/>
    <w:rsid w:val="00F55484"/>
    <w:rsid w:val="00F55520"/>
    <w:rsid w:val="00F55939"/>
    <w:rsid w:val="00F562ED"/>
    <w:rsid w:val="00F574B2"/>
    <w:rsid w:val="00F57A61"/>
    <w:rsid w:val="00F57E58"/>
    <w:rsid w:val="00F60A62"/>
    <w:rsid w:val="00F61311"/>
    <w:rsid w:val="00F61386"/>
    <w:rsid w:val="00F61593"/>
    <w:rsid w:val="00F61ADB"/>
    <w:rsid w:val="00F633A7"/>
    <w:rsid w:val="00F6359E"/>
    <w:rsid w:val="00F63C75"/>
    <w:rsid w:val="00F63D7B"/>
    <w:rsid w:val="00F64E0D"/>
    <w:rsid w:val="00F65113"/>
    <w:rsid w:val="00F65C50"/>
    <w:rsid w:val="00F66102"/>
    <w:rsid w:val="00F66111"/>
    <w:rsid w:val="00F66CDE"/>
    <w:rsid w:val="00F6769B"/>
    <w:rsid w:val="00F6773B"/>
    <w:rsid w:val="00F67C86"/>
    <w:rsid w:val="00F7029F"/>
    <w:rsid w:val="00F70800"/>
    <w:rsid w:val="00F711A9"/>
    <w:rsid w:val="00F72203"/>
    <w:rsid w:val="00F72E01"/>
    <w:rsid w:val="00F74F47"/>
    <w:rsid w:val="00F75AFF"/>
    <w:rsid w:val="00F75E69"/>
    <w:rsid w:val="00F80E48"/>
    <w:rsid w:val="00F811BA"/>
    <w:rsid w:val="00F82152"/>
    <w:rsid w:val="00F82400"/>
    <w:rsid w:val="00F8352D"/>
    <w:rsid w:val="00F8480A"/>
    <w:rsid w:val="00F853DB"/>
    <w:rsid w:val="00F85CE1"/>
    <w:rsid w:val="00F8646A"/>
    <w:rsid w:val="00F86DBF"/>
    <w:rsid w:val="00F90010"/>
    <w:rsid w:val="00F907FE"/>
    <w:rsid w:val="00F91509"/>
    <w:rsid w:val="00F9158B"/>
    <w:rsid w:val="00F91E1A"/>
    <w:rsid w:val="00F91E6B"/>
    <w:rsid w:val="00F9260E"/>
    <w:rsid w:val="00F9292B"/>
    <w:rsid w:val="00F92F80"/>
    <w:rsid w:val="00F9338C"/>
    <w:rsid w:val="00F944CB"/>
    <w:rsid w:val="00F9572F"/>
    <w:rsid w:val="00F9587C"/>
    <w:rsid w:val="00F95E2C"/>
    <w:rsid w:val="00F95FF2"/>
    <w:rsid w:val="00F97268"/>
    <w:rsid w:val="00FA0704"/>
    <w:rsid w:val="00FA1511"/>
    <w:rsid w:val="00FA266C"/>
    <w:rsid w:val="00FA3029"/>
    <w:rsid w:val="00FA51B3"/>
    <w:rsid w:val="00FA560F"/>
    <w:rsid w:val="00FA624D"/>
    <w:rsid w:val="00FA69ED"/>
    <w:rsid w:val="00FA6E49"/>
    <w:rsid w:val="00FA6EAD"/>
    <w:rsid w:val="00FA70E6"/>
    <w:rsid w:val="00FA70F0"/>
    <w:rsid w:val="00FA7C39"/>
    <w:rsid w:val="00FB0027"/>
    <w:rsid w:val="00FB079D"/>
    <w:rsid w:val="00FB1957"/>
    <w:rsid w:val="00FB2300"/>
    <w:rsid w:val="00FB29BF"/>
    <w:rsid w:val="00FB2E30"/>
    <w:rsid w:val="00FB38AA"/>
    <w:rsid w:val="00FB3955"/>
    <w:rsid w:val="00FB3ADB"/>
    <w:rsid w:val="00FB4DBC"/>
    <w:rsid w:val="00FB5942"/>
    <w:rsid w:val="00FB69D1"/>
    <w:rsid w:val="00FB6AD2"/>
    <w:rsid w:val="00FB7696"/>
    <w:rsid w:val="00FC0332"/>
    <w:rsid w:val="00FC0347"/>
    <w:rsid w:val="00FC14D9"/>
    <w:rsid w:val="00FC1D8D"/>
    <w:rsid w:val="00FC20DA"/>
    <w:rsid w:val="00FC2292"/>
    <w:rsid w:val="00FC27CA"/>
    <w:rsid w:val="00FC4573"/>
    <w:rsid w:val="00FC513B"/>
    <w:rsid w:val="00FC581C"/>
    <w:rsid w:val="00FC5FCB"/>
    <w:rsid w:val="00FC63A5"/>
    <w:rsid w:val="00FC65D1"/>
    <w:rsid w:val="00FC67D1"/>
    <w:rsid w:val="00FD0E10"/>
    <w:rsid w:val="00FD292E"/>
    <w:rsid w:val="00FD2DB0"/>
    <w:rsid w:val="00FD2F2C"/>
    <w:rsid w:val="00FD2F71"/>
    <w:rsid w:val="00FD38EC"/>
    <w:rsid w:val="00FD59AE"/>
    <w:rsid w:val="00FD6237"/>
    <w:rsid w:val="00FD626A"/>
    <w:rsid w:val="00FD66F2"/>
    <w:rsid w:val="00FE0150"/>
    <w:rsid w:val="00FE025D"/>
    <w:rsid w:val="00FE040C"/>
    <w:rsid w:val="00FE054D"/>
    <w:rsid w:val="00FE1578"/>
    <w:rsid w:val="00FE1E8B"/>
    <w:rsid w:val="00FE229D"/>
    <w:rsid w:val="00FE24AF"/>
    <w:rsid w:val="00FE31EE"/>
    <w:rsid w:val="00FE331C"/>
    <w:rsid w:val="00FE33CF"/>
    <w:rsid w:val="00FE364C"/>
    <w:rsid w:val="00FE41D4"/>
    <w:rsid w:val="00FE4BD2"/>
    <w:rsid w:val="00FE59D5"/>
    <w:rsid w:val="00FE64E3"/>
    <w:rsid w:val="00FE691A"/>
    <w:rsid w:val="00FE713E"/>
    <w:rsid w:val="00FF0349"/>
    <w:rsid w:val="00FF05DA"/>
    <w:rsid w:val="00FF2072"/>
    <w:rsid w:val="00FF26B4"/>
    <w:rsid w:val="00FF3E1F"/>
    <w:rsid w:val="00FF4C0B"/>
    <w:rsid w:val="00FF5174"/>
    <w:rsid w:val="00FF56EA"/>
    <w:rsid w:val="00FF5701"/>
    <w:rsid w:val="00FF58F8"/>
    <w:rsid w:val="00FF5B8D"/>
    <w:rsid w:val="00FF6075"/>
    <w:rsid w:val="00FF6094"/>
    <w:rsid w:val="00FF66F0"/>
    <w:rsid w:val="00FF6C24"/>
    <w:rsid w:val="00FF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C3BF6"/>
  <w15:chartTrackingRefBased/>
  <w15:docId w15:val="{BE1E5A8B-EFB5-4957-8D81-38B6DA26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74F"/>
    <w:pPr>
      <w:widowControl w:val="0"/>
      <w:jc w:val="both"/>
    </w:pPr>
    <w:rPr>
      <w:rFonts w:ascii="Times New Roman" w:hAnsi="Times New Roman"/>
      <w:kern w:val="2"/>
      <w:sz w:val="21"/>
      <w:szCs w:val="24"/>
    </w:rPr>
  </w:style>
  <w:style w:type="paragraph" w:styleId="1">
    <w:name w:val="heading 1"/>
    <w:basedOn w:val="a"/>
    <w:next w:val="a"/>
    <w:link w:val="1Char"/>
    <w:qFormat/>
    <w:rsid w:val="00E75E92"/>
    <w:pPr>
      <w:keepNext/>
      <w:keepLines/>
      <w:spacing w:before="340" w:after="330" w:line="578" w:lineRule="auto"/>
      <w:outlineLvl w:val="0"/>
    </w:pPr>
    <w:rPr>
      <w:b/>
      <w:bCs/>
      <w:kern w:val="44"/>
      <w:sz w:val="44"/>
      <w:szCs w:val="44"/>
      <w:lang w:val="x-none" w:eastAsia="x-none"/>
    </w:rPr>
  </w:style>
  <w:style w:type="paragraph" w:styleId="3">
    <w:name w:val="heading 3"/>
    <w:basedOn w:val="a"/>
    <w:next w:val="a"/>
    <w:link w:val="3Char"/>
    <w:qFormat/>
    <w:rsid w:val="00E75E92"/>
    <w:pPr>
      <w:keepNext/>
      <w:keepLines/>
      <w:spacing w:before="260" w:after="260" w:line="416"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E75E92"/>
    <w:pPr>
      <w:ind w:leftChars="2500" w:left="100"/>
    </w:pPr>
    <w:rPr>
      <w:kern w:val="0"/>
      <w:sz w:val="20"/>
      <w:lang w:val="x-none" w:eastAsia="x-none"/>
    </w:rPr>
  </w:style>
  <w:style w:type="character" w:customStyle="1" w:styleId="Char">
    <w:name w:val="日期 Char"/>
    <w:link w:val="a3"/>
    <w:rsid w:val="00E75E92"/>
    <w:rPr>
      <w:rFonts w:ascii="Times New Roman" w:eastAsia="宋体" w:hAnsi="Times New Roman" w:cs="Times New Roman"/>
      <w:szCs w:val="24"/>
    </w:rPr>
  </w:style>
  <w:style w:type="character" w:customStyle="1" w:styleId="1Char">
    <w:name w:val="标题 1 Char"/>
    <w:link w:val="1"/>
    <w:rsid w:val="00E75E92"/>
    <w:rPr>
      <w:rFonts w:ascii="Times New Roman" w:eastAsia="宋体" w:hAnsi="Times New Roman" w:cs="Times New Roman"/>
      <w:b/>
      <w:bCs/>
      <w:kern w:val="44"/>
      <w:sz w:val="44"/>
      <w:szCs w:val="44"/>
    </w:rPr>
  </w:style>
  <w:style w:type="character" w:customStyle="1" w:styleId="3Char">
    <w:name w:val="标题 3 Char"/>
    <w:link w:val="3"/>
    <w:rsid w:val="00E75E92"/>
    <w:rPr>
      <w:rFonts w:ascii="Times New Roman" w:eastAsia="宋体" w:hAnsi="Times New Roman" w:cs="Times New Roman"/>
      <w:b/>
      <w:bCs/>
      <w:sz w:val="32"/>
      <w:szCs w:val="32"/>
    </w:rPr>
  </w:style>
  <w:style w:type="paragraph" w:styleId="a4">
    <w:name w:val="footer"/>
    <w:basedOn w:val="a"/>
    <w:link w:val="Char0"/>
    <w:uiPriority w:val="99"/>
    <w:rsid w:val="00E75E92"/>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rsid w:val="00E75E92"/>
    <w:rPr>
      <w:rFonts w:ascii="Times New Roman" w:eastAsia="宋体" w:hAnsi="Times New Roman" w:cs="Times New Roman"/>
      <w:sz w:val="18"/>
      <w:szCs w:val="18"/>
    </w:rPr>
  </w:style>
  <w:style w:type="paragraph" w:styleId="2">
    <w:name w:val="Body Text Indent 2"/>
    <w:basedOn w:val="a"/>
    <w:link w:val="2Char"/>
    <w:rsid w:val="00E75E92"/>
    <w:pPr>
      <w:spacing w:line="600" w:lineRule="exact"/>
      <w:ind w:firstLineChars="200" w:firstLine="600"/>
    </w:pPr>
    <w:rPr>
      <w:rFonts w:ascii="仿宋_GB2312" w:eastAsia="仿宋_GB2312" w:hAnsi="宋体"/>
      <w:kern w:val="0"/>
      <w:sz w:val="30"/>
      <w:szCs w:val="30"/>
      <w:lang w:val="x-none" w:eastAsia="x-none"/>
    </w:rPr>
  </w:style>
  <w:style w:type="character" w:customStyle="1" w:styleId="2Char">
    <w:name w:val="正文文本缩进 2 Char"/>
    <w:link w:val="2"/>
    <w:rsid w:val="00E75E92"/>
    <w:rPr>
      <w:rFonts w:ascii="仿宋_GB2312" w:eastAsia="仿宋_GB2312" w:hAnsi="宋体" w:cs="Times New Roman"/>
      <w:sz w:val="30"/>
      <w:szCs w:val="30"/>
    </w:rPr>
  </w:style>
  <w:style w:type="character" w:styleId="a5">
    <w:name w:val="Hyperlink"/>
    <w:uiPriority w:val="99"/>
    <w:rsid w:val="00E75E92"/>
    <w:rPr>
      <w:color w:val="0000FF"/>
      <w:u w:val="single"/>
    </w:rPr>
  </w:style>
  <w:style w:type="table" w:styleId="a6">
    <w:name w:val="Table Grid"/>
    <w:basedOn w:val="a1"/>
    <w:rsid w:val="00E75E92"/>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E75E92"/>
    <w:pPr>
      <w:widowControl/>
      <w:spacing w:before="100" w:beforeAutospacing="1" w:after="100" w:afterAutospacing="1"/>
      <w:jc w:val="left"/>
    </w:pPr>
    <w:rPr>
      <w:rFonts w:ascii="宋体" w:hAnsi="宋体" w:cs="宋体"/>
      <w:kern w:val="0"/>
      <w:sz w:val="24"/>
    </w:rPr>
  </w:style>
  <w:style w:type="paragraph" w:styleId="a8">
    <w:name w:val="Body Text Indent"/>
    <w:basedOn w:val="a"/>
    <w:link w:val="Char1"/>
    <w:unhideWhenUsed/>
    <w:rsid w:val="00E75E92"/>
    <w:pPr>
      <w:spacing w:after="120"/>
      <w:ind w:leftChars="200" w:left="420"/>
    </w:pPr>
    <w:rPr>
      <w:kern w:val="0"/>
      <w:sz w:val="20"/>
      <w:lang w:val="x-none" w:eastAsia="x-none"/>
    </w:rPr>
  </w:style>
  <w:style w:type="character" w:customStyle="1" w:styleId="Char1">
    <w:name w:val="正文文本缩进 Char"/>
    <w:link w:val="a8"/>
    <w:rsid w:val="00E75E92"/>
    <w:rPr>
      <w:rFonts w:ascii="Times New Roman" w:eastAsia="宋体" w:hAnsi="Times New Roman" w:cs="Times New Roman"/>
      <w:szCs w:val="24"/>
    </w:rPr>
  </w:style>
  <w:style w:type="paragraph" w:styleId="30">
    <w:name w:val="Body Text Indent 3"/>
    <w:basedOn w:val="a"/>
    <w:link w:val="3Char0"/>
    <w:unhideWhenUsed/>
    <w:rsid w:val="00E75E92"/>
    <w:pPr>
      <w:spacing w:after="120"/>
      <w:ind w:leftChars="200" w:left="420"/>
    </w:pPr>
    <w:rPr>
      <w:kern w:val="0"/>
      <w:sz w:val="16"/>
      <w:szCs w:val="16"/>
      <w:lang w:val="x-none" w:eastAsia="x-none"/>
    </w:rPr>
  </w:style>
  <w:style w:type="character" w:customStyle="1" w:styleId="3Char0">
    <w:name w:val="正文文本缩进 3 Char"/>
    <w:link w:val="30"/>
    <w:rsid w:val="00E75E92"/>
    <w:rPr>
      <w:rFonts w:ascii="Times New Roman" w:eastAsia="宋体" w:hAnsi="Times New Roman" w:cs="Times New Roman"/>
      <w:sz w:val="16"/>
      <w:szCs w:val="16"/>
    </w:rPr>
  </w:style>
  <w:style w:type="paragraph" w:styleId="a9">
    <w:name w:val="header"/>
    <w:basedOn w:val="a"/>
    <w:link w:val="Char2"/>
    <w:uiPriority w:val="99"/>
    <w:unhideWhenUsed/>
    <w:rsid w:val="00E75E92"/>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2">
    <w:name w:val="页眉 Char"/>
    <w:link w:val="a9"/>
    <w:uiPriority w:val="99"/>
    <w:rsid w:val="00E75E92"/>
    <w:rPr>
      <w:rFonts w:ascii="Times New Roman" w:eastAsia="宋体" w:hAnsi="Times New Roman" w:cs="Times New Roman"/>
      <w:sz w:val="18"/>
      <w:szCs w:val="18"/>
    </w:rPr>
  </w:style>
  <w:style w:type="paragraph" w:styleId="aa">
    <w:name w:val="List Paragraph"/>
    <w:basedOn w:val="a"/>
    <w:uiPriority w:val="34"/>
    <w:qFormat/>
    <w:rsid w:val="00E75E92"/>
    <w:pPr>
      <w:ind w:firstLineChars="200" w:firstLine="420"/>
    </w:pPr>
  </w:style>
  <w:style w:type="paragraph" w:styleId="HTML">
    <w:name w:val="HTML Preformatted"/>
    <w:basedOn w:val="a"/>
    <w:link w:val="HTMLChar"/>
    <w:rsid w:val="00E75E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rsid w:val="00E75E92"/>
    <w:rPr>
      <w:rFonts w:ascii="宋体" w:eastAsia="宋体" w:hAnsi="宋体" w:cs="宋体"/>
      <w:kern w:val="0"/>
      <w:sz w:val="24"/>
      <w:szCs w:val="24"/>
    </w:rPr>
  </w:style>
  <w:style w:type="paragraph" w:styleId="TOC">
    <w:name w:val="TOC Heading"/>
    <w:basedOn w:val="1"/>
    <w:next w:val="a"/>
    <w:uiPriority w:val="39"/>
    <w:qFormat/>
    <w:rsid w:val="00E75E92"/>
    <w:pPr>
      <w:widowControl/>
      <w:spacing w:before="480" w:after="0" w:line="276" w:lineRule="auto"/>
      <w:jc w:val="left"/>
      <w:outlineLvl w:val="9"/>
    </w:pPr>
    <w:rPr>
      <w:rFonts w:ascii="Cambria" w:hAnsi="Cambria"/>
      <w:color w:val="365F91"/>
      <w:kern w:val="0"/>
      <w:sz w:val="28"/>
      <w:szCs w:val="28"/>
      <w:lang w:eastAsia="en-US"/>
    </w:rPr>
  </w:style>
  <w:style w:type="paragraph" w:styleId="10">
    <w:name w:val="toc 1"/>
    <w:basedOn w:val="a"/>
    <w:next w:val="a"/>
    <w:autoRedefine/>
    <w:uiPriority w:val="39"/>
    <w:unhideWhenUsed/>
    <w:rsid w:val="00E75E92"/>
    <w:pPr>
      <w:tabs>
        <w:tab w:val="right" w:leader="dot" w:pos="8302"/>
      </w:tabs>
      <w:spacing w:line="360" w:lineRule="auto"/>
    </w:pPr>
  </w:style>
  <w:style w:type="paragraph" w:styleId="31">
    <w:name w:val="toc 3"/>
    <w:basedOn w:val="a"/>
    <w:next w:val="a"/>
    <w:autoRedefine/>
    <w:uiPriority w:val="39"/>
    <w:unhideWhenUsed/>
    <w:rsid w:val="00E75E92"/>
    <w:pPr>
      <w:ind w:leftChars="400" w:left="840"/>
    </w:pPr>
  </w:style>
  <w:style w:type="paragraph" w:styleId="ab">
    <w:name w:val="Balloon Text"/>
    <w:basedOn w:val="a"/>
    <w:link w:val="Char3"/>
    <w:semiHidden/>
    <w:rsid w:val="00E75E92"/>
    <w:rPr>
      <w:kern w:val="0"/>
      <w:sz w:val="18"/>
      <w:szCs w:val="18"/>
      <w:lang w:val="x-none" w:eastAsia="x-none"/>
    </w:rPr>
  </w:style>
  <w:style w:type="character" w:customStyle="1" w:styleId="Char3">
    <w:name w:val="批注框文本 Char"/>
    <w:link w:val="ab"/>
    <w:semiHidden/>
    <w:rsid w:val="00E75E92"/>
    <w:rPr>
      <w:rFonts w:ascii="Times New Roman" w:eastAsia="宋体" w:hAnsi="Times New Roman" w:cs="Times New Roman"/>
      <w:sz w:val="18"/>
      <w:szCs w:val="18"/>
    </w:rPr>
  </w:style>
  <w:style w:type="character" w:styleId="ac">
    <w:name w:val="Strong"/>
    <w:uiPriority w:val="22"/>
    <w:qFormat/>
    <w:rsid w:val="001C41C0"/>
    <w:rPr>
      <w:b/>
      <w:bCs/>
    </w:rPr>
  </w:style>
  <w:style w:type="character" w:customStyle="1" w:styleId="apple-style-span">
    <w:name w:val="apple-style-span"/>
    <w:basedOn w:val="a0"/>
    <w:rsid w:val="001C41C0"/>
  </w:style>
  <w:style w:type="character" w:styleId="ad">
    <w:name w:val="annotation reference"/>
    <w:semiHidden/>
    <w:rsid w:val="00F35FD4"/>
    <w:rPr>
      <w:sz w:val="21"/>
      <w:szCs w:val="21"/>
    </w:rPr>
  </w:style>
  <w:style w:type="paragraph" w:styleId="ae">
    <w:name w:val="annotation text"/>
    <w:basedOn w:val="a"/>
    <w:semiHidden/>
    <w:rsid w:val="00F35FD4"/>
    <w:pPr>
      <w:jc w:val="left"/>
    </w:pPr>
  </w:style>
  <w:style w:type="paragraph" w:styleId="af">
    <w:name w:val="annotation subject"/>
    <w:basedOn w:val="ae"/>
    <w:next w:val="ae"/>
    <w:semiHidden/>
    <w:rsid w:val="00F35FD4"/>
    <w:rPr>
      <w:b/>
      <w:bCs/>
    </w:rPr>
  </w:style>
  <w:style w:type="character" w:styleId="af0">
    <w:name w:val="FollowedHyperlink"/>
    <w:aliases w:val="已访问的超链接"/>
    <w:rsid w:val="0056108E"/>
    <w:rPr>
      <w:color w:val="800080"/>
      <w:u w:val="single"/>
    </w:rPr>
  </w:style>
  <w:style w:type="paragraph" w:styleId="af1">
    <w:name w:val="Body Text"/>
    <w:basedOn w:val="a"/>
    <w:rsid w:val="00E2502A"/>
    <w:pPr>
      <w:spacing w:after="120"/>
    </w:pPr>
  </w:style>
  <w:style w:type="character" w:styleId="af2">
    <w:name w:val="page number"/>
    <w:basedOn w:val="a0"/>
    <w:rsid w:val="00EB0181"/>
  </w:style>
  <w:style w:type="paragraph" w:styleId="af3">
    <w:name w:val="Revision"/>
    <w:hidden/>
    <w:uiPriority w:val="99"/>
    <w:semiHidden/>
    <w:rsid w:val="00783479"/>
    <w:rPr>
      <w:rFonts w:ascii="Times New Roman" w:hAnsi="Times New Roman"/>
      <w:kern w:val="2"/>
      <w:sz w:val="21"/>
      <w:szCs w:val="24"/>
    </w:rPr>
  </w:style>
  <w:style w:type="paragraph" w:styleId="af4">
    <w:name w:val="Document Map"/>
    <w:basedOn w:val="a"/>
    <w:link w:val="Char4"/>
    <w:uiPriority w:val="99"/>
    <w:semiHidden/>
    <w:unhideWhenUsed/>
    <w:rsid w:val="00E40C11"/>
    <w:rPr>
      <w:rFonts w:ascii="宋体"/>
      <w:sz w:val="18"/>
      <w:szCs w:val="18"/>
      <w:lang w:val="x-none" w:eastAsia="x-none"/>
    </w:rPr>
  </w:style>
  <w:style w:type="character" w:customStyle="1" w:styleId="Char4">
    <w:name w:val="文档结构图 Char"/>
    <w:link w:val="af4"/>
    <w:uiPriority w:val="99"/>
    <w:semiHidden/>
    <w:rsid w:val="00E40C11"/>
    <w:rPr>
      <w:rFonts w:ascii="宋体" w:hAnsi="Times New Roman"/>
      <w:kern w:val="2"/>
      <w:sz w:val="18"/>
      <w:szCs w:val="18"/>
    </w:rPr>
  </w:style>
  <w:style w:type="paragraph" w:customStyle="1" w:styleId="Default">
    <w:name w:val="Default"/>
    <w:rsid w:val="00FA51B3"/>
    <w:pPr>
      <w:widowControl w:val="0"/>
      <w:autoSpaceDE w:val="0"/>
      <w:autoSpaceDN w:val="0"/>
      <w:adjustRightInd w:val="0"/>
    </w:pPr>
    <w:rPr>
      <w:rFonts w:ascii="宋体" w:cs="宋体"/>
      <w:color w:val="000000"/>
      <w:sz w:val="24"/>
      <w:szCs w:val="24"/>
    </w:rPr>
  </w:style>
  <w:style w:type="character" w:customStyle="1" w:styleId="005Char">
    <w:name w:val="005正文 Char"/>
    <w:link w:val="005"/>
    <w:qFormat/>
    <w:rsid w:val="003C4302"/>
    <w:rPr>
      <w:kern w:val="2"/>
      <w:sz w:val="24"/>
      <w:szCs w:val="22"/>
    </w:rPr>
  </w:style>
  <w:style w:type="paragraph" w:customStyle="1" w:styleId="005">
    <w:name w:val="005正文"/>
    <w:basedOn w:val="a"/>
    <w:link w:val="005Char"/>
    <w:rsid w:val="003C4302"/>
    <w:pPr>
      <w:spacing w:beforeLines="50" w:line="360" w:lineRule="auto"/>
      <w:ind w:firstLineChars="200" w:firstLine="200"/>
    </w:pPr>
    <w:rPr>
      <w:rFonts w:ascii="Calibri" w:hAnsi="Calibri"/>
      <w:sz w:val="24"/>
      <w:szCs w:val="22"/>
    </w:rPr>
  </w:style>
  <w:style w:type="character" w:customStyle="1" w:styleId="apple-converted-space">
    <w:name w:val="apple-converted-space"/>
    <w:rsid w:val="00073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4277">
      <w:bodyDiv w:val="1"/>
      <w:marLeft w:val="0"/>
      <w:marRight w:val="0"/>
      <w:marTop w:val="0"/>
      <w:marBottom w:val="0"/>
      <w:divBdr>
        <w:top w:val="none" w:sz="0" w:space="0" w:color="auto"/>
        <w:left w:val="none" w:sz="0" w:space="0" w:color="auto"/>
        <w:bottom w:val="none" w:sz="0" w:space="0" w:color="auto"/>
        <w:right w:val="none" w:sz="0" w:space="0" w:color="auto"/>
      </w:divBdr>
      <w:divsChild>
        <w:div w:id="561327783">
          <w:marLeft w:val="0"/>
          <w:marRight w:val="0"/>
          <w:marTop w:val="0"/>
          <w:marBottom w:val="0"/>
          <w:divBdr>
            <w:top w:val="none" w:sz="0" w:space="0" w:color="auto"/>
            <w:left w:val="none" w:sz="0" w:space="0" w:color="auto"/>
            <w:bottom w:val="none" w:sz="0" w:space="0" w:color="auto"/>
            <w:right w:val="none" w:sz="0" w:space="0" w:color="auto"/>
          </w:divBdr>
          <w:divsChild>
            <w:div w:id="1857303443">
              <w:marLeft w:val="0"/>
              <w:marRight w:val="0"/>
              <w:marTop w:val="0"/>
              <w:marBottom w:val="0"/>
              <w:divBdr>
                <w:top w:val="none" w:sz="0" w:space="0" w:color="auto"/>
                <w:left w:val="none" w:sz="0" w:space="0" w:color="auto"/>
                <w:bottom w:val="none" w:sz="0" w:space="0" w:color="auto"/>
                <w:right w:val="none" w:sz="0" w:space="0" w:color="auto"/>
              </w:divBdr>
              <w:divsChild>
                <w:div w:id="2596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8">
      <w:bodyDiv w:val="1"/>
      <w:marLeft w:val="0"/>
      <w:marRight w:val="0"/>
      <w:marTop w:val="0"/>
      <w:marBottom w:val="0"/>
      <w:divBdr>
        <w:top w:val="none" w:sz="0" w:space="0" w:color="auto"/>
        <w:left w:val="none" w:sz="0" w:space="0" w:color="auto"/>
        <w:bottom w:val="none" w:sz="0" w:space="0" w:color="auto"/>
        <w:right w:val="none" w:sz="0" w:space="0" w:color="auto"/>
      </w:divBdr>
      <w:divsChild>
        <w:div w:id="847521578">
          <w:marLeft w:val="0"/>
          <w:marRight w:val="0"/>
          <w:marTop w:val="0"/>
          <w:marBottom w:val="0"/>
          <w:divBdr>
            <w:top w:val="none" w:sz="0" w:space="0" w:color="auto"/>
            <w:left w:val="none" w:sz="0" w:space="0" w:color="auto"/>
            <w:bottom w:val="none" w:sz="0" w:space="0" w:color="auto"/>
            <w:right w:val="none" w:sz="0" w:space="0" w:color="auto"/>
          </w:divBdr>
          <w:divsChild>
            <w:div w:id="2023779050">
              <w:marLeft w:val="0"/>
              <w:marRight w:val="0"/>
              <w:marTop w:val="0"/>
              <w:marBottom w:val="0"/>
              <w:divBdr>
                <w:top w:val="none" w:sz="0" w:space="0" w:color="auto"/>
                <w:left w:val="none" w:sz="0" w:space="0" w:color="auto"/>
                <w:bottom w:val="none" w:sz="0" w:space="0" w:color="auto"/>
                <w:right w:val="none" w:sz="0" w:space="0" w:color="auto"/>
              </w:divBdr>
              <w:divsChild>
                <w:div w:id="1446845008">
                  <w:marLeft w:val="0"/>
                  <w:marRight w:val="0"/>
                  <w:marTop w:val="0"/>
                  <w:marBottom w:val="0"/>
                  <w:divBdr>
                    <w:top w:val="none" w:sz="0" w:space="0" w:color="auto"/>
                    <w:left w:val="none" w:sz="0" w:space="0" w:color="auto"/>
                    <w:bottom w:val="none" w:sz="0" w:space="0" w:color="auto"/>
                    <w:right w:val="none" w:sz="0" w:space="0" w:color="auto"/>
                  </w:divBdr>
                  <w:divsChild>
                    <w:div w:id="1153763517">
                      <w:marLeft w:val="0"/>
                      <w:marRight w:val="0"/>
                      <w:marTop w:val="0"/>
                      <w:marBottom w:val="0"/>
                      <w:divBdr>
                        <w:top w:val="none" w:sz="0" w:space="0" w:color="auto"/>
                        <w:left w:val="none" w:sz="0" w:space="0" w:color="auto"/>
                        <w:bottom w:val="none" w:sz="0" w:space="0" w:color="auto"/>
                        <w:right w:val="none" w:sz="0" w:space="0" w:color="auto"/>
                      </w:divBdr>
                      <w:divsChild>
                        <w:div w:id="11443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82506">
      <w:bodyDiv w:val="1"/>
      <w:marLeft w:val="0"/>
      <w:marRight w:val="0"/>
      <w:marTop w:val="0"/>
      <w:marBottom w:val="0"/>
      <w:divBdr>
        <w:top w:val="none" w:sz="0" w:space="0" w:color="auto"/>
        <w:left w:val="none" w:sz="0" w:space="0" w:color="auto"/>
        <w:bottom w:val="none" w:sz="0" w:space="0" w:color="auto"/>
        <w:right w:val="none" w:sz="0" w:space="0" w:color="auto"/>
      </w:divBdr>
    </w:div>
    <w:div w:id="71315666">
      <w:bodyDiv w:val="1"/>
      <w:marLeft w:val="0"/>
      <w:marRight w:val="0"/>
      <w:marTop w:val="0"/>
      <w:marBottom w:val="0"/>
      <w:divBdr>
        <w:top w:val="none" w:sz="0" w:space="0" w:color="auto"/>
        <w:left w:val="none" w:sz="0" w:space="0" w:color="auto"/>
        <w:bottom w:val="none" w:sz="0" w:space="0" w:color="auto"/>
        <w:right w:val="none" w:sz="0" w:space="0" w:color="auto"/>
      </w:divBdr>
    </w:div>
    <w:div w:id="100804690">
      <w:bodyDiv w:val="1"/>
      <w:marLeft w:val="0"/>
      <w:marRight w:val="0"/>
      <w:marTop w:val="0"/>
      <w:marBottom w:val="0"/>
      <w:divBdr>
        <w:top w:val="none" w:sz="0" w:space="0" w:color="auto"/>
        <w:left w:val="none" w:sz="0" w:space="0" w:color="auto"/>
        <w:bottom w:val="none" w:sz="0" w:space="0" w:color="auto"/>
        <w:right w:val="none" w:sz="0" w:space="0" w:color="auto"/>
      </w:divBdr>
      <w:divsChild>
        <w:div w:id="1310746688">
          <w:marLeft w:val="274"/>
          <w:marRight w:val="0"/>
          <w:marTop w:val="0"/>
          <w:marBottom w:val="0"/>
          <w:divBdr>
            <w:top w:val="none" w:sz="0" w:space="0" w:color="auto"/>
            <w:left w:val="none" w:sz="0" w:space="0" w:color="auto"/>
            <w:bottom w:val="none" w:sz="0" w:space="0" w:color="auto"/>
            <w:right w:val="none" w:sz="0" w:space="0" w:color="auto"/>
          </w:divBdr>
        </w:div>
      </w:divsChild>
    </w:div>
    <w:div w:id="101657900">
      <w:bodyDiv w:val="1"/>
      <w:marLeft w:val="0"/>
      <w:marRight w:val="0"/>
      <w:marTop w:val="0"/>
      <w:marBottom w:val="0"/>
      <w:divBdr>
        <w:top w:val="none" w:sz="0" w:space="0" w:color="auto"/>
        <w:left w:val="none" w:sz="0" w:space="0" w:color="auto"/>
        <w:bottom w:val="none" w:sz="0" w:space="0" w:color="auto"/>
        <w:right w:val="none" w:sz="0" w:space="0" w:color="auto"/>
      </w:divBdr>
    </w:div>
    <w:div w:id="145169747">
      <w:bodyDiv w:val="1"/>
      <w:marLeft w:val="0"/>
      <w:marRight w:val="0"/>
      <w:marTop w:val="0"/>
      <w:marBottom w:val="0"/>
      <w:divBdr>
        <w:top w:val="none" w:sz="0" w:space="0" w:color="auto"/>
        <w:left w:val="none" w:sz="0" w:space="0" w:color="auto"/>
        <w:bottom w:val="none" w:sz="0" w:space="0" w:color="auto"/>
        <w:right w:val="none" w:sz="0" w:space="0" w:color="auto"/>
      </w:divBdr>
    </w:div>
    <w:div w:id="208617164">
      <w:bodyDiv w:val="1"/>
      <w:marLeft w:val="0"/>
      <w:marRight w:val="0"/>
      <w:marTop w:val="0"/>
      <w:marBottom w:val="0"/>
      <w:divBdr>
        <w:top w:val="none" w:sz="0" w:space="0" w:color="auto"/>
        <w:left w:val="none" w:sz="0" w:space="0" w:color="auto"/>
        <w:bottom w:val="none" w:sz="0" w:space="0" w:color="auto"/>
        <w:right w:val="none" w:sz="0" w:space="0" w:color="auto"/>
      </w:divBdr>
    </w:div>
    <w:div w:id="217055716">
      <w:bodyDiv w:val="1"/>
      <w:marLeft w:val="0"/>
      <w:marRight w:val="0"/>
      <w:marTop w:val="0"/>
      <w:marBottom w:val="0"/>
      <w:divBdr>
        <w:top w:val="none" w:sz="0" w:space="0" w:color="auto"/>
        <w:left w:val="none" w:sz="0" w:space="0" w:color="auto"/>
        <w:bottom w:val="none" w:sz="0" w:space="0" w:color="auto"/>
        <w:right w:val="none" w:sz="0" w:space="0" w:color="auto"/>
      </w:divBdr>
      <w:divsChild>
        <w:div w:id="482427632">
          <w:marLeft w:val="446"/>
          <w:marRight w:val="0"/>
          <w:marTop w:val="0"/>
          <w:marBottom w:val="0"/>
          <w:divBdr>
            <w:top w:val="none" w:sz="0" w:space="0" w:color="auto"/>
            <w:left w:val="none" w:sz="0" w:space="0" w:color="auto"/>
            <w:bottom w:val="none" w:sz="0" w:space="0" w:color="auto"/>
            <w:right w:val="none" w:sz="0" w:space="0" w:color="auto"/>
          </w:divBdr>
        </w:div>
      </w:divsChild>
    </w:div>
    <w:div w:id="243420644">
      <w:bodyDiv w:val="1"/>
      <w:marLeft w:val="0"/>
      <w:marRight w:val="0"/>
      <w:marTop w:val="0"/>
      <w:marBottom w:val="0"/>
      <w:divBdr>
        <w:top w:val="none" w:sz="0" w:space="0" w:color="auto"/>
        <w:left w:val="none" w:sz="0" w:space="0" w:color="auto"/>
        <w:bottom w:val="none" w:sz="0" w:space="0" w:color="auto"/>
        <w:right w:val="none" w:sz="0" w:space="0" w:color="auto"/>
      </w:divBdr>
    </w:div>
    <w:div w:id="262155473">
      <w:bodyDiv w:val="1"/>
      <w:marLeft w:val="0"/>
      <w:marRight w:val="0"/>
      <w:marTop w:val="0"/>
      <w:marBottom w:val="0"/>
      <w:divBdr>
        <w:top w:val="none" w:sz="0" w:space="0" w:color="auto"/>
        <w:left w:val="none" w:sz="0" w:space="0" w:color="auto"/>
        <w:bottom w:val="none" w:sz="0" w:space="0" w:color="auto"/>
        <w:right w:val="none" w:sz="0" w:space="0" w:color="auto"/>
      </w:divBdr>
    </w:div>
    <w:div w:id="304353479">
      <w:bodyDiv w:val="1"/>
      <w:marLeft w:val="0"/>
      <w:marRight w:val="0"/>
      <w:marTop w:val="0"/>
      <w:marBottom w:val="0"/>
      <w:divBdr>
        <w:top w:val="none" w:sz="0" w:space="0" w:color="auto"/>
        <w:left w:val="none" w:sz="0" w:space="0" w:color="auto"/>
        <w:bottom w:val="none" w:sz="0" w:space="0" w:color="auto"/>
        <w:right w:val="none" w:sz="0" w:space="0" w:color="auto"/>
      </w:divBdr>
    </w:div>
    <w:div w:id="395474860">
      <w:bodyDiv w:val="1"/>
      <w:marLeft w:val="0"/>
      <w:marRight w:val="0"/>
      <w:marTop w:val="0"/>
      <w:marBottom w:val="0"/>
      <w:divBdr>
        <w:top w:val="none" w:sz="0" w:space="0" w:color="auto"/>
        <w:left w:val="none" w:sz="0" w:space="0" w:color="auto"/>
        <w:bottom w:val="none" w:sz="0" w:space="0" w:color="auto"/>
        <w:right w:val="none" w:sz="0" w:space="0" w:color="auto"/>
      </w:divBdr>
    </w:div>
    <w:div w:id="472255264">
      <w:bodyDiv w:val="1"/>
      <w:marLeft w:val="0"/>
      <w:marRight w:val="0"/>
      <w:marTop w:val="0"/>
      <w:marBottom w:val="0"/>
      <w:divBdr>
        <w:top w:val="none" w:sz="0" w:space="0" w:color="auto"/>
        <w:left w:val="none" w:sz="0" w:space="0" w:color="auto"/>
        <w:bottom w:val="none" w:sz="0" w:space="0" w:color="auto"/>
        <w:right w:val="none" w:sz="0" w:space="0" w:color="auto"/>
      </w:divBdr>
    </w:div>
    <w:div w:id="495804993">
      <w:bodyDiv w:val="1"/>
      <w:marLeft w:val="0"/>
      <w:marRight w:val="0"/>
      <w:marTop w:val="0"/>
      <w:marBottom w:val="0"/>
      <w:divBdr>
        <w:top w:val="none" w:sz="0" w:space="0" w:color="auto"/>
        <w:left w:val="none" w:sz="0" w:space="0" w:color="auto"/>
        <w:bottom w:val="none" w:sz="0" w:space="0" w:color="auto"/>
        <w:right w:val="none" w:sz="0" w:space="0" w:color="auto"/>
      </w:divBdr>
      <w:divsChild>
        <w:div w:id="909193760">
          <w:marLeft w:val="446"/>
          <w:marRight w:val="0"/>
          <w:marTop w:val="0"/>
          <w:marBottom w:val="0"/>
          <w:divBdr>
            <w:top w:val="none" w:sz="0" w:space="0" w:color="auto"/>
            <w:left w:val="none" w:sz="0" w:space="0" w:color="auto"/>
            <w:bottom w:val="none" w:sz="0" w:space="0" w:color="auto"/>
            <w:right w:val="none" w:sz="0" w:space="0" w:color="auto"/>
          </w:divBdr>
        </w:div>
      </w:divsChild>
    </w:div>
    <w:div w:id="505092264">
      <w:bodyDiv w:val="1"/>
      <w:marLeft w:val="0"/>
      <w:marRight w:val="0"/>
      <w:marTop w:val="0"/>
      <w:marBottom w:val="0"/>
      <w:divBdr>
        <w:top w:val="none" w:sz="0" w:space="0" w:color="auto"/>
        <w:left w:val="none" w:sz="0" w:space="0" w:color="auto"/>
        <w:bottom w:val="none" w:sz="0" w:space="0" w:color="auto"/>
        <w:right w:val="none" w:sz="0" w:space="0" w:color="auto"/>
      </w:divBdr>
    </w:div>
    <w:div w:id="525021356">
      <w:bodyDiv w:val="1"/>
      <w:marLeft w:val="0"/>
      <w:marRight w:val="0"/>
      <w:marTop w:val="0"/>
      <w:marBottom w:val="0"/>
      <w:divBdr>
        <w:top w:val="none" w:sz="0" w:space="0" w:color="auto"/>
        <w:left w:val="none" w:sz="0" w:space="0" w:color="auto"/>
        <w:bottom w:val="none" w:sz="0" w:space="0" w:color="auto"/>
        <w:right w:val="none" w:sz="0" w:space="0" w:color="auto"/>
      </w:divBdr>
      <w:divsChild>
        <w:div w:id="634722316">
          <w:marLeft w:val="274"/>
          <w:marRight w:val="0"/>
          <w:marTop w:val="120"/>
          <w:marBottom w:val="120"/>
          <w:divBdr>
            <w:top w:val="none" w:sz="0" w:space="0" w:color="auto"/>
            <w:left w:val="none" w:sz="0" w:space="0" w:color="auto"/>
            <w:bottom w:val="none" w:sz="0" w:space="0" w:color="auto"/>
            <w:right w:val="none" w:sz="0" w:space="0" w:color="auto"/>
          </w:divBdr>
        </w:div>
      </w:divsChild>
    </w:div>
    <w:div w:id="548881386">
      <w:bodyDiv w:val="1"/>
      <w:marLeft w:val="0"/>
      <w:marRight w:val="0"/>
      <w:marTop w:val="0"/>
      <w:marBottom w:val="0"/>
      <w:divBdr>
        <w:top w:val="none" w:sz="0" w:space="0" w:color="auto"/>
        <w:left w:val="none" w:sz="0" w:space="0" w:color="auto"/>
        <w:bottom w:val="none" w:sz="0" w:space="0" w:color="auto"/>
        <w:right w:val="none" w:sz="0" w:space="0" w:color="auto"/>
      </w:divBdr>
    </w:div>
    <w:div w:id="567038061">
      <w:bodyDiv w:val="1"/>
      <w:marLeft w:val="0"/>
      <w:marRight w:val="0"/>
      <w:marTop w:val="0"/>
      <w:marBottom w:val="0"/>
      <w:divBdr>
        <w:top w:val="none" w:sz="0" w:space="0" w:color="auto"/>
        <w:left w:val="none" w:sz="0" w:space="0" w:color="auto"/>
        <w:bottom w:val="none" w:sz="0" w:space="0" w:color="auto"/>
        <w:right w:val="none" w:sz="0" w:space="0" w:color="auto"/>
      </w:divBdr>
    </w:div>
    <w:div w:id="644043874">
      <w:bodyDiv w:val="1"/>
      <w:marLeft w:val="0"/>
      <w:marRight w:val="0"/>
      <w:marTop w:val="0"/>
      <w:marBottom w:val="0"/>
      <w:divBdr>
        <w:top w:val="none" w:sz="0" w:space="0" w:color="auto"/>
        <w:left w:val="none" w:sz="0" w:space="0" w:color="auto"/>
        <w:bottom w:val="none" w:sz="0" w:space="0" w:color="auto"/>
        <w:right w:val="none" w:sz="0" w:space="0" w:color="auto"/>
      </w:divBdr>
    </w:div>
    <w:div w:id="674189840">
      <w:bodyDiv w:val="1"/>
      <w:marLeft w:val="0"/>
      <w:marRight w:val="0"/>
      <w:marTop w:val="0"/>
      <w:marBottom w:val="0"/>
      <w:divBdr>
        <w:top w:val="none" w:sz="0" w:space="0" w:color="auto"/>
        <w:left w:val="none" w:sz="0" w:space="0" w:color="auto"/>
        <w:bottom w:val="none" w:sz="0" w:space="0" w:color="auto"/>
        <w:right w:val="none" w:sz="0" w:space="0" w:color="auto"/>
      </w:divBdr>
      <w:divsChild>
        <w:div w:id="289435406">
          <w:marLeft w:val="274"/>
          <w:marRight w:val="0"/>
          <w:marTop w:val="0"/>
          <w:marBottom w:val="0"/>
          <w:divBdr>
            <w:top w:val="none" w:sz="0" w:space="0" w:color="auto"/>
            <w:left w:val="none" w:sz="0" w:space="0" w:color="auto"/>
            <w:bottom w:val="none" w:sz="0" w:space="0" w:color="auto"/>
            <w:right w:val="none" w:sz="0" w:space="0" w:color="auto"/>
          </w:divBdr>
        </w:div>
      </w:divsChild>
    </w:div>
    <w:div w:id="677661168">
      <w:bodyDiv w:val="1"/>
      <w:marLeft w:val="0"/>
      <w:marRight w:val="0"/>
      <w:marTop w:val="0"/>
      <w:marBottom w:val="0"/>
      <w:divBdr>
        <w:top w:val="none" w:sz="0" w:space="0" w:color="auto"/>
        <w:left w:val="none" w:sz="0" w:space="0" w:color="auto"/>
        <w:bottom w:val="none" w:sz="0" w:space="0" w:color="auto"/>
        <w:right w:val="none" w:sz="0" w:space="0" w:color="auto"/>
      </w:divBdr>
    </w:div>
    <w:div w:id="698050806">
      <w:bodyDiv w:val="1"/>
      <w:marLeft w:val="0"/>
      <w:marRight w:val="0"/>
      <w:marTop w:val="0"/>
      <w:marBottom w:val="0"/>
      <w:divBdr>
        <w:top w:val="none" w:sz="0" w:space="0" w:color="auto"/>
        <w:left w:val="none" w:sz="0" w:space="0" w:color="auto"/>
        <w:bottom w:val="none" w:sz="0" w:space="0" w:color="auto"/>
        <w:right w:val="none" w:sz="0" w:space="0" w:color="auto"/>
      </w:divBdr>
      <w:divsChild>
        <w:div w:id="1903373191">
          <w:marLeft w:val="0"/>
          <w:marRight w:val="0"/>
          <w:marTop w:val="0"/>
          <w:marBottom w:val="0"/>
          <w:divBdr>
            <w:top w:val="none" w:sz="0" w:space="0" w:color="auto"/>
            <w:left w:val="none" w:sz="0" w:space="0" w:color="auto"/>
            <w:bottom w:val="none" w:sz="0" w:space="0" w:color="auto"/>
            <w:right w:val="none" w:sz="0" w:space="0" w:color="auto"/>
          </w:divBdr>
          <w:divsChild>
            <w:div w:id="616059202">
              <w:marLeft w:val="0"/>
              <w:marRight w:val="0"/>
              <w:marTop w:val="0"/>
              <w:marBottom w:val="0"/>
              <w:divBdr>
                <w:top w:val="none" w:sz="0" w:space="0" w:color="auto"/>
                <w:left w:val="none" w:sz="0" w:space="0" w:color="auto"/>
                <w:bottom w:val="none" w:sz="0" w:space="0" w:color="auto"/>
                <w:right w:val="none" w:sz="0" w:space="0" w:color="auto"/>
              </w:divBdr>
              <w:divsChild>
                <w:div w:id="10330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3358">
      <w:bodyDiv w:val="1"/>
      <w:marLeft w:val="0"/>
      <w:marRight w:val="0"/>
      <w:marTop w:val="0"/>
      <w:marBottom w:val="0"/>
      <w:divBdr>
        <w:top w:val="none" w:sz="0" w:space="0" w:color="auto"/>
        <w:left w:val="none" w:sz="0" w:space="0" w:color="auto"/>
        <w:bottom w:val="none" w:sz="0" w:space="0" w:color="auto"/>
        <w:right w:val="none" w:sz="0" w:space="0" w:color="auto"/>
      </w:divBdr>
      <w:divsChild>
        <w:div w:id="2072388251">
          <w:marLeft w:val="446"/>
          <w:marRight w:val="0"/>
          <w:marTop w:val="0"/>
          <w:marBottom w:val="0"/>
          <w:divBdr>
            <w:top w:val="none" w:sz="0" w:space="0" w:color="auto"/>
            <w:left w:val="none" w:sz="0" w:space="0" w:color="auto"/>
            <w:bottom w:val="none" w:sz="0" w:space="0" w:color="auto"/>
            <w:right w:val="none" w:sz="0" w:space="0" w:color="auto"/>
          </w:divBdr>
        </w:div>
      </w:divsChild>
    </w:div>
    <w:div w:id="993677764">
      <w:bodyDiv w:val="1"/>
      <w:marLeft w:val="0"/>
      <w:marRight w:val="0"/>
      <w:marTop w:val="0"/>
      <w:marBottom w:val="0"/>
      <w:divBdr>
        <w:top w:val="none" w:sz="0" w:space="0" w:color="auto"/>
        <w:left w:val="none" w:sz="0" w:space="0" w:color="auto"/>
        <w:bottom w:val="none" w:sz="0" w:space="0" w:color="auto"/>
        <w:right w:val="none" w:sz="0" w:space="0" w:color="auto"/>
      </w:divBdr>
    </w:div>
    <w:div w:id="999230703">
      <w:bodyDiv w:val="1"/>
      <w:marLeft w:val="0"/>
      <w:marRight w:val="0"/>
      <w:marTop w:val="0"/>
      <w:marBottom w:val="0"/>
      <w:divBdr>
        <w:top w:val="none" w:sz="0" w:space="0" w:color="auto"/>
        <w:left w:val="none" w:sz="0" w:space="0" w:color="auto"/>
        <w:bottom w:val="none" w:sz="0" w:space="0" w:color="auto"/>
        <w:right w:val="none" w:sz="0" w:space="0" w:color="auto"/>
      </w:divBdr>
      <w:divsChild>
        <w:div w:id="1252472440">
          <w:marLeft w:val="0"/>
          <w:marRight w:val="0"/>
          <w:marTop w:val="0"/>
          <w:marBottom w:val="0"/>
          <w:divBdr>
            <w:top w:val="none" w:sz="0" w:space="0" w:color="auto"/>
            <w:left w:val="none" w:sz="0" w:space="0" w:color="auto"/>
            <w:bottom w:val="none" w:sz="0" w:space="0" w:color="auto"/>
            <w:right w:val="none" w:sz="0" w:space="0" w:color="auto"/>
          </w:divBdr>
          <w:divsChild>
            <w:div w:id="1630090652">
              <w:marLeft w:val="0"/>
              <w:marRight w:val="0"/>
              <w:marTop w:val="0"/>
              <w:marBottom w:val="0"/>
              <w:divBdr>
                <w:top w:val="none" w:sz="0" w:space="0" w:color="auto"/>
                <w:left w:val="none" w:sz="0" w:space="0" w:color="auto"/>
                <w:bottom w:val="none" w:sz="0" w:space="0" w:color="auto"/>
                <w:right w:val="none" w:sz="0" w:space="0" w:color="auto"/>
              </w:divBdr>
              <w:divsChild>
                <w:div w:id="2142458044">
                  <w:marLeft w:val="0"/>
                  <w:marRight w:val="0"/>
                  <w:marTop w:val="0"/>
                  <w:marBottom w:val="600"/>
                  <w:divBdr>
                    <w:top w:val="none" w:sz="0" w:space="0" w:color="auto"/>
                    <w:left w:val="none" w:sz="0" w:space="0" w:color="auto"/>
                    <w:bottom w:val="none" w:sz="0" w:space="0" w:color="auto"/>
                    <w:right w:val="none" w:sz="0" w:space="0" w:color="auto"/>
                  </w:divBdr>
                  <w:divsChild>
                    <w:div w:id="1429278257">
                      <w:marLeft w:val="0"/>
                      <w:marRight w:val="0"/>
                      <w:marTop w:val="0"/>
                      <w:marBottom w:val="0"/>
                      <w:divBdr>
                        <w:top w:val="none" w:sz="0" w:space="0" w:color="auto"/>
                        <w:left w:val="none" w:sz="0" w:space="0" w:color="auto"/>
                        <w:bottom w:val="none" w:sz="0" w:space="0" w:color="auto"/>
                        <w:right w:val="none" w:sz="0" w:space="0" w:color="auto"/>
                      </w:divBdr>
                      <w:divsChild>
                        <w:div w:id="1830555291">
                          <w:marLeft w:val="0"/>
                          <w:marRight w:val="0"/>
                          <w:marTop w:val="0"/>
                          <w:marBottom w:val="0"/>
                          <w:divBdr>
                            <w:top w:val="none" w:sz="0" w:space="0" w:color="auto"/>
                            <w:left w:val="none" w:sz="0" w:space="0" w:color="auto"/>
                            <w:bottom w:val="none" w:sz="0" w:space="0" w:color="auto"/>
                            <w:right w:val="none" w:sz="0" w:space="0" w:color="auto"/>
                          </w:divBdr>
                          <w:divsChild>
                            <w:div w:id="829172071">
                              <w:marLeft w:val="0"/>
                              <w:marRight w:val="0"/>
                              <w:marTop w:val="0"/>
                              <w:marBottom w:val="0"/>
                              <w:divBdr>
                                <w:top w:val="none" w:sz="0" w:space="0" w:color="auto"/>
                                <w:left w:val="none" w:sz="0" w:space="0" w:color="auto"/>
                                <w:bottom w:val="none" w:sz="0" w:space="0" w:color="auto"/>
                                <w:right w:val="none" w:sz="0" w:space="0" w:color="auto"/>
                              </w:divBdr>
                              <w:divsChild>
                                <w:div w:id="1380283548">
                                  <w:marLeft w:val="0"/>
                                  <w:marRight w:val="0"/>
                                  <w:marTop w:val="0"/>
                                  <w:marBottom w:val="0"/>
                                  <w:divBdr>
                                    <w:top w:val="none" w:sz="0" w:space="0" w:color="auto"/>
                                    <w:left w:val="none" w:sz="0" w:space="0" w:color="auto"/>
                                    <w:bottom w:val="none" w:sz="0" w:space="0" w:color="auto"/>
                                    <w:right w:val="none" w:sz="0" w:space="0" w:color="auto"/>
                                  </w:divBdr>
                                  <w:divsChild>
                                    <w:div w:id="1863350860">
                                      <w:marLeft w:val="0"/>
                                      <w:marRight w:val="0"/>
                                      <w:marTop w:val="0"/>
                                      <w:marBottom w:val="0"/>
                                      <w:divBdr>
                                        <w:top w:val="none" w:sz="0" w:space="0" w:color="auto"/>
                                        <w:left w:val="none" w:sz="0" w:space="0" w:color="auto"/>
                                        <w:bottom w:val="single" w:sz="6" w:space="0" w:color="EEEEEE"/>
                                        <w:right w:val="none" w:sz="0" w:space="0" w:color="auto"/>
                                      </w:divBdr>
                                      <w:divsChild>
                                        <w:div w:id="649750868">
                                          <w:marLeft w:val="0"/>
                                          <w:marRight w:val="0"/>
                                          <w:marTop w:val="0"/>
                                          <w:marBottom w:val="0"/>
                                          <w:divBdr>
                                            <w:top w:val="none" w:sz="0" w:space="0" w:color="auto"/>
                                            <w:left w:val="none" w:sz="0" w:space="0" w:color="auto"/>
                                            <w:bottom w:val="none" w:sz="0" w:space="0" w:color="auto"/>
                                            <w:right w:val="none" w:sz="0" w:space="0" w:color="auto"/>
                                          </w:divBdr>
                                          <w:divsChild>
                                            <w:div w:id="13245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685855">
      <w:bodyDiv w:val="1"/>
      <w:marLeft w:val="0"/>
      <w:marRight w:val="0"/>
      <w:marTop w:val="0"/>
      <w:marBottom w:val="0"/>
      <w:divBdr>
        <w:top w:val="none" w:sz="0" w:space="0" w:color="auto"/>
        <w:left w:val="none" w:sz="0" w:space="0" w:color="auto"/>
        <w:bottom w:val="none" w:sz="0" w:space="0" w:color="auto"/>
        <w:right w:val="none" w:sz="0" w:space="0" w:color="auto"/>
      </w:divBdr>
    </w:div>
    <w:div w:id="1011907833">
      <w:bodyDiv w:val="1"/>
      <w:marLeft w:val="0"/>
      <w:marRight w:val="0"/>
      <w:marTop w:val="0"/>
      <w:marBottom w:val="0"/>
      <w:divBdr>
        <w:top w:val="none" w:sz="0" w:space="0" w:color="auto"/>
        <w:left w:val="none" w:sz="0" w:space="0" w:color="auto"/>
        <w:bottom w:val="none" w:sz="0" w:space="0" w:color="auto"/>
        <w:right w:val="none" w:sz="0" w:space="0" w:color="auto"/>
      </w:divBdr>
    </w:div>
    <w:div w:id="1045564662">
      <w:bodyDiv w:val="1"/>
      <w:marLeft w:val="0"/>
      <w:marRight w:val="0"/>
      <w:marTop w:val="0"/>
      <w:marBottom w:val="0"/>
      <w:divBdr>
        <w:top w:val="none" w:sz="0" w:space="0" w:color="auto"/>
        <w:left w:val="none" w:sz="0" w:space="0" w:color="auto"/>
        <w:bottom w:val="none" w:sz="0" w:space="0" w:color="auto"/>
        <w:right w:val="none" w:sz="0" w:space="0" w:color="auto"/>
      </w:divBdr>
    </w:div>
    <w:div w:id="1150248124">
      <w:bodyDiv w:val="1"/>
      <w:marLeft w:val="0"/>
      <w:marRight w:val="0"/>
      <w:marTop w:val="0"/>
      <w:marBottom w:val="0"/>
      <w:divBdr>
        <w:top w:val="none" w:sz="0" w:space="0" w:color="auto"/>
        <w:left w:val="none" w:sz="0" w:space="0" w:color="auto"/>
        <w:bottom w:val="none" w:sz="0" w:space="0" w:color="auto"/>
        <w:right w:val="none" w:sz="0" w:space="0" w:color="auto"/>
      </w:divBdr>
      <w:divsChild>
        <w:div w:id="111747510">
          <w:marLeft w:val="0"/>
          <w:marRight w:val="0"/>
          <w:marTop w:val="0"/>
          <w:marBottom w:val="0"/>
          <w:divBdr>
            <w:top w:val="none" w:sz="0" w:space="0" w:color="auto"/>
            <w:left w:val="none" w:sz="0" w:space="0" w:color="auto"/>
            <w:bottom w:val="none" w:sz="0" w:space="0" w:color="auto"/>
            <w:right w:val="none" w:sz="0" w:space="0" w:color="auto"/>
          </w:divBdr>
        </w:div>
        <w:div w:id="133060529">
          <w:marLeft w:val="0"/>
          <w:marRight w:val="0"/>
          <w:marTop w:val="0"/>
          <w:marBottom w:val="0"/>
          <w:divBdr>
            <w:top w:val="none" w:sz="0" w:space="0" w:color="auto"/>
            <w:left w:val="none" w:sz="0" w:space="0" w:color="auto"/>
            <w:bottom w:val="none" w:sz="0" w:space="0" w:color="auto"/>
            <w:right w:val="none" w:sz="0" w:space="0" w:color="auto"/>
          </w:divBdr>
        </w:div>
        <w:div w:id="1150438509">
          <w:marLeft w:val="0"/>
          <w:marRight w:val="0"/>
          <w:marTop w:val="0"/>
          <w:marBottom w:val="0"/>
          <w:divBdr>
            <w:top w:val="none" w:sz="0" w:space="0" w:color="auto"/>
            <w:left w:val="none" w:sz="0" w:space="0" w:color="auto"/>
            <w:bottom w:val="none" w:sz="0" w:space="0" w:color="auto"/>
            <w:right w:val="none" w:sz="0" w:space="0" w:color="auto"/>
          </w:divBdr>
        </w:div>
        <w:div w:id="1253586092">
          <w:marLeft w:val="0"/>
          <w:marRight w:val="0"/>
          <w:marTop w:val="0"/>
          <w:marBottom w:val="0"/>
          <w:divBdr>
            <w:top w:val="none" w:sz="0" w:space="0" w:color="auto"/>
            <w:left w:val="none" w:sz="0" w:space="0" w:color="auto"/>
            <w:bottom w:val="none" w:sz="0" w:space="0" w:color="auto"/>
            <w:right w:val="none" w:sz="0" w:space="0" w:color="auto"/>
          </w:divBdr>
        </w:div>
        <w:div w:id="1379479201">
          <w:marLeft w:val="0"/>
          <w:marRight w:val="0"/>
          <w:marTop w:val="0"/>
          <w:marBottom w:val="0"/>
          <w:divBdr>
            <w:top w:val="none" w:sz="0" w:space="0" w:color="auto"/>
            <w:left w:val="none" w:sz="0" w:space="0" w:color="auto"/>
            <w:bottom w:val="none" w:sz="0" w:space="0" w:color="auto"/>
            <w:right w:val="none" w:sz="0" w:space="0" w:color="auto"/>
          </w:divBdr>
        </w:div>
        <w:div w:id="1629239496">
          <w:marLeft w:val="0"/>
          <w:marRight w:val="0"/>
          <w:marTop w:val="0"/>
          <w:marBottom w:val="0"/>
          <w:divBdr>
            <w:top w:val="none" w:sz="0" w:space="0" w:color="auto"/>
            <w:left w:val="none" w:sz="0" w:space="0" w:color="auto"/>
            <w:bottom w:val="none" w:sz="0" w:space="0" w:color="auto"/>
            <w:right w:val="none" w:sz="0" w:space="0" w:color="auto"/>
          </w:divBdr>
        </w:div>
        <w:div w:id="1772358450">
          <w:marLeft w:val="0"/>
          <w:marRight w:val="0"/>
          <w:marTop w:val="0"/>
          <w:marBottom w:val="0"/>
          <w:divBdr>
            <w:top w:val="none" w:sz="0" w:space="0" w:color="auto"/>
            <w:left w:val="none" w:sz="0" w:space="0" w:color="auto"/>
            <w:bottom w:val="none" w:sz="0" w:space="0" w:color="auto"/>
            <w:right w:val="none" w:sz="0" w:space="0" w:color="auto"/>
          </w:divBdr>
        </w:div>
        <w:div w:id="2028166689">
          <w:marLeft w:val="0"/>
          <w:marRight w:val="0"/>
          <w:marTop w:val="0"/>
          <w:marBottom w:val="0"/>
          <w:divBdr>
            <w:top w:val="none" w:sz="0" w:space="0" w:color="auto"/>
            <w:left w:val="none" w:sz="0" w:space="0" w:color="auto"/>
            <w:bottom w:val="none" w:sz="0" w:space="0" w:color="auto"/>
            <w:right w:val="none" w:sz="0" w:space="0" w:color="auto"/>
          </w:divBdr>
        </w:div>
      </w:divsChild>
    </w:div>
    <w:div w:id="1167401373">
      <w:bodyDiv w:val="1"/>
      <w:marLeft w:val="0"/>
      <w:marRight w:val="0"/>
      <w:marTop w:val="0"/>
      <w:marBottom w:val="0"/>
      <w:divBdr>
        <w:top w:val="none" w:sz="0" w:space="0" w:color="auto"/>
        <w:left w:val="none" w:sz="0" w:space="0" w:color="auto"/>
        <w:bottom w:val="none" w:sz="0" w:space="0" w:color="auto"/>
        <w:right w:val="none" w:sz="0" w:space="0" w:color="auto"/>
      </w:divBdr>
    </w:div>
    <w:div w:id="1199200128">
      <w:bodyDiv w:val="1"/>
      <w:marLeft w:val="0"/>
      <w:marRight w:val="0"/>
      <w:marTop w:val="0"/>
      <w:marBottom w:val="0"/>
      <w:divBdr>
        <w:top w:val="none" w:sz="0" w:space="0" w:color="auto"/>
        <w:left w:val="none" w:sz="0" w:space="0" w:color="auto"/>
        <w:bottom w:val="none" w:sz="0" w:space="0" w:color="auto"/>
        <w:right w:val="none" w:sz="0" w:space="0" w:color="auto"/>
      </w:divBdr>
    </w:div>
    <w:div w:id="1220286895">
      <w:bodyDiv w:val="1"/>
      <w:marLeft w:val="0"/>
      <w:marRight w:val="0"/>
      <w:marTop w:val="0"/>
      <w:marBottom w:val="0"/>
      <w:divBdr>
        <w:top w:val="none" w:sz="0" w:space="0" w:color="auto"/>
        <w:left w:val="none" w:sz="0" w:space="0" w:color="auto"/>
        <w:bottom w:val="none" w:sz="0" w:space="0" w:color="auto"/>
        <w:right w:val="none" w:sz="0" w:space="0" w:color="auto"/>
      </w:divBdr>
    </w:div>
    <w:div w:id="1229729580">
      <w:bodyDiv w:val="1"/>
      <w:marLeft w:val="0"/>
      <w:marRight w:val="0"/>
      <w:marTop w:val="0"/>
      <w:marBottom w:val="0"/>
      <w:divBdr>
        <w:top w:val="none" w:sz="0" w:space="0" w:color="auto"/>
        <w:left w:val="none" w:sz="0" w:space="0" w:color="auto"/>
        <w:bottom w:val="none" w:sz="0" w:space="0" w:color="auto"/>
        <w:right w:val="none" w:sz="0" w:space="0" w:color="auto"/>
      </w:divBdr>
    </w:div>
    <w:div w:id="1230843467">
      <w:bodyDiv w:val="1"/>
      <w:marLeft w:val="0"/>
      <w:marRight w:val="0"/>
      <w:marTop w:val="0"/>
      <w:marBottom w:val="0"/>
      <w:divBdr>
        <w:top w:val="none" w:sz="0" w:space="0" w:color="auto"/>
        <w:left w:val="none" w:sz="0" w:space="0" w:color="auto"/>
        <w:bottom w:val="none" w:sz="0" w:space="0" w:color="auto"/>
        <w:right w:val="none" w:sz="0" w:space="0" w:color="auto"/>
      </w:divBdr>
    </w:div>
    <w:div w:id="1294287427">
      <w:bodyDiv w:val="1"/>
      <w:marLeft w:val="0"/>
      <w:marRight w:val="0"/>
      <w:marTop w:val="0"/>
      <w:marBottom w:val="0"/>
      <w:divBdr>
        <w:top w:val="none" w:sz="0" w:space="0" w:color="auto"/>
        <w:left w:val="none" w:sz="0" w:space="0" w:color="auto"/>
        <w:bottom w:val="none" w:sz="0" w:space="0" w:color="auto"/>
        <w:right w:val="none" w:sz="0" w:space="0" w:color="auto"/>
      </w:divBdr>
    </w:div>
    <w:div w:id="1304700398">
      <w:bodyDiv w:val="1"/>
      <w:marLeft w:val="0"/>
      <w:marRight w:val="0"/>
      <w:marTop w:val="0"/>
      <w:marBottom w:val="0"/>
      <w:divBdr>
        <w:top w:val="none" w:sz="0" w:space="0" w:color="auto"/>
        <w:left w:val="none" w:sz="0" w:space="0" w:color="auto"/>
        <w:bottom w:val="none" w:sz="0" w:space="0" w:color="auto"/>
        <w:right w:val="none" w:sz="0" w:space="0" w:color="auto"/>
      </w:divBdr>
    </w:div>
    <w:div w:id="1338733538">
      <w:bodyDiv w:val="1"/>
      <w:marLeft w:val="0"/>
      <w:marRight w:val="0"/>
      <w:marTop w:val="0"/>
      <w:marBottom w:val="0"/>
      <w:divBdr>
        <w:top w:val="none" w:sz="0" w:space="0" w:color="auto"/>
        <w:left w:val="none" w:sz="0" w:space="0" w:color="auto"/>
        <w:bottom w:val="none" w:sz="0" w:space="0" w:color="auto"/>
        <w:right w:val="none" w:sz="0" w:space="0" w:color="auto"/>
      </w:divBdr>
    </w:div>
    <w:div w:id="1414857429">
      <w:bodyDiv w:val="1"/>
      <w:marLeft w:val="0"/>
      <w:marRight w:val="0"/>
      <w:marTop w:val="0"/>
      <w:marBottom w:val="0"/>
      <w:divBdr>
        <w:top w:val="none" w:sz="0" w:space="0" w:color="auto"/>
        <w:left w:val="none" w:sz="0" w:space="0" w:color="auto"/>
        <w:bottom w:val="none" w:sz="0" w:space="0" w:color="auto"/>
        <w:right w:val="none" w:sz="0" w:space="0" w:color="auto"/>
      </w:divBdr>
    </w:div>
    <w:div w:id="1452281369">
      <w:bodyDiv w:val="1"/>
      <w:marLeft w:val="0"/>
      <w:marRight w:val="0"/>
      <w:marTop w:val="0"/>
      <w:marBottom w:val="0"/>
      <w:divBdr>
        <w:top w:val="none" w:sz="0" w:space="0" w:color="auto"/>
        <w:left w:val="none" w:sz="0" w:space="0" w:color="auto"/>
        <w:bottom w:val="none" w:sz="0" w:space="0" w:color="auto"/>
        <w:right w:val="none" w:sz="0" w:space="0" w:color="auto"/>
      </w:divBdr>
    </w:div>
    <w:div w:id="1525245903">
      <w:bodyDiv w:val="1"/>
      <w:marLeft w:val="0"/>
      <w:marRight w:val="0"/>
      <w:marTop w:val="0"/>
      <w:marBottom w:val="0"/>
      <w:divBdr>
        <w:top w:val="none" w:sz="0" w:space="0" w:color="auto"/>
        <w:left w:val="none" w:sz="0" w:space="0" w:color="auto"/>
        <w:bottom w:val="none" w:sz="0" w:space="0" w:color="auto"/>
        <w:right w:val="none" w:sz="0" w:space="0" w:color="auto"/>
      </w:divBdr>
      <w:divsChild>
        <w:div w:id="1450124633">
          <w:marLeft w:val="0"/>
          <w:marRight w:val="0"/>
          <w:marTop w:val="0"/>
          <w:marBottom w:val="0"/>
          <w:divBdr>
            <w:top w:val="none" w:sz="0" w:space="0" w:color="auto"/>
            <w:left w:val="none" w:sz="0" w:space="0" w:color="auto"/>
            <w:bottom w:val="none" w:sz="0" w:space="0" w:color="auto"/>
            <w:right w:val="none" w:sz="0" w:space="0" w:color="auto"/>
          </w:divBdr>
          <w:divsChild>
            <w:div w:id="643197108">
              <w:marLeft w:val="0"/>
              <w:marRight w:val="0"/>
              <w:marTop w:val="0"/>
              <w:marBottom w:val="0"/>
              <w:divBdr>
                <w:top w:val="none" w:sz="0" w:space="0" w:color="auto"/>
                <w:left w:val="none" w:sz="0" w:space="0" w:color="auto"/>
                <w:bottom w:val="none" w:sz="0" w:space="0" w:color="auto"/>
                <w:right w:val="none" w:sz="0" w:space="0" w:color="auto"/>
              </w:divBdr>
              <w:divsChild>
                <w:div w:id="958799181">
                  <w:marLeft w:val="0"/>
                  <w:marRight w:val="0"/>
                  <w:marTop w:val="0"/>
                  <w:marBottom w:val="600"/>
                  <w:divBdr>
                    <w:top w:val="none" w:sz="0" w:space="0" w:color="auto"/>
                    <w:left w:val="none" w:sz="0" w:space="0" w:color="auto"/>
                    <w:bottom w:val="none" w:sz="0" w:space="0" w:color="auto"/>
                    <w:right w:val="none" w:sz="0" w:space="0" w:color="auto"/>
                  </w:divBdr>
                  <w:divsChild>
                    <w:div w:id="93719924">
                      <w:marLeft w:val="0"/>
                      <w:marRight w:val="0"/>
                      <w:marTop w:val="0"/>
                      <w:marBottom w:val="0"/>
                      <w:divBdr>
                        <w:top w:val="none" w:sz="0" w:space="0" w:color="auto"/>
                        <w:left w:val="none" w:sz="0" w:space="0" w:color="auto"/>
                        <w:bottom w:val="none" w:sz="0" w:space="0" w:color="auto"/>
                        <w:right w:val="none" w:sz="0" w:space="0" w:color="auto"/>
                      </w:divBdr>
                      <w:divsChild>
                        <w:div w:id="2047487426">
                          <w:marLeft w:val="0"/>
                          <w:marRight w:val="0"/>
                          <w:marTop w:val="0"/>
                          <w:marBottom w:val="0"/>
                          <w:divBdr>
                            <w:top w:val="none" w:sz="0" w:space="0" w:color="auto"/>
                            <w:left w:val="none" w:sz="0" w:space="0" w:color="auto"/>
                            <w:bottom w:val="none" w:sz="0" w:space="0" w:color="auto"/>
                            <w:right w:val="none" w:sz="0" w:space="0" w:color="auto"/>
                          </w:divBdr>
                          <w:divsChild>
                            <w:div w:id="1065222901">
                              <w:marLeft w:val="0"/>
                              <w:marRight w:val="0"/>
                              <w:marTop w:val="0"/>
                              <w:marBottom w:val="0"/>
                              <w:divBdr>
                                <w:top w:val="none" w:sz="0" w:space="0" w:color="auto"/>
                                <w:left w:val="none" w:sz="0" w:space="0" w:color="auto"/>
                                <w:bottom w:val="none" w:sz="0" w:space="0" w:color="auto"/>
                                <w:right w:val="none" w:sz="0" w:space="0" w:color="auto"/>
                              </w:divBdr>
                              <w:divsChild>
                                <w:div w:id="935094291">
                                  <w:marLeft w:val="0"/>
                                  <w:marRight w:val="0"/>
                                  <w:marTop w:val="0"/>
                                  <w:marBottom w:val="0"/>
                                  <w:divBdr>
                                    <w:top w:val="none" w:sz="0" w:space="0" w:color="auto"/>
                                    <w:left w:val="none" w:sz="0" w:space="0" w:color="auto"/>
                                    <w:bottom w:val="none" w:sz="0" w:space="0" w:color="auto"/>
                                    <w:right w:val="none" w:sz="0" w:space="0" w:color="auto"/>
                                  </w:divBdr>
                                  <w:divsChild>
                                    <w:div w:id="1947615288">
                                      <w:marLeft w:val="0"/>
                                      <w:marRight w:val="0"/>
                                      <w:marTop w:val="0"/>
                                      <w:marBottom w:val="0"/>
                                      <w:divBdr>
                                        <w:top w:val="none" w:sz="0" w:space="0" w:color="auto"/>
                                        <w:left w:val="none" w:sz="0" w:space="0" w:color="auto"/>
                                        <w:bottom w:val="single" w:sz="6" w:space="0" w:color="EEEEEE"/>
                                        <w:right w:val="none" w:sz="0" w:space="0" w:color="auto"/>
                                      </w:divBdr>
                                      <w:divsChild>
                                        <w:div w:id="2006351393">
                                          <w:marLeft w:val="0"/>
                                          <w:marRight w:val="0"/>
                                          <w:marTop w:val="0"/>
                                          <w:marBottom w:val="0"/>
                                          <w:divBdr>
                                            <w:top w:val="none" w:sz="0" w:space="0" w:color="auto"/>
                                            <w:left w:val="none" w:sz="0" w:space="0" w:color="auto"/>
                                            <w:bottom w:val="none" w:sz="0" w:space="0" w:color="auto"/>
                                            <w:right w:val="none" w:sz="0" w:space="0" w:color="auto"/>
                                          </w:divBdr>
                                          <w:divsChild>
                                            <w:div w:id="5285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285448">
      <w:bodyDiv w:val="1"/>
      <w:marLeft w:val="0"/>
      <w:marRight w:val="0"/>
      <w:marTop w:val="0"/>
      <w:marBottom w:val="0"/>
      <w:divBdr>
        <w:top w:val="none" w:sz="0" w:space="0" w:color="auto"/>
        <w:left w:val="none" w:sz="0" w:space="0" w:color="auto"/>
        <w:bottom w:val="none" w:sz="0" w:space="0" w:color="auto"/>
        <w:right w:val="none" w:sz="0" w:space="0" w:color="auto"/>
      </w:divBdr>
    </w:div>
    <w:div w:id="1753426555">
      <w:bodyDiv w:val="1"/>
      <w:marLeft w:val="0"/>
      <w:marRight w:val="0"/>
      <w:marTop w:val="0"/>
      <w:marBottom w:val="0"/>
      <w:divBdr>
        <w:top w:val="none" w:sz="0" w:space="0" w:color="auto"/>
        <w:left w:val="none" w:sz="0" w:space="0" w:color="auto"/>
        <w:bottom w:val="none" w:sz="0" w:space="0" w:color="auto"/>
        <w:right w:val="none" w:sz="0" w:space="0" w:color="auto"/>
      </w:divBdr>
    </w:div>
    <w:div w:id="1777167382">
      <w:bodyDiv w:val="1"/>
      <w:marLeft w:val="0"/>
      <w:marRight w:val="0"/>
      <w:marTop w:val="0"/>
      <w:marBottom w:val="0"/>
      <w:divBdr>
        <w:top w:val="none" w:sz="0" w:space="0" w:color="auto"/>
        <w:left w:val="none" w:sz="0" w:space="0" w:color="auto"/>
        <w:bottom w:val="none" w:sz="0" w:space="0" w:color="auto"/>
        <w:right w:val="none" w:sz="0" w:space="0" w:color="auto"/>
      </w:divBdr>
    </w:div>
    <w:div w:id="1829396914">
      <w:bodyDiv w:val="1"/>
      <w:marLeft w:val="0"/>
      <w:marRight w:val="0"/>
      <w:marTop w:val="0"/>
      <w:marBottom w:val="0"/>
      <w:divBdr>
        <w:top w:val="none" w:sz="0" w:space="0" w:color="auto"/>
        <w:left w:val="none" w:sz="0" w:space="0" w:color="auto"/>
        <w:bottom w:val="none" w:sz="0" w:space="0" w:color="auto"/>
        <w:right w:val="none" w:sz="0" w:space="0" w:color="auto"/>
      </w:divBdr>
      <w:divsChild>
        <w:div w:id="338704097">
          <w:marLeft w:val="274"/>
          <w:marRight w:val="0"/>
          <w:marTop w:val="120"/>
          <w:marBottom w:val="120"/>
          <w:divBdr>
            <w:top w:val="none" w:sz="0" w:space="0" w:color="auto"/>
            <w:left w:val="none" w:sz="0" w:space="0" w:color="auto"/>
            <w:bottom w:val="none" w:sz="0" w:space="0" w:color="auto"/>
            <w:right w:val="none" w:sz="0" w:space="0" w:color="auto"/>
          </w:divBdr>
        </w:div>
      </w:divsChild>
    </w:div>
    <w:div w:id="1902910390">
      <w:bodyDiv w:val="1"/>
      <w:marLeft w:val="0"/>
      <w:marRight w:val="0"/>
      <w:marTop w:val="0"/>
      <w:marBottom w:val="0"/>
      <w:divBdr>
        <w:top w:val="none" w:sz="0" w:space="0" w:color="auto"/>
        <w:left w:val="none" w:sz="0" w:space="0" w:color="auto"/>
        <w:bottom w:val="none" w:sz="0" w:space="0" w:color="auto"/>
        <w:right w:val="none" w:sz="0" w:space="0" w:color="auto"/>
      </w:divBdr>
    </w:div>
    <w:div w:id="1980961196">
      <w:bodyDiv w:val="1"/>
      <w:marLeft w:val="0"/>
      <w:marRight w:val="0"/>
      <w:marTop w:val="0"/>
      <w:marBottom w:val="0"/>
      <w:divBdr>
        <w:top w:val="none" w:sz="0" w:space="0" w:color="auto"/>
        <w:left w:val="none" w:sz="0" w:space="0" w:color="auto"/>
        <w:bottom w:val="none" w:sz="0" w:space="0" w:color="auto"/>
        <w:right w:val="none" w:sz="0" w:space="0" w:color="auto"/>
      </w:divBdr>
    </w:div>
    <w:div w:id="2005352565">
      <w:bodyDiv w:val="1"/>
      <w:marLeft w:val="0"/>
      <w:marRight w:val="0"/>
      <w:marTop w:val="0"/>
      <w:marBottom w:val="0"/>
      <w:divBdr>
        <w:top w:val="none" w:sz="0" w:space="0" w:color="auto"/>
        <w:left w:val="none" w:sz="0" w:space="0" w:color="auto"/>
        <w:bottom w:val="none" w:sz="0" w:space="0" w:color="auto"/>
        <w:right w:val="none" w:sz="0" w:space="0" w:color="auto"/>
      </w:divBdr>
    </w:div>
    <w:div w:id="207908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CDC4C-C6DA-472C-B885-1A908999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上海证券交易所</vt:lpstr>
    </vt:vector>
  </TitlesOfParts>
  <Company>Hewlett-Packard Company</Company>
  <LinksUpToDate>false</LinksUpToDate>
  <CharactersWithSpaces>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dc:title>
  <dc:subject/>
  <dc:creator>user</dc:creator>
  <cp:keywords/>
  <cp:lastModifiedBy>马伟豪</cp:lastModifiedBy>
  <cp:revision>44</cp:revision>
  <cp:lastPrinted>2012-11-19T01:56:00Z</cp:lastPrinted>
  <dcterms:created xsi:type="dcterms:W3CDTF">2025-04-25T09:07:00Z</dcterms:created>
  <dcterms:modified xsi:type="dcterms:W3CDTF">2025-06-26T06:04:00Z</dcterms:modified>
</cp:coreProperties>
</file>