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6D609">
      <w:pPr>
        <w:jc w:val="right"/>
        <w:rPr>
          <w:rFonts w:ascii="宋体" w:hAnsi="宋体" w:eastAsia="宋体" w:cs="宋体"/>
          <w:sz w:val="24"/>
        </w:rPr>
      </w:pPr>
      <w:r>
        <w:rPr>
          <w:rFonts w:hint="eastAsia" w:ascii="宋体" w:hAnsi="宋体" w:eastAsia="宋体" w:cs="宋体"/>
          <w:sz w:val="24"/>
        </w:rPr>
        <w:t xml:space="preserve">证券代码：688388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证券简称：嘉元科技</w:t>
      </w:r>
    </w:p>
    <w:p w14:paraId="2C13F363">
      <w:pPr>
        <w:rPr>
          <w:rFonts w:ascii="宋体" w:hAnsi="宋体" w:eastAsia="宋体" w:cs="宋体"/>
        </w:rPr>
      </w:pPr>
    </w:p>
    <w:p w14:paraId="3DFA6C5C">
      <w:pPr>
        <w:jc w:val="center"/>
        <w:rPr>
          <w:rFonts w:ascii="宋体" w:hAnsi="宋体" w:eastAsia="宋体" w:cs="宋体"/>
          <w:b/>
          <w:bCs/>
          <w:sz w:val="30"/>
          <w:szCs w:val="30"/>
        </w:rPr>
      </w:pPr>
      <w:r>
        <w:rPr>
          <w:rFonts w:hint="eastAsia" w:ascii="宋体" w:hAnsi="宋体" w:eastAsia="宋体" w:cs="宋体"/>
          <w:b/>
          <w:bCs/>
          <w:sz w:val="30"/>
          <w:szCs w:val="30"/>
        </w:rPr>
        <w:t>广东嘉元科技股份有限公司投资者关系活动记录表</w:t>
      </w:r>
    </w:p>
    <w:tbl>
      <w:tblPr>
        <w:tblStyle w:val="3"/>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6850"/>
      </w:tblGrid>
      <w:tr w14:paraId="6DB5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1661" w:type="dxa"/>
            <w:vAlign w:val="center"/>
          </w:tcPr>
          <w:p w14:paraId="7A52B37E">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投资者关系</w:t>
            </w:r>
          </w:p>
          <w:p w14:paraId="4498730B">
            <w:pPr>
              <w:spacing w:line="360" w:lineRule="auto"/>
              <w:jc w:val="center"/>
              <w:rPr>
                <w:rFonts w:ascii="宋体" w:hAnsi="宋体" w:eastAsia="宋体" w:cs="宋体"/>
                <w:b/>
                <w:bCs/>
                <w:color w:val="auto"/>
                <w:sz w:val="30"/>
                <w:szCs w:val="30"/>
                <w:highlight w:val="none"/>
              </w:rPr>
            </w:pPr>
            <w:r>
              <w:rPr>
                <w:rFonts w:hint="eastAsia" w:ascii="宋体" w:hAnsi="宋体" w:eastAsia="宋体" w:cs="宋体"/>
                <w:color w:val="auto"/>
                <w:sz w:val="24"/>
                <w:highlight w:val="none"/>
              </w:rPr>
              <w:t>活动类别</w:t>
            </w:r>
          </w:p>
        </w:tc>
        <w:tc>
          <w:tcPr>
            <w:tcW w:w="6850" w:type="dxa"/>
            <w:vAlign w:val="center"/>
          </w:tcPr>
          <w:p w14:paraId="0C11FC58">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 xml:space="preserve">特定对象调研      </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分析师会议</w:t>
            </w:r>
          </w:p>
          <w:p w14:paraId="1D8A5E70">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媒体采访          </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业绩说明会</w:t>
            </w:r>
          </w:p>
          <w:p w14:paraId="5DE3C779">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新闻发布会        </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路演活动</w:t>
            </w:r>
          </w:p>
          <w:p w14:paraId="48F16397">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现场参观</w:t>
            </w:r>
          </w:p>
          <w:p w14:paraId="6DE5BDFC">
            <w:pPr>
              <w:spacing w:line="360" w:lineRule="auto"/>
              <w:jc w:val="left"/>
              <w:rPr>
                <w:rFonts w:ascii="宋体" w:hAnsi="宋体" w:eastAsia="宋体" w:cs="宋体"/>
                <w:b/>
                <w:bCs/>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线上交流</w:t>
            </w:r>
          </w:p>
        </w:tc>
      </w:tr>
      <w:tr w14:paraId="55B8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61" w:type="dxa"/>
            <w:vAlign w:val="center"/>
          </w:tcPr>
          <w:p w14:paraId="348DA54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参与活动</w:t>
            </w:r>
          </w:p>
          <w:p w14:paraId="43632C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6850" w:type="dxa"/>
            <w:vAlign w:val="center"/>
          </w:tcPr>
          <w:p w14:paraId="3D3E63C2">
            <w:pPr>
              <w:spacing w:line="360" w:lineRule="auto"/>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东信资本、光大资管、途灵资管、申万菱信基金、昱阳私募、申万宏源、汐泰投资等30家机构的调研员及投资者共34人</w:t>
            </w:r>
          </w:p>
        </w:tc>
      </w:tr>
      <w:tr w14:paraId="2F22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661" w:type="dxa"/>
            <w:vAlign w:val="center"/>
          </w:tcPr>
          <w:p w14:paraId="42E3D4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上市公司</w:t>
            </w:r>
          </w:p>
          <w:p w14:paraId="374CE96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接待人员</w:t>
            </w:r>
          </w:p>
        </w:tc>
        <w:tc>
          <w:tcPr>
            <w:tcW w:w="6850" w:type="dxa"/>
            <w:vAlign w:val="center"/>
          </w:tcPr>
          <w:p w14:paraId="1B57967C">
            <w:p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董事、总裁（总经理）：杨剑文</w:t>
            </w:r>
          </w:p>
          <w:p w14:paraId="1B422EA6">
            <w:p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董事会秘书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副总裁：李恒宏</w:t>
            </w:r>
          </w:p>
          <w:p w14:paraId="593BC62C">
            <w:p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副总裁：肖建斌</w:t>
            </w:r>
          </w:p>
          <w:p w14:paraId="27EB1F1B">
            <w:pPr>
              <w:spacing w:line="360" w:lineRule="auto"/>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证券事务代表：杜京宣</w:t>
            </w:r>
          </w:p>
        </w:tc>
      </w:tr>
      <w:tr w14:paraId="7CB5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661" w:type="dxa"/>
            <w:vAlign w:val="center"/>
          </w:tcPr>
          <w:p w14:paraId="60DB7C3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6850" w:type="dxa"/>
            <w:vAlign w:val="center"/>
          </w:tcPr>
          <w:p w14:paraId="41F4EB90">
            <w:pPr>
              <w:spacing w:line="360" w:lineRule="auto"/>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16:30-17:30</w:t>
            </w:r>
          </w:p>
        </w:tc>
      </w:tr>
      <w:tr w14:paraId="5400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61" w:type="dxa"/>
            <w:vAlign w:val="center"/>
          </w:tcPr>
          <w:p w14:paraId="322757E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地点</w:t>
            </w:r>
          </w:p>
        </w:tc>
        <w:tc>
          <w:tcPr>
            <w:tcW w:w="6850" w:type="dxa"/>
            <w:vAlign w:val="center"/>
          </w:tcPr>
          <w:p w14:paraId="11BC142B">
            <w:pPr>
              <w:spacing w:line="360" w:lineRule="auto"/>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线上会议</w:t>
            </w:r>
          </w:p>
        </w:tc>
      </w:tr>
      <w:tr w14:paraId="50A9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61" w:type="dxa"/>
            <w:vAlign w:val="center"/>
          </w:tcPr>
          <w:p w14:paraId="4E9A27F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投资者关系</w:t>
            </w:r>
          </w:p>
          <w:p w14:paraId="5C8586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活动主要</w:t>
            </w:r>
          </w:p>
          <w:p w14:paraId="1A99FF2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内容介绍</w:t>
            </w:r>
          </w:p>
        </w:tc>
        <w:tc>
          <w:tcPr>
            <w:tcW w:w="6850" w:type="dxa"/>
            <w:vAlign w:val="center"/>
          </w:tcPr>
          <w:p w14:paraId="166E21AE">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投资者关系活动的主要内容如下：</w:t>
            </w:r>
          </w:p>
          <w:p w14:paraId="313637F3">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交流会议采取问答的形式，公司参会人员就机构投资者关注的问题给予解答，帮助投资者更全面地了解公司的经营情况，公司参会人员在会议过程中遵循了投资者关系管理规定、上市公司信息披露等规定。</w:t>
            </w:r>
          </w:p>
        </w:tc>
      </w:tr>
      <w:tr w14:paraId="57C0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61" w:type="dxa"/>
            <w:vAlign w:val="center"/>
          </w:tcPr>
          <w:p w14:paraId="712678F5">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附件清单</w:t>
            </w:r>
          </w:p>
          <w:p w14:paraId="6E71418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（如有）</w:t>
            </w:r>
          </w:p>
        </w:tc>
        <w:tc>
          <w:tcPr>
            <w:tcW w:w="6850" w:type="dxa"/>
            <w:vAlign w:val="center"/>
          </w:tcPr>
          <w:p w14:paraId="3E8417F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问答交流</w:t>
            </w:r>
          </w:p>
          <w:p w14:paraId="1FBE09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1、众多同行业公司，现阶段均面临亏损，请问贵公司对今年下半年有何预期？</w:t>
            </w:r>
          </w:p>
          <w:p w14:paraId="51A112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回复：公司2025年第一季度实现营收19.81亿元，</w:t>
            </w:r>
            <w:r>
              <w:rPr>
                <w:rFonts w:hint="eastAsia" w:ascii="宋体" w:hAnsi="宋体" w:eastAsia="宋体" w:cs="宋体"/>
                <w:color w:val="auto"/>
                <w:sz w:val="24"/>
                <w:highlight w:val="none"/>
              </w:rPr>
              <w:t>较上年同期增加</w:t>
            </w:r>
            <w:r>
              <w:rPr>
                <w:rFonts w:hint="eastAsia" w:ascii="宋体" w:hAnsi="宋体" w:eastAsia="宋体" w:cs="宋体"/>
                <w:color w:val="auto"/>
                <w:sz w:val="24"/>
                <w:highlight w:val="none"/>
                <w:lang w:val="en-US" w:eastAsia="zh-CN"/>
              </w:rPr>
              <w:t>113%，实现归母净利润2,445.64万元，实现扭亏为盈，一季度较此前已有较大改善。</w:t>
            </w:r>
            <w:r>
              <w:rPr>
                <w:rFonts w:hint="eastAsia" w:ascii="宋体" w:hAnsi="宋体" w:eastAsia="宋体" w:cs="宋体"/>
                <w:color w:val="auto"/>
                <w:sz w:val="24"/>
                <w:szCs w:val="24"/>
                <w:highlight w:val="none"/>
                <w:lang w:val="en-US" w:eastAsia="zh-CN"/>
              </w:rPr>
              <w:t>公司预计今年部分高端定制化产品的加工费仍有上涨空间</w:t>
            </w:r>
            <w:r>
              <w:rPr>
                <w:rFonts w:hint="eastAsia" w:ascii="宋体" w:hAnsi="宋体" w:eastAsia="宋体" w:cs="宋体"/>
                <w:color w:val="auto"/>
                <w:kern w:val="2"/>
                <w:sz w:val="24"/>
                <w:szCs w:val="24"/>
                <w:highlight w:val="none"/>
                <w:lang w:val="en-US" w:eastAsia="zh-CN" w:bidi="ar-SA"/>
              </w:rPr>
              <w:t>，涨幅情况需结合下半年市场供需情况、客户订单情况等因素综合判断。公司将持续加强与客户的沟通合作，提升公司的竞争力和盈利能力。同时，公司也将不断优化产品结构，提高产品质量和服务水平</w:t>
            </w:r>
            <w:r>
              <w:rPr>
                <w:rFonts w:hint="eastAsia" w:ascii="宋体" w:hAnsi="宋体" w:eastAsia="宋体" w:cs="宋体"/>
                <w:color w:val="auto"/>
                <w:sz w:val="24"/>
                <w:szCs w:val="24"/>
                <w:highlight w:val="none"/>
                <w:lang w:val="en-US" w:eastAsia="zh-CN"/>
              </w:rPr>
              <w:t>。今年下半年，随着高附加值产品占比的提升、海外客户的导入及销售的放量，将为公司带来更多的盈利增长点，不断提升公司盈利能力和市场竞争力。</w:t>
            </w:r>
          </w:p>
          <w:p w14:paraId="5B248C3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目前公司铜箔产品结构情况？</w:t>
            </w:r>
          </w:p>
          <w:p w14:paraId="6B955F7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回复：锂电铜箔方面，公司根据下游市场和客户的需求及铜箔未来发展路线，超高强、特高强、超高延伸率等高技术产品的已批量化生产，不断提升高附加值产品的出货量。</w:t>
            </w:r>
          </w:p>
          <w:p w14:paraId="646273A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电子电路铜箔方面，公司推动高端电子电路铜箔的国产替代进程，取得了高阶 RTF（反转铜箔）、HTE（高温高延伸铜箔）、HVLP（极低轮廓铜箔）、IC 封装极薄铜箔和高密度互连电路（HDI）铜箔等高性能电子电路铜箔的技术突破，PCB 用超薄铜箔（UTF）已批量生产，高频高速电路和IC封装应用的 RTF/HVLP等电子电路铜箔产品的开发方面取得了积极进展，其中RTF已通过头部企业认证测试并具备量产能力，其他产品也已通过实验室验证阶段并与下游客户进行测试。</w:t>
            </w:r>
          </w:p>
          <w:p w14:paraId="04381DF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此外，公司开</w:t>
            </w:r>
            <w:r>
              <w:rPr>
                <w:rFonts w:hint="eastAsia" w:ascii="宋体" w:hAnsi="宋体" w:eastAsia="宋体" w:cs="宋体"/>
                <w:b w:val="0"/>
                <w:bCs w:val="0"/>
                <w:color w:val="auto"/>
                <w:sz w:val="24"/>
                <w:szCs w:val="24"/>
                <w:highlight w:val="none"/>
                <w:lang w:val="en-US" w:eastAsia="zh-CN"/>
              </w:rPr>
              <w:t>展固态电池所需相关铜箔</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复合铜箔、微孔铜箔、单晶铜箔、载体铜箔和新型特种铜箔等前沿新技术研发，极大丰富了公司的产品结构。</w:t>
            </w:r>
          </w:p>
          <w:p w14:paraId="37018CD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公司在固态电池用铜箔研发方面取得了哪些突破？</w:t>
            </w:r>
          </w:p>
          <w:p w14:paraId="4F732F31">
            <w:pPr>
              <w:numPr>
                <w:ilvl w:val="0"/>
                <w:numId w:val="0"/>
              </w:numPr>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sz w:val="24"/>
                <w:szCs w:val="24"/>
                <w:highlight w:val="none"/>
                <w:lang w:val="en-US" w:eastAsia="zh-CN"/>
              </w:rPr>
              <w:t>回复：</w:t>
            </w:r>
            <w:r>
              <w:rPr>
                <w:rFonts w:hint="eastAsia" w:ascii="宋体" w:hAnsi="宋体" w:eastAsia="宋体" w:cs="宋体"/>
                <w:color w:val="auto"/>
                <w:sz w:val="24"/>
                <w:highlight w:val="none"/>
                <w:lang w:val="en-US" w:eastAsia="zh-CN"/>
              </w:rPr>
              <w:t>公司时刻关注全固态电池发展动向，联动下游企业和同步进行全固态电池不同技术路线所需新型负极集流体产品的相关研究及送样工作。</w:t>
            </w:r>
          </w:p>
          <w:p w14:paraId="4C90E59D">
            <w:pPr>
              <w:numPr>
                <w:ilvl w:val="0"/>
                <w:numId w:val="0"/>
              </w:numPr>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2024年公司推出高比表面拓界铜箔，针对性解决了固态电池负极集流体固固界面接触面积不足与界面阻抗难题；同年推出特种合金铜箔采用多元金属复合技术，攻克固态电池集流体高能量密度下在高温、高电压下的结构失稳与界面失效难题；2025年公司推出双面镀镍铜箔，针对性解决固态电池中负极集流体不耐高温、不耐腐蚀的难题，目前已适配半固态/固态电池技术。</w:t>
            </w:r>
          </w:p>
          <w:p w14:paraId="643B0363">
            <w:pPr>
              <w:numPr>
                <w:ilvl w:val="0"/>
                <w:numId w:val="0"/>
              </w:numPr>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同时，公司自2017研发出多孔铜箔，从第一代的机械冲孔、第二代的激光打孔、目前已进入到第三代。通过三维多孔骨架结构，解决固态电池负极锂金属沉积不均匀与枝晶穿透风险。2023年推出的复合铜箔，采用高分子基膜-金属镀层复合结构，可解决固态电池轻量化与本质安全的协同难题，为高安全、长寿命固态电池金属负极体系产业化提供核心材料支撑。</w:t>
            </w:r>
          </w:p>
          <w:p w14:paraId="19E76848">
            <w:pPr>
              <w:numPr>
                <w:ilvl w:val="0"/>
                <w:numId w:val="0"/>
              </w:numPr>
              <w:adjustRightInd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目前，公司是少数在固态电池领域取得商业化进展的公司，公司的铜箔产品已覆盖半固态电池和全固态电池所需铜箔。目前，公司已向五家企业批量及小批量供应，同时也已向多家企业送样测试并取得阶段性成果。公司的固态电池铜箔产品，除了用于新能源车，还用于低空经济。耐高温铜箔在固态电池中运用并搭载于头部厂商发布的eVTOL（电动垂直起降飞行器）。</w:t>
            </w:r>
          </w:p>
          <w:p w14:paraId="158D3B5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在固态电池领域，半固态和全固态体系中，贵公司有哪些产品适用于这两种体系？</w:t>
            </w:r>
          </w:p>
          <w:p w14:paraId="56629A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回复：公司对固态电池所需的负极集流体的研发较早，根据固态电池固固界面接触面小（相对于液态）、界面阻抗大（相对于液态）、离子迁移速率慢（相对于液态）、不耐高温、不耐腐蚀及轻量化痛点，通过开发耐高温、耐腐蚀、高比表面积铜箔、微孔铜箔、合金铜箔等全技术矩阵新型负极集流体产品满足固态电池不同技术路线，同时公司较强创新研发实力和较大的产能规模能支撑新技术产业化落地，部分产品已于年内实现批量出货，搭载于头部厂商发布的eVTOL电动飞行器、主流车企新能源汽车样车测试中。公司时刻关注全固态电池发展动向，联动下游企业同步进行全固态电池不同技术路线所需新型负极集流体产品的相关研究及送样工作。</w:t>
            </w:r>
          </w:p>
          <w:p w14:paraId="3077323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在固态电池中铜箔的出货情况如何？</w:t>
            </w:r>
          </w:p>
          <w:p w14:paraId="47D885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回复：公司</w:t>
            </w:r>
            <w:r>
              <w:rPr>
                <w:rFonts w:hint="eastAsia" w:ascii="宋体" w:hAnsi="宋体" w:eastAsia="宋体" w:cs="宋体"/>
                <w:color w:val="auto"/>
                <w:sz w:val="24"/>
                <w:highlight w:val="none"/>
                <w:lang w:val="en-US" w:eastAsia="zh-CN"/>
              </w:rPr>
              <w:t>的铜箔产品已覆盖半固态电池和全固态电池所需铜箔。目前，公司已向五家企业批量及小批量供应，同时也已向多家企业送样测试并取得阶段性成果。</w:t>
            </w:r>
            <w:r>
              <w:rPr>
                <w:rFonts w:hint="eastAsia" w:ascii="宋体" w:hAnsi="宋体" w:eastAsia="宋体" w:cs="宋体"/>
                <w:i w:val="0"/>
                <w:iCs w:val="0"/>
                <w:caps w:val="0"/>
                <w:color w:val="auto"/>
                <w:spacing w:val="0"/>
                <w:sz w:val="24"/>
                <w:szCs w:val="24"/>
                <w:highlight w:val="none"/>
                <w:shd w:val="clear" w:fill="auto"/>
              </w:rPr>
              <w:t>公司时刻关注全固态电池发展动向，联动下游企业同步进行全固态电池不同技术路线所需新型负极集流体产品的相关研究及送样工作。</w:t>
            </w:r>
          </w:p>
          <w:p w14:paraId="249198B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公司海外市场拓展情况怎样？</w:t>
            </w:r>
          </w:p>
          <w:p w14:paraId="2D03BC5C">
            <w:pPr>
              <w:numPr>
                <w:ilvl w:val="0"/>
                <w:numId w:val="0"/>
              </w:numPr>
              <w:snapToGrid/>
              <w:spacing w:beforeAutospacing="0" w:afterAutospacing="0" w:line="360" w:lineRule="auto"/>
              <w:ind w:right="0" w:rightChars="0"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回复：公司已开发的海外国际顶尖电池企业客户自今年开始放量，产品毛利率优于国内。今年公司将积极进军海外新兴市场，持续挖掘优质的海外客户资源，拓宽业务覆盖范围，提升产品的海外市场占有率。</w:t>
            </w:r>
            <w:r>
              <w:rPr>
                <w:rFonts w:hint="eastAsia" w:ascii="宋体" w:hAnsi="宋体" w:eastAsia="宋体" w:cs="宋体"/>
                <w:color w:val="auto"/>
                <w:sz w:val="24"/>
                <w:highlight w:val="none"/>
                <w:lang w:val="en-US" w:eastAsia="zh-CN"/>
              </w:rPr>
              <w:t>目前公司已导入日本、韩国及欧美</w:t>
            </w:r>
            <w:bookmarkStart w:id="0" w:name="_GoBack"/>
            <w:bookmarkEnd w:id="0"/>
            <w:r>
              <w:rPr>
                <w:rFonts w:hint="eastAsia" w:ascii="宋体" w:hAnsi="宋体" w:eastAsia="宋体" w:cs="宋体"/>
                <w:color w:val="auto"/>
                <w:sz w:val="24"/>
                <w:highlight w:val="none"/>
                <w:lang w:val="en-US" w:eastAsia="zh-CN"/>
              </w:rPr>
              <w:t>等海外客户，下一步将加快导入东南亚地区的战略客户。公司将不断针对海外市场需求调整产品结构，提升批量交付能力。</w:t>
            </w:r>
          </w:p>
          <w:p w14:paraId="2C69A36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公司转债的后续安排？转债转股价较高，为何一直不下调？</w:t>
            </w:r>
          </w:p>
          <w:p w14:paraId="2C5C69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回复：当前公司股价未能正确体现公司长远发展的内在价值，目前公司生产经营正常，现金流稳健，资信情况良好，具备较强的偿还能力，在可转债存续期间，公司持续做好经营管理夯实转股基础，做好生产经营管理，积极推进战略落地，加强市场沟通，进一步提升市场对公司价值的认同，维护广大投资者利益。</w:t>
            </w:r>
          </w:p>
        </w:tc>
      </w:tr>
      <w:tr w14:paraId="310C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61" w:type="dxa"/>
            <w:vAlign w:val="center"/>
          </w:tcPr>
          <w:p w14:paraId="4B033EB1">
            <w:pPr>
              <w:spacing w:line="420" w:lineRule="exact"/>
              <w:rPr>
                <w:rFonts w:hint="eastAsia" w:ascii="宋体" w:hAnsi="宋体" w:eastAsia="宋体" w:cs="宋体"/>
                <w:color w:val="auto"/>
                <w:sz w:val="24"/>
                <w:highlight w:val="none"/>
              </w:rPr>
            </w:pPr>
            <w:r>
              <w:rPr>
                <w:rFonts w:hAnsi="宋体"/>
                <w:bCs/>
                <w:iCs/>
                <w:color w:val="000000"/>
                <w:kern w:val="0"/>
                <w:sz w:val="24"/>
                <w:highlight w:val="none"/>
              </w:rPr>
              <w:t>附件清单（如有）</w:t>
            </w:r>
          </w:p>
        </w:tc>
        <w:tc>
          <w:tcPr>
            <w:tcW w:w="6850" w:type="dxa"/>
            <w:vAlign w:val="top"/>
          </w:tcPr>
          <w:p w14:paraId="273CF797">
            <w:pPr>
              <w:spacing w:line="420" w:lineRule="exact"/>
              <w:rPr>
                <w:rFonts w:hint="eastAsia" w:ascii="宋体" w:hAnsi="宋体" w:eastAsia="宋体" w:cs="宋体"/>
                <w:color w:val="auto"/>
                <w:sz w:val="24"/>
                <w:szCs w:val="24"/>
                <w:highlight w:val="none"/>
                <w:lang w:val="en-US" w:eastAsia="zh-CN"/>
              </w:rPr>
            </w:pPr>
          </w:p>
        </w:tc>
      </w:tr>
      <w:tr w14:paraId="3A4C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61" w:type="dxa"/>
            <w:vAlign w:val="center"/>
          </w:tcPr>
          <w:p w14:paraId="1AE3CF6D">
            <w:pPr>
              <w:spacing w:line="420" w:lineRule="exact"/>
              <w:rPr>
                <w:rFonts w:hint="eastAsia" w:ascii="宋体" w:hAnsi="宋体" w:eastAsia="宋体" w:cs="宋体"/>
                <w:color w:val="auto"/>
                <w:sz w:val="24"/>
                <w:highlight w:val="none"/>
              </w:rPr>
            </w:pPr>
            <w:r>
              <w:rPr>
                <w:rFonts w:hAnsi="宋体"/>
                <w:bCs/>
                <w:iCs/>
                <w:color w:val="000000"/>
                <w:kern w:val="0"/>
                <w:sz w:val="24"/>
                <w:highlight w:val="none"/>
              </w:rPr>
              <w:t>日期</w:t>
            </w:r>
          </w:p>
        </w:tc>
        <w:tc>
          <w:tcPr>
            <w:tcW w:w="6850" w:type="dxa"/>
            <w:vAlign w:val="top"/>
          </w:tcPr>
          <w:p w14:paraId="595A181D">
            <w:pPr>
              <w:spacing w:line="420" w:lineRule="exact"/>
              <w:rPr>
                <w:rFonts w:hint="eastAsia" w:ascii="宋体" w:hAnsi="宋体" w:eastAsia="宋体" w:cs="宋体"/>
                <w:color w:val="auto"/>
                <w:sz w:val="24"/>
                <w:szCs w:val="24"/>
                <w:highlight w:val="none"/>
                <w:lang w:val="en-US" w:eastAsia="zh-CN"/>
              </w:rPr>
            </w:pPr>
            <w:r>
              <w:rPr>
                <w:bCs/>
                <w:iCs/>
                <w:color w:val="000000"/>
                <w:sz w:val="24"/>
                <w:highlight w:val="none"/>
              </w:rPr>
              <w:t>202</w:t>
            </w:r>
            <w:r>
              <w:rPr>
                <w:rFonts w:hint="eastAsia"/>
                <w:bCs/>
                <w:iCs/>
                <w:color w:val="000000"/>
                <w:sz w:val="24"/>
                <w:highlight w:val="none"/>
                <w:lang w:val="en-US" w:eastAsia="zh-CN"/>
              </w:rPr>
              <w:t>5年6月26日</w:t>
            </w:r>
          </w:p>
        </w:tc>
      </w:tr>
    </w:tbl>
    <w:p w14:paraId="0CDCBD1E">
      <w:pPr>
        <w:spacing w:line="360" w:lineRule="auto"/>
        <w:rPr>
          <w:rFonts w:ascii="宋体" w:hAnsi="宋体" w:eastAsia="宋体" w:cs="宋体"/>
        </w:rPr>
      </w:pPr>
    </w:p>
    <w:p w14:paraId="2C80436B">
      <w:pPr>
        <w:spacing w:before="156" w:beforeLines="50" w:after="156" w:afterLines="50" w:line="360" w:lineRule="auto"/>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76FC8"/>
    <w:multiLevelType w:val="singleLevel"/>
    <w:tmpl w:val="FB676FC8"/>
    <w:lvl w:ilvl="0" w:tentative="0">
      <w:start w:val="1"/>
      <w:numFmt w:val="chineseCounting"/>
      <w:suff w:val="nothing"/>
      <w:lvlText w:val="%1、"/>
      <w:lvlJc w:val="left"/>
      <w:rPr>
        <w:rFonts w:hint="eastAsia"/>
      </w:rPr>
    </w:lvl>
  </w:abstractNum>
  <w:abstractNum w:abstractNumId="1">
    <w:nsid w:val="68B25FBD"/>
    <w:multiLevelType w:val="singleLevel"/>
    <w:tmpl w:val="68B25FB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M2UwZTkxN2VjNjc3YTUwYjMzMTQyNTdiYjZlZmMifQ=="/>
  </w:docVars>
  <w:rsids>
    <w:rsidRoot w:val="00000000"/>
    <w:rsid w:val="01D874C6"/>
    <w:rsid w:val="045A0192"/>
    <w:rsid w:val="05104806"/>
    <w:rsid w:val="062044AD"/>
    <w:rsid w:val="06F04B2A"/>
    <w:rsid w:val="0F171F8B"/>
    <w:rsid w:val="181F6F25"/>
    <w:rsid w:val="18813AA5"/>
    <w:rsid w:val="1C8B64BF"/>
    <w:rsid w:val="1EE03BDB"/>
    <w:rsid w:val="1FA1230A"/>
    <w:rsid w:val="253C7A68"/>
    <w:rsid w:val="259D46E7"/>
    <w:rsid w:val="2C5D3188"/>
    <w:rsid w:val="2CCA574A"/>
    <w:rsid w:val="2CD91D6D"/>
    <w:rsid w:val="2E095034"/>
    <w:rsid w:val="2E774256"/>
    <w:rsid w:val="329F5AFA"/>
    <w:rsid w:val="37CF2BBC"/>
    <w:rsid w:val="387955AC"/>
    <w:rsid w:val="39930ABA"/>
    <w:rsid w:val="3A0C06D3"/>
    <w:rsid w:val="3DAE02C2"/>
    <w:rsid w:val="3E905C6C"/>
    <w:rsid w:val="44F302BB"/>
    <w:rsid w:val="46590C50"/>
    <w:rsid w:val="46E06318"/>
    <w:rsid w:val="49784A79"/>
    <w:rsid w:val="4E1A32FD"/>
    <w:rsid w:val="51B701B5"/>
    <w:rsid w:val="51DC353F"/>
    <w:rsid w:val="543D7EA7"/>
    <w:rsid w:val="54813FB3"/>
    <w:rsid w:val="553A39F3"/>
    <w:rsid w:val="573423FF"/>
    <w:rsid w:val="57FE0B64"/>
    <w:rsid w:val="588E1023"/>
    <w:rsid w:val="5BC3578B"/>
    <w:rsid w:val="5BD1184C"/>
    <w:rsid w:val="60125EE4"/>
    <w:rsid w:val="6AD86714"/>
    <w:rsid w:val="6BD95285"/>
    <w:rsid w:val="6F832C9C"/>
    <w:rsid w:val="71705441"/>
    <w:rsid w:val="73A04F5F"/>
    <w:rsid w:val="75F9231A"/>
    <w:rsid w:val="76B9655B"/>
    <w:rsid w:val="77274219"/>
    <w:rsid w:val="774E7D8C"/>
    <w:rsid w:val="7E0A0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2360</Words>
  <Characters>2446</Characters>
  <Lines>0</Lines>
  <Paragraphs>0</Paragraphs>
  <TotalTime>20</TotalTime>
  <ScaleCrop>false</ScaleCrop>
  <LinksUpToDate>false</LinksUpToDate>
  <CharactersWithSpaces>2509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2024-05-11T07:39:00Z</dcterms:created>
  <dc:creator>Attitude</dc:creator>
  <cp:lastModifiedBy>a</cp:lastModifiedBy>
  <dcterms:modified xsi:type="dcterms:W3CDTF">2025-06-28T15:57:40Z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A8E5EF5DA6AB41BC94D20A85DD3EF98A_13</vt:lpwstr>
  </property>
  <property fmtid="{D5CDD505-2E9C-101B-9397-08002B2CF9AE}" pid="4" name="KSOTemplateDocerSaveRecord">
    <vt:lpwstr>eyJoZGlkIjoiYzY0NjliNWM0NzU0OGI0MTYxZTAwZWE0M2U1YmEwNDYiLCJ1c2VySWQiOiIzNTI1MzgzMDYifQ==</vt:lpwstr>
  </property>
</Properties>
</file>