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C075" w14:textId="77777777" w:rsidR="00524DDA" w:rsidRPr="00603340" w:rsidRDefault="008577F6">
      <w:pPr>
        <w:spacing w:beforeLines="50" w:before="156" w:afterLines="50" w:after="156" w:line="400" w:lineRule="exact"/>
        <w:rPr>
          <w:bCs/>
          <w:iCs/>
          <w:color w:val="000000"/>
          <w:sz w:val="24"/>
          <w:szCs w:val="22"/>
        </w:rPr>
      </w:pPr>
      <w:r w:rsidRPr="00603340">
        <w:rPr>
          <w:bCs/>
          <w:iCs/>
          <w:color w:val="000000"/>
          <w:sz w:val="24"/>
          <w:szCs w:val="22"/>
        </w:rPr>
        <w:t>证券代码：</w:t>
      </w:r>
      <w:r w:rsidRPr="00603340">
        <w:rPr>
          <w:bCs/>
          <w:iCs/>
          <w:color w:val="000000"/>
          <w:sz w:val="24"/>
          <w:szCs w:val="22"/>
        </w:rPr>
        <w:t xml:space="preserve">688484                                   </w:t>
      </w:r>
      <w:r w:rsidRPr="00603340">
        <w:rPr>
          <w:bCs/>
          <w:iCs/>
          <w:color w:val="000000"/>
          <w:sz w:val="24"/>
          <w:szCs w:val="22"/>
        </w:rPr>
        <w:t>证券简称：南芯科技</w:t>
      </w:r>
    </w:p>
    <w:p w14:paraId="3E479E65" w14:textId="77777777" w:rsidR="00524DDA" w:rsidRPr="00603340" w:rsidRDefault="00524DDA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62F6DBE7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投资者关系活动记录表</w:t>
      </w:r>
    </w:p>
    <w:p w14:paraId="64891BC8" w14:textId="741359E4" w:rsidR="00524DDA" w:rsidRPr="00603340" w:rsidRDefault="008577F6">
      <w:pPr>
        <w:spacing w:line="400" w:lineRule="exact"/>
        <w:ind w:firstLineChars="200" w:firstLine="480"/>
        <w:rPr>
          <w:bCs/>
          <w:iCs/>
          <w:color w:val="000000"/>
          <w:sz w:val="24"/>
        </w:rPr>
      </w:pPr>
      <w:r w:rsidRPr="00603340">
        <w:rPr>
          <w:bCs/>
          <w:iCs/>
          <w:color w:val="000000"/>
          <w:sz w:val="24"/>
        </w:rPr>
        <w:t xml:space="preserve">                                                    </w:t>
      </w:r>
      <w:r w:rsidRPr="00603340">
        <w:rPr>
          <w:bCs/>
          <w:iCs/>
          <w:color w:val="000000"/>
          <w:sz w:val="24"/>
        </w:rPr>
        <w:t>编号：</w:t>
      </w:r>
      <w:r w:rsidRPr="00603340">
        <w:rPr>
          <w:bCs/>
          <w:iCs/>
          <w:color w:val="000000"/>
          <w:sz w:val="24"/>
        </w:rPr>
        <w:t>202</w:t>
      </w:r>
      <w:r w:rsidR="001F427E" w:rsidRPr="00603340">
        <w:rPr>
          <w:bCs/>
          <w:iCs/>
          <w:color w:val="000000"/>
          <w:sz w:val="24"/>
        </w:rPr>
        <w:t>5</w:t>
      </w:r>
      <w:r w:rsidRPr="00603340">
        <w:rPr>
          <w:bCs/>
          <w:iCs/>
          <w:color w:val="000000"/>
          <w:sz w:val="24"/>
        </w:rPr>
        <w:t>-00</w:t>
      </w:r>
      <w:r w:rsidR="00BD57FF" w:rsidRPr="00603340">
        <w:rPr>
          <w:bCs/>
          <w:iCs/>
          <w:color w:val="000000"/>
          <w:sz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524DDA" w:rsidRPr="00603340" w14:paraId="2C19192C" w14:textId="77777777" w:rsidTr="001C534A">
        <w:trPr>
          <w:trHeight w:val="236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62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投资者关系活动类别</w:t>
            </w:r>
          </w:p>
          <w:p w14:paraId="7636E0E3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C16C" w14:textId="4D02C91D" w:rsidR="00524DDA" w:rsidRPr="00040A13" w:rsidRDefault="00BD57F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="008577F6" w:rsidRPr="00040A13">
              <w:rPr>
                <w:rFonts w:eastAsiaTheme="minorEastAsia"/>
                <w:sz w:val="22"/>
              </w:rPr>
              <w:t>特定对象调研</w:t>
            </w:r>
            <w:r w:rsidR="008577F6" w:rsidRPr="00040A13">
              <w:rPr>
                <w:rFonts w:eastAsiaTheme="minorEastAsia"/>
                <w:sz w:val="22"/>
              </w:rPr>
              <w:t xml:space="preserve">      </w:t>
            </w:r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="008577F6" w:rsidRPr="00040A13">
              <w:rPr>
                <w:rFonts w:eastAsiaTheme="minorEastAsia"/>
                <w:sz w:val="22"/>
              </w:rPr>
              <w:t>分析师会议</w:t>
            </w:r>
          </w:p>
          <w:p w14:paraId="6B5BDB17" w14:textId="7C5518C8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媒体采访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C837AF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="002525EA"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Pr="00040A13">
              <w:rPr>
                <w:rFonts w:eastAsiaTheme="minorEastAsia"/>
                <w:sz w:val="22"/>
              </w:rPr>
              <w:t>业绩说明会</w:t>
            </w:r>
          </w:p>
          <w:p w14:paraId="0042B3D9" w14:textId="07144119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新闻发布会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6044EF"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Pr="00040A13">
              <w:rPr>
                <w:rFonts w:eastAsiaTheme="minorEastAsia"/>
                <w:sz w:val="22"/>
              </w:rPr>
              <w:t>路演活动</w:t>
            </w:r>
          </w:p>
          <w:p w14:paraId="016317F3" w14:textId="77777777" w:rsidR="00524DDA" w:rsidRPr="00040A13" w:rsidRDefault="008577F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现场参观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ab/>
            </w:r>
          </w:p>
          <w:p w14:paraId="0795FF3A" w14:textId="43A06AF9" w:rsidR="00524DDA" w:rsidRPr="00040A13" w:rsidRDefault="008577F6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bookmarkStart w:id="0" w:name="OLE_LINK1"/>
            <w:bookmarkStart w:id="1" w:name="OLE_LINK2"/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bookmarkEnd w:id="0"/>
            <w:bookmarkEnd w:id="1"/>
            <w:r w:rsidRPr="00040A13">
              <w:rPr>
                <w:rFonts w:eastAsiaTheme="minorEastAsia"/>
                <w:sz w:val="22"/>
              </w:rPr>
              <w:t>其他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>（电话会议）</w:t>
            </w:r>
          </w:p>
        </w:tc>
      </w:tr>
      <w:tr w:rsidR="00524DDA" w:rsidRPr="00603340" w14:paraId="75AA8227" w14:textId="77777777" w:rsidTr="001C534A">
        <w:trPr>
          <w:trHeight w:val="21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A3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98D" w14:textId="049F059D" w:rsidR="00524DDA" w:rsidRPr="00040A13" w:rsidRDefault="009F74F4" w:rsidP="00ED22FD">
            <w:pPr>
              <w:spacing w:line="400" w:lineRule="exact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广发基金、</w:t>
            </w:r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招商基金、太平基金、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信达澳亚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浙商基金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、博时基金、安信基金、富国基金、融通基金、景顺长城、前海开源、易方达、金鹰基金、平安基金、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国投瑞银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、鹏华基金、南方基金、中邮基金、华商基金、建信基金、嘉实基金、长盛基金、中信资管、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天弘基金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、泰康资产、中信证券、中金公司、西南证券、长城证券、汇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丰晋信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</w:t>
            </w:r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国海证券、</w:t>
            </w:r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华泰证券、东方证券资管、乐苍投资、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亘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曦资产、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合远私募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</w:t>
            </w:r>
            <w:proofErr w:type="gramStart"/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姚</w:t>
            </w:r>
            <w:proofErr w:type="gramEnd"/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泾河私募、明汯投资、</w:t>
            </w:r>
            <w:proofErr w:type="gramStart"/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华夏久盈资产</w:t>
            </w:r>
            <w:proofErr w:type="gramEnd"/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、华宝投资、</w:t>
            </w:r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招商局创新投资、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湘禾投资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</w:t>
            </w:r>
            <w:r w:rsidR="00ED22FD" w:rsidRPr="00040A13">
              <w:rPr>
                <w:rFonts w:eastAsiaTheme="minorEastAsia"/>
                <w:bCs/>
                <w:iCs/>
                <w:color w:val="000000"/>
                <w:sz w:val="22"/>
              </w:rPr>
              <w:t>国海富兰克林基金、</w:t>
            </w:r>
            <w:proofErr w:type="gramStart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永赢基金</w:t>
            </w:r>
            <w:proofErr w:type="gramEnd"/>
            <w:r w:rsidR="00EE67C6" w:rsidRPr="00040A13">
              <w:rPr>
                <w:rFonts w:eastAsiaTheme="minorEastAsia"/>
                <w:bCs/>
                <w:iCs/>
                <w:color w:val="000000"/>
                <w:sz w:val="22"/>
              </w:rPr>
              <w:t>、国泰海通证券、长江养老、东方证券、东亚前海证券、野村证券、盛钧投资、招商证券、中信建投、国盛电子</w:t>
            </w:r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、国泰海</w:t>
            </w:r>
            <w:proofErr w:type="gramStart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通资管</w:t>
            </w:r>
            <w:proofErr w:type="gramEnd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、青</w:t>
            </w:r>
            <w:proofErr w:type="gramStart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骊</w:t>
            </w:r>
            <w:proofErr w:type="gramEnd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投资、东吴基金、</w:t>
            </w:r>
            <w:proofErr w:type="gramStart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工银瑞信</w:t>
            </w:r>
            <w:proofErr w:type="gramEnd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、宽远资产、理成资产、南土资产、三井住友资管、野村资管、</w:t>
            </w:r>
            <w:proofErr w:type="gramStart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正心谷资本</w:t>
            </w:r>
            <w:proofErr w:type="gramEnd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、晨曦投资、</w:t>
            </w:r>
            <w:proofErr w:type="gramStart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枫叶林</w:t>
            </w:r>
            <w:proofErr w:type="gramEnd"/>
            <w:r w:rsidR="006320E4" w:rsidRPr="00040A13">
              <w:rPr>
                <w:rFonts w:eastAsiaTheme="minorEastAsia"/>
                <w:bCs/>
                <w:iCs/>
                <w:color w:val="000000"/>
                <w:sz w:val="22"/>
              </w:rPr>
              <w:t>私募、</w:t>
            </w:r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财通基金、农银汇理、</w:t>
            </w:r>
            <w:proofErr w:type="gramStart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交银施罗</w:t>
            </w:r>
            <w:proofErr w:type="gramEnd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德、光大证券资管、长信基金、同</w:t>
            </w:r>
            <w:proofErr w:type="gramStart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犇</w:t>
            </w:r>
            <w:proofErr w:type="gramEnd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投资、国泰君</w:t>
            </w:r>
            <w:proofErr w:type="gramStart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安资管</w:t>
            </w:r>
            <w:proofErr w:type="gramEnd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、</w:t>
            </w:r>
            <w:proofErr w:type="gramStart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中信保诚</w:t>
            </w:r>
            <w:proofErr w:type="gramEnd"/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、高毅投资、华泰保兴、</w:t>
            </w:r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Pinpoint Asset</w:t>
            </w:r>
            <w:r w:rsidR="00D23FC9" w:rsidRPr="00040A13">
              <w:rPr>
                <w:rFonts w:eastAsiaTheme="minorEastAsia"/>
                <w:bCs/>
                <w:iCs/>
                <w:color w:val="000000"/>
                <w:sz w:val="22"/>
              </w:rPr>
              <w:t>、兴银理财、国华兴益保险、海富通、国寿养老、华富基金、友邦人寿保险</w:t>
            </w:r>
          </w:p>
        </w:tc>
      </w:tr>
      <w:tr w:rsidR="00524DDA" w:rsidRPr="00603340" w14:paraId="2333D913" w14:textId="77777777" w:rsidTr="001C534A">
        <w:trPr>
          <w:trHeight w:val="54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9A4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338" w14:textId="27148CB9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sz w:val="22"/>
              </w:rPr>
              <w:t>202</w:t>
            </w:r>
            <w:r w:rsidR="00853045" w:rsidRPr="00040A13">
              <w:rPr>
                <w:rFonts w:eastAsiaTheme="minorEastAsia"/>
                <w:sz w:val="22"/>
              </w:rPr>
              <w:t>5</w:t>
            </w:r>
            <w:r w:rsidRPr="00040A13">
              <w:rPr>
                <w:rFonts w:eastAsiaTheme="minorEastAsia"/>
                <w:sz w:val="22"/>
              </w:rPr>
              <w:t>年</w:t>
            </w:r>
            <w:r w:rsidR="00BD57FF" w:rsidRPr="00040A13">
              <w:rPr>
                <w:rFonts w:eastAsiaTheme="minorEastAsia"/>
                <w:sz w:val="22"/>
              </w:rPr>
              <w:t>6</w:t>
            </w:r>
            <w:r w:rsidR="00BD57FF" w:rsidRPr="00040A13">
              <w:rPr>
                <w:rFonts w:eastAsiaTheme="minorEastAsia"/>
                <w:sz w:val="22"/>
              </w:rPr>
              <w:t>月</w:t>
            </w:r>
          </w:p>
        </w:tc>
      </w:tr>
      <w:tr w:rsidR="00524DDA" w:rsidRPr="00603340" w14:paraId="63EEE752" w14:textId="77777777" w:rsidTr="001C534A">
        <w:trPr>
          <w:trHeight w:val="57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52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8E9" w14:textId="1D573BD6" w:rsidR="00524DDA" w:rsidRPr="00040A13" w:rsidRDefault="003F74E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上海、北京、深圳、广州及线上会议</w:t>
            </w:r>
          </w:p>
        </w:tc>
      </w:tr>
      <w:tr w:rsidR="00524DDA" w:rsidRPr="00603340" w14:paraId="74313CB9" w14:textId="77777777" w:rsidTr="001C534A">
        <w:trPr>
          <w:trHeight w:val="158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5C7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lastRenderedPageBreak/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A1F" w14:textId="27C500B2" w:rsidR="001F427E" w:rsidRPr="00040A13" w:rsidRDefault="001F427E" w:rsidP="001F427E">
            <w:pPr>
              <w:pStyle w:val="TableText"/>
              <w:spacing w:line="520" w:lineRule="exact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董事会秘书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 xml:space="preserve"> 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梁映珍</w:t>
            </w:r>
          </w:p>
        </w:tc>
      </w:tr>
      <w:tr w:rsidR="00524DDA" w:rsidRPr="00603340" w14:paraId="16BEFE9C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093" w14:textId="56CD8AD5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投资者关系活动主要内容介绍</w:t>
            </w:r>
          </w:p>
          <w:p w14:paraId="2676D352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17A" w14:textId="77777777" w:rsidR="00524DDA" w:rsidRPr="00040A13" w:rsidRDefault="008577F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040A13"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主要交流的问题：</w:t>
            </w:r>
          </w:p>
          <w:p w14:paraId="42B814E8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proofErr w:type="gramStart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一</w:t>
            </w:r>
            <w:proofErr w:type="gramEnd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：公司今年一季度的业务情况如何？二季度的情况如何展望？</w:t>
            </w:r>
          </w:p>
          <w:p w14:paraId="6DBF85D6" w14:textId="77777777" w:rsidR="00E74EB6" w:rsidRDefault="00F968C8" w:rsidP="00F968C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2025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年第一季度，公司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实现营业收入</w:t>
            </w:r>
            <w:r w:rsidRPr="00F968C8">
              <w:rPr>
                <w:rFonts w:eastAsiaTheme="minorEastAsia"/>
                <w:bCs/>
                <w:iCs/>
                <w:color w:val="000000" w:themeColor="text1"/>
                <w:sz w:val="22"/>
              </w:rPr>
              <w:t>685,240,476.74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元，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同比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13.86%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的增长，单季营</w:t>
            </w:r>
            <w:proofErr w:type="gramStart"/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收实现</w:t>
            </w:r>
            <w:proofErr w:type="gramEnd"/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环比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进一步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增长，预计未来有望持续攀升。</w:t>
            </w:r>
          </w:p>
          <w:p w14:paraId="4090E2C8" w14:textId="6ADE5068" w:rsidR="00F968C8" w:rsidRPr="00F968C8" w:rsidRDefault="00F968C8" w:rsidP="00E74EB6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2025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年第二季度订单饱满，新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品业务不断放量，消费、汽车、工业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各应用场景呈现可期的增长，</w:t>
            </w: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预计第二季度公司在业务规模、业务结构方面有望实现更显著的成果。</w:t>
            </w:r>
          </w:p>
          <w:p w14:paraId="1158E54E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1A23A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问题二：公司在汽车、工业领域有哪些布局，最新进展情况如何？</w:t>
            </w:r>
          </w:p>
          <w:p w14:paraId="2E994A16" w14:textId="77777777" w:rsidR="00F968C8" w:rsidRPr="00E74EB6" w:rsidRDefault="00F968C8" w:rsidP="00F968C8">
            <w:pPr>
              <w:spacing w:line="480" w:lineRule="exact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答：在汽车方面，国产替代、自主可控已成为行业发展的重要趋势，公司在汽车领域深耕车身控制、智能驾驶、智能座舱、车载充电四大领域。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2024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年，公司汽车业务增速达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179%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，营收占比提高至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3.3%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；其中，车载充电业务持续扩大市场份额，今年有望再创新高；去年发布的多款智能驱动类、车载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PMIC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类产品，已进入量产，在今年有望贡献强劲的增长动力。</w:t>
            </w:r>
          </w:p>
          <w:p w14:paraId="49BBFE9D" w14:textId="7319B69C" w:rsidR="00F968C8" w:rsidRPr="00E74EB6" w:rsidRDefault="00F968C8" w:rsidP="00E74EB6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近期，公司还发布了车</w:t>
            </w:r>
            <w:proofErr w:type="gramStart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规</w:t>
            </w:r>
            <w:proofErr w:type="gramEnd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级高速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CAN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产品、应用于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ADAS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领域的车</w:t>
            </w:r>
            <w:proofErr w:type="gramStart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规</w:t>
            </w:r>
            <w:proofErr w:type="gramEnd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级升降压转换器，在高边开关领域，公司现已扩展推出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  <w:r w:rsid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多</w:t>
            </w:r>
            <w:proofErr w:type="gramStart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款支持</w:t>
            </w:r>
            <w:proofErr w:type="gramEnd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不同通道数与额定电流的产品，可一站</w:t>
            </w:r>
            <w:proofErr w:type="gramStart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式满足</w:t>
            </w:r>
            <w:proofErr w:type="gramEnd"/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客户针对车内不同负载的多样化使用需求。公司面向智能辅助驾驶系统供电链路的各个环节，均布局了完整的产品组合，是国内首批能提供从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ECU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（电子控制单元）端到</w:t>
            </w:r>
            <w:r w:rsidR="008C7AE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摄像头模块的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一站式电源解决方案的企业之一。今年下半年，公司还将推出更多新品，进一步扩大汽车产品矩阵。</w:t>
            </w:r>
          </w:p>
          <w:p w14:paraId="4C23B7F5" w14:textId="77777777" w:rsidR="00F968C8" w:rsidRPr="00E74EB6" w:rsidRDefault="00F968C8" w:rsidP="00E74EB6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 xml:space="preserve">2025 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年第一季度，公司汽车业务继续保持快速增长态势，预计全年汽车业务规模有望再创新高，实现更高的业务占比。</w:t>
            </w:r>
          </w:p>
          <w:p w14:paraId="11551390" w14:textId="7B073791" w:rsidR="00F968C8" w:rsidRPr="00F968C8" w:rsidRDefault="00F968C8" w:rsidP="00E74EB6">
            <w:pPr>
              <w:spacing w:line="480" w:lineRule="exact"/>
              <w:ind w:firstLineChars="200" w:firstLine="440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在工业方面，公司</w:t>
            </w:r>
            <w:r w:rsidR="006179C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关注人工智能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 w:rsid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机器人、</w:t>
            </w:r>
            <w:r w:rsidR="00C17B1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能源、</w:t>
            </w:r>
            <w:r w:rsid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工业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自动化等</w:t>
            </w:r>
            <w:r w:rsidR="006179C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</w:t>
            </w:r>
            <w:r w:rsidR="00C17B1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的市场机遇，投入资源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布局</w:t>
            </w:r>
            <w:r w:rsidR="00C17B1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2024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年</w:t>
            </w:r>
            <w:r w:rsid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推出了多款适用于储能、光伏、通信领域的芯片新品，并逐步实现量产出货。今年及未来，公司继续围绕各应用领域推陈出新，致力于为客户提供完整、可靠的电源解决方案，以把握长期发展的重要机遇。</w:t>
            </w:r>
          </w:p>
          <w:p w14:paraId="07DC41D3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27D5EC35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问题三：公司今年在研发人员的投入方面有什么规划？</w:t>
            </w:r>
          </w:p>
          <w:p w14:paraId="54D37BB4" w14:textId="31838672" w:rsidR="00F968C8" w:rsidRPr="004F050C" w:rsidRDefault="00F968C8" w:rsidP="00F968C8">
            <w:pPr>
              <w:spacing w:line="480" w:lineRule="exact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当前模拟行业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市场环境促进竞争格局分化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，头部效应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逐渐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明显。公司构建了较为完备的管理体系，具备较强的组织能力，基于对战略路径的有效执行，公司正处于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业务跨域发展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高速成长的发展阶段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503D890C" w14:textId="1B6B651D" w:rsidR="00F968C8" w:rsidRPr="004F050C" w:rsidRDefault="00F968C8" w:rsidP="004F050C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今年及未来，公司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将</w:t>
            </w:r>
            <w:r w:rsidR="00CB764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坚持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多领域产品局部，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围绕消费、汽车、工业三大应用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持续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投入研发资源，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构建公司新的发展动能，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预计今年研发费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率保持去年相同水平。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在消费领域，围绕高端消费电子大方向，把握关键海内外知名头部客户需求和产品路径规划，布局智能手机、智能穿戴、平板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/PC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等电源管理全链路芯片生态产品；在汽车领域，坚定车身、座舱、智驾、车载充电领域，完善产品矩阵丰富度，拓展电源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及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数模混合等芯片产品，夯实公司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增长驱动力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；在工业领域，布局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电源、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机器人、能源、工业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自动化等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方向的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电源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产品，为公司提供长周期增长的发展动力。</w:t>
            </w:r>
          </w:p>
          <w:p w14:paraId="63BF7756" w14:textId="05FCC5DB" w:rsidR="00F968C8" w:rsidRPr="004F050C" w:rsidRDefault="00F968C8" w:rsidP="004F050C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今年上半年公司已在消费、汽车、工业推出多款芯片产品，公司料号数量显著增加，目前已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有超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千余颗料号，预计下半年还将有更多新品发布。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公司从研发人员投入到产品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研发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落地效率高，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同时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始终坚持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以客户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价值为中心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，对齐各领域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大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客户关键需求投入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资源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后续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新</w:t>
            </w:r>
            <w:r w:rsid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产品</w:t>
            </w:r>
            <w:r w:rsidR="0068261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商业化落地的效率很可期</w:t>
            </w:r>
            <w:r w:rsidRPr="004F050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43520040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3BE06134" w14:textId="5A9C0395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问题四：请介绍一下公司发布的</w:t>
            </w:r>
            <w:r w:rsidR="005F66A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压电微泵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液冷驱</w:t>
            </w:r>
            <w:bookmarkStart w:id="2" w:name="_GoBack"/>
            <w:bookmarkEnd w:id="2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动</w:t>
            </w:r>
            <w:r w:rsidR="00CC200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芯片产品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的功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lastRenderedPageBreak/>
              <w:t>能和市场前景如何？</w:t>
            </w:r>
          </w:p>
          <w:p w14:paraId="29FDEC72" w14:textId="228092C5" w:rsidR="00F968C8" w:rsidRPr="005A3C63" w:rsidRDefault="00F968C8" w:rsidP="00F968C8">
            <w:pPr>
              <w:spacing w:line="480" w:lineRule="exact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答：近期，公司推出了自主研发的</w:t>
            </w: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190Vpp</w:t>
            </w: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压电驱动芯片，该芯片采用双向转换架构的创新设计，实现能量回收机制，相比传统单向能量转换的驱动方案，节电效率可显著提升至</w:t>
            </w: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10</w:t>
            </w:r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倍。除了应用</w:t>
            </w:r>
            <w:proofErr w:type="gramStart"/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在算力芯片</w:t>
            </w:r>
            <w:proofErr w:type="gramEnd"/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微泵液冷散热应用外，该芯片还适用于触觉反馈、固态按键等压电驱动应用，在智能手机、平板电脑、智能穿戴、触觉显示器等移动智能终端中均能实现低功耗和高精度的控制，已在多家客户导入验证并即将量产，未来有望拓展应用</w:t>
            </w:r>
            <w:proofErr w:type="gramStart"/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至工业</w:t>
            </w:r>
            <w:proofErr w:type="gramEnd"/>
            <w:r w:rsidRPr="005A3C6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和车载领域。</w:t>
            </w:r>
          </w:p>
          <w:p w14:paraId="0D64A21E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68ABFE10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问题五：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 xml:space="preserve"> 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目前产能供应端的表现如何？产品成本会有什么变化？</w:t>
            </w:r>
          </w:p>
          <w:p w14:paraId="293E8940" w14:textId="250C9FB9" w:rsidR="00F968C8" w:rsidRPr="00ED19D1" w:rsidRDefault="00F968C8" w:rsidP="00F968C8">
            <w:pPr>
              <w:spacing w:line="480" w:lineRule="exact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答：目前，部分晶</w:t>
            </w:r>
            <w:proofErr w:type="gramStart"/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圆</w:t>
            </w:r>
            <w:r w:rsidR="00ED19D1"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制造</w:t>
            </w:r>
            <w:proofErr w:type="gramEnd"/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的产能</w:t>
            </w:r>
            <w:r w:rsidR="00ED19D1"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供应</w:t>
            </w:r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出现了趋紧的情况。公司在产能锁定、投片等环节均有制定计划，并会根据市场大环境的变化及时做出调整。当前，公司在产能分配上能够合理满足今年后续业务订单的需求。</w:t>
            </w:r>
          </w:p>
          <w:p w14:paraId="5F242321" w14:textId="77777777" w:rsidR="00F968C8" w:rsidRPr="00ED19D1" w:rsidRDefault="00F968C8" w:rsidP="00ED19D1">
            <w:pPr>
              <w:spacing w:line="480" w:lineRule="exact"/>
              <w:ind w:firstLineChars="200" w:firstLine="440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公司的晶圆采购价格和封装测试价格保持合理变化，成本管控能力</w:t>
            </w:r>
            <w:proofErr w:type="gramStart"/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较行业</w:t>
            </w:r>
            <w:proofErr w:type="gramEnd"/>
            <w:r w:rsidRPr="00ED19D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水平具备一定的优势。</w:t>
            </w:r>
          </w:p>
          <w:p w14:paraId="0864A2C0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7C45999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问题六：公司如何看待产业并购？后续还有什么并购计划吗？</w:t>
            </w:r>
          </w:p>
          <w:p w14:paraId="4812E01E" w14:textId="0518727A" w:rsidR="00F968C8" w:rsidRPr="00844F36" w:rsidRDefault="00F968C8" w:rsidP="00F968C8">
            <w:pPr>
              <w:spacing w:line="480" w:lineRule="exact"/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</w:pP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答：当前国内模拟行业</w:t>
            </w:r>
            <w:r w:rsidR="00784DAF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竞争格局逐渐分化，在当下的资本市场环境下，产业并购涌现。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行业通过并购整合，</w:t>
            </w:r>
            <w:r w:rsidR="00784DAF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有利于实现生产资源导向更高效的商业组织，有利于产业竞争良性发展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。公司目前已完成了对珠海</w:t>
            </w:r>
            <w:proofErr w:type="gramStart"/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昇生微的</w:t>
            </w:r>
            <w:proofErr w:type="gramEnd"/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收购，正在深度</w:t>
            </w:r>
            <w:r w:rsidR="00844F36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融合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过程中，以期发挥更好的合力。公司在产业并购、投资方面</w:t>
            </w:r>
            <w:r w:rsidR="00844F36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将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持续保持关注，挖掘能够与公司形成</w:t>
            </w:r>
            <w:r w:rsidR="00844F36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商业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协同效应的并购投资机会，把握多</w:t>
            </w:r>
            <w:r w:rsidR="00844F36"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发展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契机。</w:t>
            </w:r>
          </w:p>
          <w:p w14:paraId="172CCCF9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2CC0196A" w14:textId="77777777" w:rsidR="00F968C8" w:rsidRPr="00F968C8" w:rsidRDefault="00F968C8" w:rsidP="00F968C8">
            <w:pPr>
              <w:spacing w:line="480" w:lineRule="exact"/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问题七：公司中长期的发展规划是什么？</w:t>
            </w:r>
          </w:p>
          <w:p w14:paraId="6CA20308" w14:textId="3184A22B" w:rsidR="006F2FF0" w:rsidRPr="00040A13" w:rsidRDefault="00F968C8" w:rsidP="00EC48F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答：公司战略秉承围绕</w:t>
            </w:r>
            <w:r w:rsid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多领域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各大客户的核心需求，</w:t>
            </w:r>
            <w:r w:rsid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通过技术创新打造公司产品力，为客户提供价值。</w:t>
            </w:r>
            <w:r w:rsidR="00EC48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公司将坚持多元化、平台化</w:t>
            </w:r>
            <w:r w:rsidR="00EC48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的发展战略，在消费、汽车和工业各应用领域坚持投入，以期释放多层次的发展动能。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</w:t>
            </w:r>
            <w:proofErr w:type="gramStart"/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的愿景是</w:t>
            </w:r>
            <w:proofErr w:type="gramEnd"/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成为一家长期、健康、跨周期的世界一流芯片企业</w:t>
            </w:r>
            <w:r w:rsidR="00EC48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。公司在多元化、平台化发展的同时，也不断加强国际化的布局，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公司当前已在新加坡、韩国等地积极布局，力争未来能够与全球同行业头部企业同台竞技。此外，公司会持续保持对产业变化的关注，挖掘能够与公司形成</w:t>
            </w:r>
            <w:r w:rsidR="00EC48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商业</w:t>
            </w:r>
            <w:r w:rsidRPr="00844F3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协同的并购投资机会，</w:t>
            </w:r>
            <w:r w:rsidR="00EC48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以加速公司发展的步伐。</w:t>
            </w:r>
          </w:p>
        </w:tc>
      </w:tr>
      <w:tr w:rsidR="00524DDA" w:rsidRPr="00603340" w14:paraId="7FC4A262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4F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lastRenderedPageBreak/>
              <w:t>附件清单</w:t>
            </w:r>
          </w:p>
          <w:p w14:paraId="063E53FE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2C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无</w:t>
            </w:r>
          </w:p>
        </w:tc>
      </w:tr>
      <w:tr w:rsidR="00524DDA" w:rsidRPr="00603340" w14:paraId="39CC8AE4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32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日期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458" w14:textId="774DC167" w:rsidR="00524DDA" w:rsidRPr="00040A13" w:rsidRDefault="008577F6">
            <w:pPr>
              <w:spacing w:line="360" w:lineRule="auto"/>
              <w:jc w:val="left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202</w:t>
            </w:r>
            <w:r w:rsidR="00D5265F" w:rsidRPr="00040A13">
              <w:rPr>
                <w:rFonts w:eastAsiaTheme="minorEastAsia"/>
                <w:bCs/>
                <w:iCs/>
                <w:color w:val="000000"/>
                <w:sz w:val="22"/>
              </w:rPr>
              <w:t>5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.</w:t>
            </w:r>
            <w:r w:rsidR="008743DF" w:rsidRPr="00040A13">
              <w:rPr>
                <w:rFonts w:eastAsiaTheme="minorEastAsia"/>
                <w:bCs/>
                <w:iCs/>
                <w:color w:val="000000"/>
                <w:sz w:val="22"/>
              </w:rPr>
              <w:t>6.30</w:t>
            </w:r>
          </w:p>
        </w:tc>
      </w:tr>
    </w:tbl>
    <w:p w14:paraId="0BDFA1E2" w14:textId="77777777" w:rsidR="00524DDA" w:rsidRPr="00603340" w:rsidRDefault="00524DDA"/>
    <w:sectPr w:rsidR="00524DDA" w:rsidRPr="0060334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2793" w14:textId="77777777" w:rsidR="00315687" w:rsidRDefault="00315687" w:rsidP="003C54F3">
      <w:r>
        <w:separator/>
      </w:r>
    </w:p>
  </w:endnote>
  <w:endnote w:type="continuationSeparator" w:id="0">
    <w:p w14:paraId="4BC117CF" w14:textId="77777777" w:rsidR="00315687" w:rsidRDefault="00315687" w:rsidP="003C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379CD" w14:textId="77777777" w:rsidR="00315687" w:rsidRDefault="00315687" w:rsidP="003C54F3">
      <w:r>
        <w:separator/>
      </w:r>
    </w:p>
  </w:footnote>
  <w:footnote w:type="continuationSeparator" w:id="0">
    <w:p w14:paraId="7EA580A4" w14:textId="77777777" w:rsidR="00315687" w:rsidRDefault="00315687" w:rsidP="003C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26A62"/>
    <w:rsid w:val="00032A5D"/>
    <w:rsid w:val="00040A13"/>
    <w:rsid w:val="000419E7"/>
    <w:rsid w:val="00050098"/>
    <w:rsid w:val="00054C15"/>
    <w:rsid w:val="00055B51"/>
    <w:rsid w:val="00061E3C"/>
    <w:rsid w:val="0006601A"/>
    <w:rsid w:val="00067900"/>
    <w:rsid w:val="000807FF"/>
    <w:rsid w:val="00082FEC"/>
    <w:rsid w:val="000833F1"/>
    <w:rsid w:val="00083F5D"/>
    <w:rsid w:val="000866C5"/>
    <w:rsid w:val="000934CF"/>
    <w:rsid w:val="00093BD5"/>
    <w:rsid w:val="000942B7"/>
    <w:rsid w:val="00095A69"/>
    <w:rsid w:val="000A344F"/>
    <w:rsid w:val="000A5F1C"/>
    <w:rsid w:val="000B409F"/>
    <w:rsid w:val="000B63E0"/>
    <w:rsid w:val="000C612E"/>
    <w:rsid w:val="000C754D"/>
    <w:rsid w:val="000E5184"/>
    <w:rsid w:val="000E548C"/>
    <w:rsid w:val="000E7EF6"/>
    <w:rsid w:val="000F317E"/>
    <w:rsid w:val="000F61D5"/>
    <w:rsid w:val="000F6D23"/>
    <w:rsid w:val="001034D8"/>
    <w:rsid w:val="00105B2C"/>
    <w:rsid w:val="00106A7F"/>
    <w:rsid w:val="00107BEB"/>
    <w:rsid w:val="001130D9"/>
    <w:rsid w:val="001207F7"/>
    <w:rsid w:val="00120DD5"/>
    <w:rsid w:val="00122B73"/>
    <w:rsid w:val="00125F87"/>
    <w:rsid w:val="00131563"/>
    <w:rsid w:val="001417C0"/>
    <w:rsid w:val="0015316E"/>
    <w:rsid w:val="00160089"/>
    <w:rsid w:val="00161BC4"/>
    <w:rsid w:val="00162497"/>
    <w:rsid w:val="001632BD"/>
    <w:rsid w:val="00171179"/>
    <w:rsid w:val="00171322"/>
    <w:rsid w:val="001716D1"/>
    <w:rsid w:val="00173F35"/>
    <w:rsid w:val="00175B1F"/>
    <w:rsid w:val="00181B65"/>
    <w:rsid w:val="00182CAF"/>
    <w:rsid w:val="0018761A"/>
    <w:rsid w:val="001A0AEC"/>
    <w:rsid w:val="001A2E1E"/>
    <w:rsid w:val="001A31FD"/>
    <w:rsid w:val="001A58C8"/>
    <w:rsid w:val="001C37D2"/>
    <w:rsid w:val="001C4166"/>
    <w:rsid w:val="001C4535"/>
    <w:rsid w:val="001C534A"/>
    <w:rsid w:val="001D3494"/>
    <w:rsid w:val="001F3EFA"/>
    <w:rsid w:val="001F427E"/>
    <w:rsid w:val="001F4D68"/>
    <w:rsid w:val="002001FC"/>
    <w:rsid w:val="00207811"/>
    <w:rsid w:val="0021142A"/>
    <w:rsid w:val="002124B0"/>
    <w:rsid w:val="00223DEE"/>
    <w:rsid w:val="0023292B"/>
    <w:rsid w:val="00232CE1"/>
    <w:rsid w:val="00247F0B"/>
    <w:rsid w:val="002507FA"/>
    <w:rsid w:val="00251BE0"/>
    <w:rsid w:val="002523B2"/>
    <w:rsid w:val="002525EA"/>
    <w:rsid w:val="00253401"/>
    <w:rsid w:val="002614B2"/>
    <w:rsid w:val="00265EB4"/>
    <w:rsid w:val="0026626D"/>
    <w:rsid w:val="00274349"/>
    <w:rsid w:val="00274AEA"/>
    <w:rsid w:val="00293E36"/>
    <w:rsid w:val="00294C97"/>
    <w:rsid w:val="00295CED"/>
    <w:rsid w:val="002A2C74"/>
    <w:rsid w:val="002B1024"/>
    <w:rsid w:val="002B6A6E"/>
    <w:rsid w:val="002C0BE7"/>
    <w:rsid w:val="002D07FE"/>
    <w:rsid w:val="002D6F89"/>
    <w:rsid w:val="002D7C22"/>
    <w:rsid w:val="002E4FBE"/>
    <w:rsid w:val="002E50CF"/>
    <w:rsid w:val="002E5FF4"/>
    <w:rsid w:val="002E7334"/>
    <w:rsid w:val="002F3005"/>
    <w:rsid w:val="002F732A"/>
    <w:rsid w:val="00302907"/>
    <w:rsid w:val="003035EA"/>
    <w:rsid w:val="00303862"/>
    <w:rsid w:val="00311550"/>
    <w:rsid w:val="00315687"/>
    <w:rsid w:val="00334E89"/>
    <w:rsid w:val="00336FA9"/>
    <w:rsid w:val="00342594"/>
    <w:rsid w:val="003526F4"/>
    <w:rsid w:val="003609BA"/>
    <w:rsid w:val="00361618"/>
    <w:rsid w:val="00365E74"/>
    <w:rsid w:val="00366EA6"/>
    <w:rsid w:val="003763FA"/>
    <w:rsid w:val="00386E56"/>
    <w:rsid w:val="00387E05"/>
    <w:rsid w:val="003A67E3"/>
    <w:rsid w:val="003C16E0"/>
    <w:rsid w:val="003C44C9"/>
    <w:rsid w:val="003C54F3"/>
    <w:rsid w:val="003C6B6E"/>
    <w:rsid w:val="003D193A"/>
    <w:rsid w:val="003D5008"/>
    <w:rsid w:val="003E4CFB"/>
    <w:rsid w:val="003E70FC"/>
    <w:rsid w:val="003F22CB"/>
    <w:rsid w:val="003F74E0"/>
    <w:rsid w:val="00400253"/>
    <w:rsid w:val="00402E08"/>
    <w:rsid w:val="00403882"/>
    <w:rsid w:val="0041104D"/>
    <w:rsid w:val="00411762"/>
    <w:rsid w:val="00412D50"/>
    <w:rsid w:val="00420A05"/>
    <w:rsid w:val="00420BA0"/>
    <w:rsid w:val="004212F8"/>
    <w:rsid w:val="00421EE6"/>
    <w:rsid w:val="0042481B"/>
    <w:rsid w:val="0042768B"/>
    <w:rsid w:val="00431577"/>
    <w:rsid w:val="00432057"/>
    <w:rsid w:val="004333C0"/>
    <w:rsid w:val="0043582B"/>
    <w:rsid w:val="00440232"/>
    <w:rsid w:val="004425F0"/>
    <w:rsid w:val="00443176"/>
    <w:rsid w:val="0045369E"/>
    <w:rsid w:val="00454193"/>
    <w:rsid w:val="00471200"/>
    <w:rsid w:val="00475245"/>
    <w:rsid w:val="00476C44"/>
    <w:rsid w:val="00477CC1"/>
    <w:rsid w:val="0048147C"/>
    <w:rsid w:val="00483415"/>
    <w:rsid w:val="00495436"/>
    <w:rsid w:val="004A256D"/>
    <w:rsid w:val="004A4935"/>
    <w:rsid w:val="004A7E95"/>
    <w:rsid w:val="004B22B6"/>
    <w:rsid w:val="004B656D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50C"/>
    <w:rsid w:val="004F0A89"/>
    <w:rsid w:val="004F27C6"/>
    <w:rsid w:val="004F490D"/>
    <w:rsid w:val="004F6A8C"/>
    <w:rsid w:val="004F741B"/>
    <w:rsid w:val="00502190"/>
    <w:rsid w:val="00506E21"/>
    <w:rsid w:val="00524DDA"/>
    <w:rsid w:val="0054281D"/>
    <w:rsid w:val="0054338C"/>
    <w:rsid w:val="00544C01"/>
    <w:rsid w:val="0055478B"/>
    <w:rsid w:val="00563858"/>
    <w:rsid w:val="005676FB"/>
    <w:rsid w:val="00572B39"/>
    <w:rsid w:val="005774B7"/>
    <w:rsid w:val="00585BFF"/>
    <w:rsid w:val="005928C9"/>
    <w:rsid w:val="0059366B"/>
    <w:rsid w:val="0059383B"/>
    <w:rsid w:val="00596D89"/>
    <w:rsid w:val="005975DC"/>
    <w:rsid w:val="005A1116"/>
    <w:rsid w:val="005A3C63"/>
    <w:rsid w:val="005A475C"/>
    <w:rsid w:val="005A58C7"/>
    <w:rsid w:val="005A6F3A"/>
    <w:rsid w:val="005C1A00"/>
    <w:rsid w:val="005C645F"/>
    <w:rsid w:val="005C7B6C"/>
    <w:rsid w:val="005D164B"/>
    <w:rsid w:val="005D3FC4"/>
    <w:rsid w:val="005D5E64"/>
    <w:rsid w:val="005D7DA3"/>
    <w:rsid w:val="005E42D1"/>
    <w:rsid w:val="005F000D"/>
    <w:rsid w:val="005F45A0"/>
    <w:rsid w:val="005F66AF"/>
    <w:rsid w:val="00601539"/>
    <w:rsid w:val="00603340"/>
    <w:rsid w:val="006044EF"/>
    <w:rsid w:val="006118B8"/>
    <w:rsid w:val="00616EB3"/>
    <w:rsid w:val="006179C6"/>
    <w:rsid w:val="00617C4D"/>
    <w:rsid w:val="006220F1"/>
    <w:rsid w:val="00626330"/>
    <w:rsid w:val="00630DC4"/>
    <w:rsid w:val="006320E4"/>
    <w:rsid w:val="00647B49"/>
    <w:rsid w:val="00647EBD"/>
    <w:rsid w:val="006504B7"/>
    <w:rsid w:val="006508FF"/>
    <w:rsid w:val="00652AE8"/>
    <w:rsid w:val="006666AB"/>
    <w:rsid w:val="00672869"/>
    <w:rsid w:val="0067308F"/>
    <w:rsid w:val="00674CB0"/>
    <w:rsid w:val="00682613"/>
    <w:rsid w:val="00684439"/>
    <w:rsid w:val="006903D5"/>
    <w:rsid w:val="00695E64"/>
    <w:rsid w:val="006A7188"/>
    <w:rsid w:val="006A78DE"/>
    <w:rsid w:val="006B2A13"/>
    <w:rsid w:val="006B50D7"/>
    <w:rsid w:val="006D1A0A"/>
    <w:rsid w:val="006D3D4C"/>
    <w:rsid w:val="006D5F46"/>
    <w:rsid w:val="006E2EC6"/>
    <w:rsid w:val="006E77F5"/>
    <w:rsid w:val="006F1C9E"/>
    <w:rsid w:val="006F2FF0"/>
    <w:rsid w:val="00715E46"/>
    <w:rsid w:val="00721DEE"/>
    <w:rsid w:val="0074273E"/>
    <w:rsid w:val="00744027"/>
    <w:rsid w:val="007451ED"/>
    <w:rsid w:val="007462A5"/>
    <w:rsid w:val="00750EAC"/>
    <w:rsid w:val="0075112A"/>
    <w:rsid w:val="00752966"/>
    <w:rsid w:val="00761A73"/>
    <w:rsid w:val="00765A52"/>
    <w:rsid w:val="00775DC6"/>
    <w:rsid w:val="00782733"/>
    <w:rsid w:val="00784659"/>
    <w:rsid w:val="00784DAF"/>
    <w:rsid w:val="007915F6"/>
    <w:rsid w:val="00793994"/>
    <w:rsid w:val="00795135"/>
    <w:rsid w:val="0079785A"/>
    <w:rsid w:val="007A3FF4"/>
    <w:rsid w:val="007A583C"/>
    <w:rsid w:val="007B4C98"/>
    <w:rsid w:val="00800F32"/>
    <w:rsid w:val="00805365"/>
    <w:rsid w:val="00813FE6"/>
    <w:rsid w:val="008218FC"/>
    <w:rsid w:val="0082594F"/>
    <w:rsid w:val="00841FA1"/>
    <w:rsid w:val="00844F36"/>
    <w:rsid w:val="00853045"/>
    <w:rsid w:val="008577F6"/>
    <w:rsid w:val="008610FA"/>
    <w:rsid w:val="00862342"/>
    <w:rsid w:val="008743DF"/>
    <w:rsid w:val="00882EC8"/>
    <w:rsid w:val="0088391D"/>
    <w:rsid w:val="008949FE"/>
    <w:rsid w:val="008A37DE"/>
    <w:rsid w:val="008A7F36"/>
    <w:rsid w:val="008B0754"/>
    <w:rsid w:val="008B2B95"/>
    <w:rsid w:val="008B5BCB"/>
    <w:rsid w:val="008C5BA8"/>
    <w:rsid w:val="008C6A40"/>
    <w:rsid w:val="008C7AE8"/>
    <w:rsid w:val="008D48A2"/>
    <w:rsid w:val="008E1595"/>
    <w:rsid w:val="008E29E6"/>
    <w:rsid w:val="008F1DC0"/>
    <w:rsid w:val="008F3AE5"/>
    <w:rsid w:val="008F40B6"/>
    <w:rsid w:val="008F58C2"/>
    <w:rsid w:val="00904AB1"/>
    <w:rsid w:val="00907A9A"/>
    <w:rsid w:val="00915602"/>
    <w:rsid w:val="00915BB7"/>
    <w:rsid w:val="00916EB1"/>
    <w:rsid w:val="009242DC"/>
    <w:rsid w:val="00931DC8"/>
    <w:rsid w:val="00932681"/>
    <w:rsid w:val="00935350"/>
    <w:rsid w:val="009366FA"/>
    <w:rsid w:val="009422D6"/>
    <w:rsid w:val="00942F00"/>
    <w:rsid w:val="009444CB"/>
    <w:rsid w:val="0094504F"/>
    <w:rsid w:val="00945625"/>
    <w:rsid w:val="0094770D"/>
    <w:rsid w:val="009552F0"/>
    <w:rsid w:val="009647A9"/>
    <w:rsid w:val="009664CE"/>
    <w:rsid w:val="009735CB"/>
    <w:rsid w:val="00982251"/>
    <w:rsid w:val="00990069"/>
    <w:rsid w:val="00993CDF"/>
    <w:rsid w:val="009950F4"/>
    <w:rsid w:val="009967E3"/>
    <w:rsid w:val="009A2F75"/>
    <w:rsid w:val="009A490D"/>
    <w:rsid w:val="009A7190"/>
    <w:rsid w:val="009B0B11"/>
    <w:rsid w:val="009B5410"/>
    <w:rsid w:val="009B6900"/>
    <w:rsid w:val="009C1DDB"/>
    <w:rsid w:val="009C4D8C"/>
    <w:rsid w:val="009D3988"/>
    <w:rsid w:val="009E095F"/>
    <w:rsid w:val="009E4A55"/>
    <w:rsid w:val="009E743C"/>
    <w:rsid w:val="009F0FB3"/>
    <w:rsid w:val="009F3EFD"/>
    <w:rsid w:val="009F74F4"/>
    <w:rsid w:val="009F7715"/>
    <w:rsid w:val="00A022DE"/>
    <w:rsid w:val="00A22CF2"/>
    <w:rsid w:val="00A23A2A"/>
    <w:rsid w:val="00A40106"/>
    <w:rsid w:val="00A43EF4"/>
    <w:rsid w:val="00A444E7"/>
    <w:rsid w:val="00A461A1"/>
    <w:rsid w:val="00A50210"/>
    <w:rsid w:val="00A57651"/>
    <w:rsid w:val="00A6539A"/>
    <w:rsid w:val="00A80CD4"/>
    <w:rsid w:val="00A82E64"/>
    <w:rsid w:val="00A84CDE"/>
    <w:rsid w:val="00A93FFB"/>
    <w:rsid w:val="00A97E8D"/>
    <w:rsid w:val="00AA4AE1"/>
    <w:rsid w:val="00AA4B17"/>
    <w:rsid w:val="00AA4E23"/>
    <w:rsid w:val="00AB5EB6"/>
    <w:rsid w:val="00AB614A"/>
    <w:rsid w:val="00AB688D"/>
    <w:rsid w:val="00AC4021"/>
    <w:rsid w:val="00AC6DF3"/>
    <w:rsid w:val="00AC716A"/>
    <w:rsid w:val="00AC7C57"/>
    <w:rsid w:val="00AE1BD9"/>
    <w:rsid w:val="00AE4ED3"/>
    <w:rsid w:val="00AE761E"/>
    <w:rsid w:val="00AF08B1"/>
    <w:rsid w:val="00AF0FBF"/>
    <w:rsid w:val="00B04D5B"/>
    <w:rsid w:val="00B06767"/>
    <w:rsid w:val="00B075FD"/>
    <w:rsid w:val="00B10690"/>
    <w:rsid w:val="00B20AA4"/>
    <w:rsid w:val="00B227B9"/>
    <w:rsid w:val="00B26A5B"/>
    <w:rsid w:val="00B45906"/>
    <w:rsid w:val="00B63D0B"/>
    <w:rsid w:val="00B64662"/>
    <w:rsid w:val="00B6671A"/>
    <w:rsid w:val="00B86853"/>
    <w:rsid w:val="00B86A7B"/>
    <w:rsid w:val="00B87C49"/>
    <w:rsid w:val="00B9490D"/>
    <w:rsid w:val="00B9496C"/>
    <w:rsid w:val="00BB2FC3"/>
    <w:rsid w:val="00BD27E8"/>
    <w:rsid w:val="00BD546F"/>
    <w:rsid w:val="00BD57FF"/>
    <w:rsid w:val="00BF5A38"/>
    <w:rsid w:val="00C01E5E"/>
    <w:rsid w:val="00C029D5"/>
    <w:rsid w:val="00C0549C"/>
    <w:rsid w:val="00C0623F"/>
    <w:rsid w:val="00C17B12"/>
    <w:rsid w:val="00C2056B"/>
    <w:rsid w:val="00C213AF"/>
    <w:rsid w:val="00C23EA4"/>
    <w:rsid w:val="00C3677C"/>
    <w:rsid w:val="00C5614E"/>
    <w:rsid w:val="00C602C5"/>
    <w:rsid w:val="00C67928"/>
    <w:rsid w:val="00C710BF"/>
    <w:rsid w:val="00C76774"/>
    <w:rsid w:val="00C837AF"/>
    <w:rsid w:val="00C90BA4"/>
    <w:rsid w:val="00C963D2"/>
    <w:rsid w:val="00CA133B"/>
    <w:rsid w:val="00CA2740"/>
    <w:rsid w:val="00CA4FF1"/>
    <w:rsid w:val="00CA5223"/>
    <w:rsid w:val="00CA5903"/>
    <w:rsid w:val="00CA7104"/>
    <w:rsid w:val="00CB47FB"/>
    <w:rsid w:val="00CB7648"/>
    <w:rsid w:val="00CB7CA7"/>
    <w:rsid w:val="00CC200E"/>
    <w:rsid w:val="00CD2A33"/>
    <w:rsid w:val="00CD32CA"/>
    <w:rsid w:val="00CD4283"/>
    <w:rsid w:val="00CE14F6"/>
    <w:rsid w:val="00CE4133"/>
    <w:rsid w:val="00CF1F10"/>
    <w:rsid w:val="00D039FA"/>
    <w:rsid w:val="00D043DF"/>
    <w:rsid w:val="00D1206F"/>
    <w:rsid w:val="00D1387A"/>
    <w:rsid w:val="00D20F5E"/>
    <w:rsid w:val="00D221D4"/>
    <w:rsid w:val="00D22388"/>
    <w:rsid w:val="00D23FC9"/>
    <w:rsid w:val="00D34BFF"/>
    <w:rsid w:val="00D35140"/>
    <w:rsid w:val="00D46B8E"/>
    <w:rsid w:val="00D5265F"/>
    <w:rsid w:val="00D54DFB"/>
    <w:rsid w:val="00D56FC8"/>
    <w:rsid w:val="00D6793E"/>
    <w:rsid w:val="00D71A6B"/>
    <w:rsid w:val="00D74523"/>
    <w:rsid w:val="00D75134"/>
    <w:rsid w:val="00D82D04"/>
    <w:rsid w:val="00D919A9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27A6"/>
    <w:rsid w:val="00E064D3"/>
    <w:rsid w:val="00E067ED"/>
    <w:rsid w:val="00E12AFD"/>
    <w:rsid w:val="00E1377C"/>
    <w:rsid w:val="00E15C98"/>
    <w:rsid w:val="00E339FA"/>
    <w:rsid w:val="00E34142"/>
    <w:rsid w:val="00E40B71"/>
    <w:rsid w:val="00E41971"/>
    <w:rsid w:val="00E4302E"/>
    <w:rsid w:val="00E44854"/>
    <w:rsid w:val="00E4621C"/>
    <w:rsid w:val="00E52443"/>
    <w:rsid w:val="00E5478C"/>
    <w:rsid w:val="00E62738"/>
    <w:rsid w:val="00E6317F"/>
    <w:rsid w:val="00E63813"/>
    <w:rsid w:val="00E67C73"/>
    <w:rsid w:val="00E705EE"/>
    <w:rsid w:val="00E733DE"/>
    <w:rsid w:val="00E74EB6"/>
    <w:rsid w:val="00E8538E"/>
    <w:rsid w:val="00E93166"/>
    <w:rsid w:val="00EB0584"/>
    <w:rsid w:val="00EB0D2E"/>
    <w:rsid w:val="00EB113E"/>
    <w:rsid w:val="00EB1962"/>
    <w:rsid w:val="00EC0581"/>
    <w:rsid w:val="00EC48F3"/>
    <w:rsid w:val="00ED19D1"/>
    <w:rsid w:val="00ED22FD"/>
    <w:rsid w:val="00ED430E"/>
    <w:rsid w:val="00EE1E13"/>
    <w:rsid w:val="00EE2CA0"/>
    <w:rsid w:val="00EE5D02"/>
    <w:rsid w:val="00EE67C6"/>
    <w:rsid w:val="00EF0B81"/>
    <w:rsid w:val="00EF1278"/>
    <w:rsid w:val="00EF57D0"/>
    <w:rsid w:val="00EF6B08"/>
    <w:rsid w:val="00F004EE"/>
    <w:rsid w:val="00F0055B"/>
    <w:rsid w:val="00F052AC"/>
    <w:rsid w:val="00F14A9A"/>
    <w:rsid w:val="00F22364"/>
    <w:rsid w:val="00F2298D"/>
    <w:rsid w:val="00F32934"/>
    <w:rsid w:val="00F35624"/>
    <w:rsid w:val="00F44967"/>
    <w:rsid w:val="00F44971"/>
    <w:rsid w:val="00F46F9B"/>
    <w:rsid w:val="00F514E1"/>
    <w:rsid w:val="00F541E7"/>
    <w:rsid w:val="00F55EE8"/>
    <w:rsid w:val="00F60D1B"/>
    <w:rsid w:val="00F655DD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3077"/>
    <w:rsid w:val="00F968C8"/>
    <w:rsid w:val="00FA16D1"/>
    <w:rsid w:val="00FA6BD4"/>
    <w:rsid w:val="00FA6DFF"/>
    <w:rsid w:val="00FA6E99"/>
    <w:rsid w:val="00FB0C94"/>
    <w:rsid w:val="00FB6558"/>
    <w:rsid w:val="00FB672F"/>
    <w:rsid w:val="00FD102E"/>
    <w:rsid w:val="00FD2A13"/>
    <w:rsid w:val="00FE0936"/>
    <w:rsid w:val="00FE1B43"/>
    <w:rsid w:val="00FE3ADE"/>
    <w:rsid w:val="00FF2359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D22AF"/>
  <w15:docId w15:val="{017224F1-897E-4B7B-98FF-A5639CF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11AF-881C-47A8-BA3C-333F9523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1340</Words>
  <Characters>1649</Characters>
  <Application>Microsoft Office Word</Application>
  <DocSecurity>0</DocSecurity>
  <Lines>183</Lines>
  <Paragraphs>199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Yingzhen Liang</cp:lastModifiedBy>
  <cp:revision>23</cp:revision>
  <dcterms:created xsi:type="dcterms:W3CDTF">2025-07-01T03:15:00Z</dcterms:created>
  <dcterms:modified xsi:type="dcterms:W3CDTF">2025-07-01T08:43:00Z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AB9840B96CF64832B610B2479A0E5ADB_13</vt:lpwstr>
  </property>
</Properties>
</file>