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8DF47" w14:textId="77777777" w:rsidR="005C3978" w:rsidRDefault="00E205BE">
      <w:r>
        <w:rPr>
          <w:rFonts w:hint="eastAsia"/>
        </w:rPr>
        <w:t>证券代码：</w:t>
      </w:r>
      <w:r>
        <w:t xml:space="preserve">688155           </w:t>
      </w:r>
      <w:r>
        <w:rPr>
          <w:rFonts w:hint="eastAsia"/>
        </w:rPr>
        <w:t xml:space="preserve">                    </w:t>
      </w:r>
      <w:r>
        <w:rPr>
          <w:rFonts w:hint="eastAsia"/>
        </w:rPr>
        <w:t>证券简称：先惠技术</w:t>
      </w:r>
    </w:p>
    <w:p w14:paraId="01AA7027" w14:textId="77777777" w:rsidR="005C3978" w:rsidRDefault="00E205BE">
      <w:pPr>
        <w:adjustRightInd w:val="0"/>
        <w:snapToGrid w:val="0"/>
        <w:spacing w:beforeLines="50" w:before="156"/>
        <w:ind w:firstLine="643"/>
        <w:jc w:val="center"/>
        <w:rPr>
          <w:b/>
          <w:sz w:val="32"/>
        </w:rPr>
      </w:pPr>
      <w:bookmarkStart w:id="0" w:name="_GoBack"/>
      <w:r>
        <w:rPr>
          <w:rFonts w:hint="eastAsia"/>
          <w:b/>
          <w:sz w:val="32"/>
        </w:rPr>
        <w:t>上海先惠自动化技术股份有限公司</w:t>
      </w:r>
      <w:bookmarkEnd w:id="0"/>
    </w:p>
    <w:p w14:paraId="029D34FB" w14:textId="77777777" w:rsidR="005C3978" w:rsidRDefault="00E205BE">
      <w:pPr>
        <w:adjustRightInd w:val="0"/>
        <w:snapToGrid w:val="0"/>
        <w:spacing w:afterLines="50" w:after="156"/>
        <w:ind w:firstLine="643"/>
        <w:jc w:val="center"/>
        <w:rPr>
          <w:b/>
          <w:sz w:val="32"/>
        </w:rPr>
      </w:pPr>
      <w:r>
        <w:rPr>
          <w:rFonts w:hint="eastAsia"/>
          <w:b/>
          <w:sz w:val="32"/>
        </w:rPr>
        <w:t>投资者关系活动记录表</w:t>
      </w:r>
    </w:p>
    <w:p w14:paraId="5AF17927" w14:textId="77777777" w:rsidR="005C3978" w:rsidRDefault="00E205BE">
      <w:r>
        <w:rPr>
          <w:rFonts w:hint="eastAsia"/>
        </w:rPr>
        <w:t xml:space="preserve">                                                   </w:t>
      </w:r>
      <w:r>
        <w:rPr>
          <w:rFonts w:hint="eastAsia"/>
        </w:rPr>
        <w:t>编号：</w:t>
      </w:r>
      <w:r>
        <w:t>SKDY2025-001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180"/>
      </w:tblGrid>
      <w:tr w:rsidR="005C3978" w14:paraId="69AA2780"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E728F68" w14:textId="77777777" w:rsidR="005C3978" w:rsidRDefault="00E205BE">
            <w:r>
              <w:rPr>
                <w:rFonts w:hint="eastAsia"/>
              </w:rPr>
              <w:t>投资者关系活动类别</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7BF44B8A" w14:textId="77777777" w:rsidR="005C3978" w:rsidRDefault="00E205BE">
            <w:pPr>
              <w:rPr>
                <w:bCs/>
                <w:iCs/>
                <w:color w:val="000000"/>
              </w:rPr>
            </w:pPr>
            <w:r>
              <w:rPr>
                <w:rFonts w:hint="eastAsia"/>
                <w:bCs/>
                <w:iCs/>
                <w:color w:val="000000"/>
              </w:rPr>
              <w:t>□</w:t>
            </w:r>
            <w:r>
              <w:rPr>
                <w:rFonts w:hint="eastAsia"/>
              </w:rPr>
              <w:t>特定对象调研</w:t>
            </w:r>
            <w:r>
              <w:t xml:space="preserve">        </w:t>
            </w:r>
            <w:r>
              <w:rPr>
                <w:rFonts w:hint="eastAsia"/>
                <w:bCs/>
                <w:iCs/>
                <w:color w:val="000000"/>
              </w:rPr>
              <w:t>□</w:t>
            </w:r>
            <w:r>
              <w:rPr>
                <w:rFonts w:hint="eastAsia"/>
              </w:rPr>
              <w:t>分析师会议</w:t>
            </w:r>
          </w:p>
          <w:p w14:paraId="6602E744" w14:textId="77777777" w:rsidR="005C3978" w:rsidRDefault="00E205BE">
            <w:pPr>
              <w:rPr>
                <w:rFonts w:asciiTheme="majorEastAsia" w:eastAsiaTheme="majorEastAsia" w:hAnsiTheme="majorEastAsia"/>
                <w:bCs/>
                <w:iCs/>
                <w:color w:val="000000"/>
              </w:rPr>
            </w:pPr>
            <w:r>
              <w:rPr>
                <w:rFonts w:hint="eastAsia"/>
                <w:bCs/>
                <w:iCs/>
                <w:color w:val="000000"/>
              </w:rPr>
              <w:t>□</w:t>
            </w:r>
            <w:r>
              <w:rPr>
                <w:rFonts w:hint="eastAsia"/>
              </w:rPr>
              <w:t>媒体采访</w:t>
            </w:r>
            <w:r>
              <w:t xml:space="preserve">   </w:t>
            </w:r>
            <w:r>
              <w:rPr>
                <w:rFonts w:asciiTheme="majorEastAsia" w:eastAsiaTheme="majorEastAsia" w:hAnsiTheme="majorEastAsia" w:hint="eastAsia"/>
              </w:rPr>
              <w:t xml:space="preserve">         </w:t>
            </w:r>
            <w:r>
              <w:rPr>
                <w:rFonts w:asciiTheme="majorEastAsia" w:eastAsiaTheme="majorEastAsia" w:hAnsiTheme="majorEastAsia" w:hint="eastAsia"/>
                <w:bCs/>
                <w:iCs/>
                <w:color w:val="000000"/>
              </w:rPr>
              <w:t>□</w:t>
            </w:r>
            <w:r>
              <w:rPr>
                <w:rFonts w:hint="eastAsia"/>
              </w:rPr>
              <w:t>业绩说明会</w:t>
            </w:r>
          </w:p>
          <w:p w14:paraId="186EF88B" w14:textId="59D49670" w:rsidR="005C3978" w:rsidRDefault="00E205BE">
            <w:pPr>
              <w:rPr>
                <w:bCs/>
                <w:iCs/>
                <w:color w:val="000000"/>
              </w:rPr>
            </w:pPr>
            <w:r>
              <w:rPr>
                <w:rFonts w:hint="eastAsia"/>
                <w:bCs/>
                <w:iCs/>
                <w:color w:val="000000"/>
              </w:rPr>
              <w:t>□</w:t>
            </w:r>
            <w:r>
              <w:rPr>
                <w:rFonts w:asciiTheme="minorEastAsia" w:hAnsiTheme="minorEastAsia" w:hint="eastAsia"/>
              </w:rPr>
              <w:t>新闻发布会</w:t>
            </w:r>
            <w:r>
              <w:rPr>
                <w:rFonts w:hint="eastAsia"/>
              </w:rPr>
              <w:t xml:space="preserve">          </w:t>
            </w:r>
            <w:r w:rsidR="00C0425A">
              <w:rPr>
                <w:rFonts w:asciiTheme="majorEastAsia" w:eastAsiaTheme="majorEastAsia" w:hAnsiTheme="majorEastAsia" w:hint="eastAsia"/>
                <w:bCs/>
                <w:iCs/>
                <w:color w:val="000000"/>
              </w:rPr>
              <w:t>□</w:t>
            </w:r>
            <w:r>
              <w:rPr>
                <w:rFonts w:asciiTheme="minorEastAsia" w:hAnsiTheme="minorEastAsia" w:hint="eastAsia"/>
              </w:rPr>
              <w:t>路演活动</w:t>
            </w:r>
          </w:p>
          <w:p w14:paraId="7441A1FE" w14:textId="77777777" w:rsidR="005C3978" w:rsidRDefault="00E205BE">
            <w:pPr>
              <w:rPr>
                <w:rFonts w:asciiTheme="majorEastAsia" w:eastAsiaTheme="majorEastAsia" w:hAnsiTheme="majorEastAsia"/>
                <w:bCs/>
                <w:iCs/>
                <w:color w:val="000000"/>
              </w:rPr>
            </w:pPr>
            <w:r>
              <w:rPr>
                <w:rFonts w:ascii="Segoe UI Emoji" w:hAnsi="Segoe UI Emoji" w:cs="Segoe UI Emoji"/>
                <w:bCs/>
                <w:iCs/>
              </w:rPr>
              <w:sym w:font="Wingdings 2" w:char="F052"/>
            </w:r>
            <w:r>
              <w:rPr>
                <w:rFonts w:hint="eastAsia"/>
              </w:rPr>
              <w:t>现场参观</w:t>
            </w:r>
            <w:r>
              <w:rPr>
                <w:rFonts w:asciiTheme="majorEastAsia" w:eastAsiaTheme="majorEastAsia" w:hAnsiTheme="majorEastAsia" w:hint="eastAsia"/>
                <w:bCs/>
                <w:iCs/>
                <w:color w:val="000000"/>
              </w:rPr>
              <w:tab/>
            </w:r>
          </w:p>
          <w:p w14:paraId="14F081A4" w14:textId="626A80AC" w:rsidR="005C3978" w:rsidRDefault="00C0425A">
            <w:pPr>
              <w:rPr>
                <w:color w:val="000000"/>
              </w:rPr>
            </w:pPr>
            <w:r>
              <w:rPr>
                <w:rFonts w:ascii="Segoe UI Emoji" w:hAnsi="Segoe UI Emoji" w:cs="Segoe UI Emoji"/>
                <w:bCs/>
                <w:iCs/>
              </w:rPr>
              <w:sym w:font="Wingdings 2" w:char="F052"/>
            </w:r>
            <w:r w:rsidR="00E205BE">
              <w:rPr>
                <w:rFonts w:hint="eastAsia"/>
              </w:rPr>
              <w:t>其他</w:t>
            </w:r>
          </w:p>
        </w:tc>
      </w:tr>
      <w:tr w:rsidR="005C3978" w14:paraId="49EB4933"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FBA38CF" w14:textId="77777777" w:rsidR="005C3978" w:rsidRDefault="00E205BE">
            <w:bookmarkStart w:id="1" w:name="_Hlk157167929"/>
            <w:r>
              <w:rPr>
                <w:rFonts w:hint="eastAsia"/>
              </w:rPr>
              <w:t>参与单位名称及人员姓名</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662238D6" w14:textId="5C193740" w:rsidR="005C3978" w:rsidRDefault="002E7D18" w:rsidP="00027041">
            <w:r w:rsidRPr="002E7D18">
              <w:rPr>
                <w:rFonts w:hint="eastAsia"/>
              </w:rPr>
              <w:t>汇添富基金</w:t>
            </w:r>
            <w:r>
              <w:rPr>
                <w:rFonts w:hint="eastAsia"/>
              </w:rPr>
              <w:t>、</w:t>
            </w:r>
            <w:r w:rsidRPr="002E7D18">
              <w:rPr>
                <w:rFonts w:hint="eastAsia"/>
              </w:rPr>
              <w:t>万家基金</w:t>
            </w:r>
            <w:r>
              <w:rPr>
                <w:rFonts w:hint="eastAsia"/>
              </w:rPr>
              <w:t>、</w:t>
            </w:r>
            <w:r w:rsidR="00027041">
              <w:rPr>
                <w:rFonts w:hint="eastAsia"/>
              </w:rPr>
              <w:t>中欧基金、华安基金、兴全基金、</w:t>
            </w:r>
            <w:r w:rsidRPr="002E7D18">
              <w:rPr>
                <w:rFonts w:hint="eastAsia"/>
              </w:rPr>
              <w:t>国寿安保基金</w:t>
            </w:r>
            <w:r>
              <w:rPr>
                <w:rFonts w:hint="eastAsia"/>
              </w:rPr>
              <w:t>、</w:t>
            </w:r>
            <w:r w:rsidR="00027041">
              <w:rPr>
                <w:rFonts w:hint="eastAsia"/>
              </w:rPr>
              <w:t>中信保诚基金、</w:t>
            </w:r>
            <w:r w:rsidRPr="002E7D18">
              <w:rPr>
                <w:rFonts w:hint="eastAsia"/>
              </w:rPr>
              <w:t>光大保德信基金</w:t>
            </w:r>
            <w:r>
              <w:rPr>
                <w:rFonts w:hint="eastAsia"/>
              </w:rPr>
              <w:t>、</w:t>
            </w:r>
            <w:r w:rsidRPr="002E7D18">
              <w:rPr>
                <w:rFonts w:hint="eastAsia"/>
              </w:rPr>
              <w:t>平安养老</w:t>
            </w:r>
            <w:r>
              <w:rPr>
                <w:rFonts w:hint="eastAsia"/>
              </w:rPr>
              <w:t>、</w:t>
            </w:r>
            <w:r w:rsidRPr="002E7D18">
              <w:rPr>
                <w:rFonts w:hint="eastAsia"/>
              </w:rPr>
              <w:t>西部利得基金</w:t>
            </w:r>
            <w:r>
              <w:rPr>
                <w:rFonts w:hint="eastAsia"/>
              </w:rPr>
              <w:t>、</w:t>
            </w:r>
            <w:r w:rsidRPr="002E7D18">
              <w:rPr>
                <w:rFonts w:hint="eastAsia"/>
              </w:rPr>
              <w:t>申万菱信基金</w:t>
            </w:r>
            <w:r>
              <w:rPr>
                <w:rFonts w:hint="eastAsia"/>
              </w:rPr>
              <w:t>、</w:t>
            </w:r>
            <w:r w:rsidR="00027041">
              <w:rPr>
                <w:rFonts w:hint="eastAsia"/>
              </w:rPr>
              <w:t>仁桥资产、</w:t>
            </w:r>
            <w:r>
              <w:rPr>
                <w:rFonts w:hint="eastAsia"/>
              </w:rPr>
              <w:t>人保资管、</w:t>
            </w:r>
            <w:r w:rsidRPr="002E7D18">
              <w:rPr>
                <w:rFonts w:hint="eastAsia"/>
              </w:rPr>
              <w:t>摩根基金</w:t>
            </w:r>
            <w:r>
              <w:rPr>
                <w:rFonts w:hint="eastAsia"/>
              </w:rPr>
              <w:t>、</w:t>
            </w:r>
            <w:r w:rsidRPr="002E7D18">
              <w:rPr>
                <w:rFonts w:hint="eastAsia"/>
              </w:rPr>
              <w:t>贝莱德</w:t>
            </w:r>
            <w:r>
              <w:rPr>
                <w:rFonts w:hint="eastAsia"/>
              </w:rPr>
              <w:t>、</w:t>
            </w:r>
            <w:r w:rsidRPr="002E7D18">
              <w:rPr>
                <w:rFonts w:hint="eastAsia"/>
              </w:rPr>
              <w:t>中财生生资本</w:t>
            </w:r>
            <w:r>
              <w:rPr>
                <w:rFonts w:hint="eastAsia"/>
              </w:rPr>
              <w:t>、</w:t>
            </w:r>
            <w:r w:rsidR="00E205BE">
              <w:rPr>
                <w:rFonts w:hint="eastAsia"/>
              </w:rPr>
              <w:t>财通基金、健顺投资、东海基金、富安达基金、银河基金、</w:t>
            </w:r>
            <w:r w:rsidR="00027041">
              <w:rPr>
                <w:rFonts w:hint="eastAsia"/>
              </w:rPr>
              <w:t>中银基金、泰康资产、平安基金、</w:t>
            </w:r>
            <w:r w:rsidR="00027041" w:rsidRPr="00027041">
              <w:rPr>
                <w:rFonts w:hint="eastAsia"/>
              </w:rPr>
              <w:t>华宝</w:t>
            </w:r>
            <w:r w:rsidR="00027041">
              <w:rPr>
                <w:rFonts w:hint="eastAsia"/>
              </w:rPr>
              <w:t>基金、</w:t>
            </w:r>
            <w:r w:rsidR="00027041" w:rsidRPr="00027041">
              <w:rPr>
                <w:rFonts w:hint="eastAsia"/>
              </w:rPr>
              <w:t>东吴</w:t>
            </w:r>
            <w:r w:rsidR="00027041">
              <w:rPr>
                <w:rFonts w:hint="eastAsia"/>
              </w:rPr>
              <w:t>基金、</w:t>
            </w:r>
            <w:r w:rsidR="00027041" w:rsidRPr="00027041">
              <w:rPr>
                <w:rFonts w:hint="eastAsia"/>
              </w:rPr>
              <w:t>太平洋资管、</w:t>
            </w:r>
            <w:r w:rsidR="00027041">
              <w:rPr>
                <w:rFonts w:hint="eastAsia"/>
              </w:rPr>
              <w:t>财通资管、</w:t>
            </w:r>
            <w:r w:rsidR="00027041" w:rsidRPr="00027041">
              <w:rPr>
                <w:rFonts w:hint="eastAsia"/>
              </w:rPr>
              <w:t>富国基金</w:t>
            </w:r>
            <w:r w:rsidR="00027041">
              <w:rPr>
                <w:rFonts w:hint="eastAsia"/>
              </w:rPr>
              <w:t>、</w:t>
            </w:r>
            <w:r w:rsidR="00E205BE">
              <w:rPr>
                <w:rFonts w:hint="eastAsia"/>
              </w:rPr>
              <w:t>西部证券、国金证券、华福</w:t>
            </w:r>
            <w:r w:rsidR="00F7698D">
              <w:rPr>
                <w:rFonts w:hint="eastAsia"/>
              </w:rPr>
              <w:t>证券、</w:t>
            </w:r>
            <w:r w:rsidR="00027041">
              <w:rPr>
                <w:rFonts w:hint="eastAsia"/>
              </w:rPr>
              <w:t>华创证券、浙商证券、</w:t>
            </w:r>
            <w:r w:rsidR="00E205BE">
              <w:rPr>
                <w:rFonts w:hint="eastAsia"/>
              </w:rPr>
              <w:t>涌津投资、招商证券、微积分基金、稠州银行、宏道投资、华泰证券、</w:t>
            </w:r>
            <w:r w:rsidR="00027041" w:rsidRPr="00027041">
              <w:rPr>
                <w:rFonts w:hint="eastAsia"/>
              </w:rPr>
              <w:t>长江</w:t>
            </w:r>
            <w:r w:rsidR="00027041">
              <w:rPr>
                <w:rFonts w:hint="eastAsia"/>
              </w:rPr>
              <w:t>证券、</w:t>
            </w:r>
            <w:r w:rsidR="00E205BE">
              <w:rPr>
                <w:rFonts w:hint="eastAsia"/>
              </w:rPr>
              <w:t>财通证券、怀信资产、敦信资产、中财期货、天添资产、太盈基金、天朗基金、千寻私募基金、智人投资、天阔基金、宝盈基金、博时基金、南方基金、前海骏杰、前海铂悦、德远投资、佳盈私募、蓝海私募、博越私募、亘泰投资、交银施罗德、国海</w:t>
            </w:r>
            <w:r w:rsidR="00027041">
              <w:rPr>
                <w:rFonts w:hint="eastAsia"/>
              </w:rPr>
              <w:t>证券</w:t>
            </w:r>
            <w:r w:rsidR="009D0CEF">
              <w:rPr>
                <w:rFonts w:hint="eastAsia"/>
              </w:rPr>
              <w:t>、</w:t>
            </w:r>
            <w:r w:rsidR="009D0CEF" w:rsidRPr="009D0CEF">
              <w:rPr>
                <w:rFonts w:hint="eastAsia"/>
              </w:rPr>
              <w:t>自然红资管</w:t>
            </w:r>
            <w:r w:rsidR="009D0CEF">
              <w:rPr>
                <w:rFonts w:hint="eastAsia"/>
              </w:rPr>
              <w:t>、</w:t>
            </w:r>
            <w:r w:rsidRPr="002E7D18">
              <w:rPr>
                <w:rFonts w:hint="eastAsia"/>
              </w:rPr>
              <w:t>启恒国泰</w:t>
            </w:r>
            <w:r w:rsidR="00027041">
              <w:rPr>
                <w:rFonts w:hint="eastAsia"/>
              </w:rPr>
              <w:t>、</w:t>
            </w:r>
            <w:r w:rsidR="00027041">
              <w:t>中信建投证券</w:t>
            </w:r>
          </w:p>
        </w:tc>
      </w:tr>
      <w:bookmarkEnd w:id="1"/>
      <w:tr w:rsidR="005C3978" w14:paraId="3BBC74B8"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2641319" w14:textId="77777777" w:rsidR="005C3978" w:rsidRDefault="00E205BE">
            <w:r>
              <w:rPr>
                <w:rFonts w:hint="eastAsia"/>
              </w:rPr>
              <w:t>时间</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343DA3AA" w14:textId="77777777" w:rsidR="005C3978" w:rsidRDefault="00E205BE">
            <w:r>
              <w:t>2025</w:t>
            </w:r>
            <w:r>
              <w:rPr>
                <w:rFonts w:hint="eastAsia"/>
              </w:rPr>
              <w:t>年</w:t>
            </w:r>
            <w:r>
              <w:t>6</w:t>
            </w:r>
            <w:r>
              <w:rPr>
                <w:rFonts w:hint="eastAsia"/>
              </w:rPr>
              <w:t>月</w:t>
            </w:r>
            <w:r>
              <w:t>6</w:t>
            </w:r>
            <w:r>
              <w:rPr>
                <w:rFonts w:hint="eastAsia"/>
              </w:rPr>
              <w:t>日至</w:t>
            </w:r>
            <w:r>
              <w:rPr>
                <w:rFonts w:hint="eastAsia"/>
              </w:rPr>
              <w:t>2</w:t>
            </w:r>
            <w:r>
              <w:t>025</w:t>
            </w:r>
            <w:r>
              <w:rPr>
                <w:rFonts w:hint="eastAsia"/>
              </w:rPr>
              <w:t>年</w:t>
            </w:r>
            <w:r>
              <w:t>6</w:t>
            </w:r>
            <w:r>
              <w:rPr>
                <w:rFonts w:hint="eastAsia"/>
              </w:rPr>
              <w:t>月</w:t>
            </w:r>
            <w:r>
              <w:t>30</w:t>
            </w:r>
            <w:r>
              <w:rPr>
                <w:rFonts w:hint="eastAsia"/>
              </w:rPr>
              <w:t>日</w:t>
            </w:r>
          </w:p>
        </w:tc>
      </w:tr>
      <w:tr w:rsidR="005C3978" w14:paraId="7232FD61"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7D68704" w14:textId="77777777" w:rsidR="005C3978" w:rsidRDefault="00E205BE">
            <w:r>
              <w:rPr>
                <w:rFonts w:hint="eastAsia"/>
              </w:rPr>
              <w:t>地点</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0C068BEF" w14:textId="77777777" w:rsidR="005C3978" w:rsidRDefault="00E205BE">
            <w:r>
              <w:rPr>
                <w:rStyle w:val="ab"/>
                <w:rFonts w:hint="eastAsia"/>
                <w:sz w:val="24"/>
                <w:szCs w:val="24"/>
              </w:rPr>
              <w:t>公司会议室</w:t>
            </w:r>
          </w:p>
        </w:tc>
      </w:tr>
      <w:tr w:rsidR="005C3978" w14:paraId="63B775EE"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92F5CDD" w14:textId="77777777" w:rsidR="005C3978" w:rsidRDefault="00E205BE">
            <w:r>
              <w:rPr>
                <w:rFonts w:hint="eastAsia"/>
              </w:rPr>
              <w:t>上市公司接待人员姓名</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21625724" w14:textId="77777777" w:rsidR="005C3978" w:rsidRDefault="00E205BE">
            <w:r>
              <w:rPr>
                <w:rFonts w:hint="eastAsia"/>
              </w:rPr>
              <w:t>常务副总经理、财务总监：陈益坚</w:t>
            </w:r>
          </w:p>
          <w:p w14:paraId="041639E3" w14:textId="77777777" w:rsidR="005C3978" w:rsidRDefault="00E205BE">
            <w:r>
              <w:rPr>
                <w:rFonts w:hint="eastAsia"/>
              </w:rPr>
              <w:t>董事会秘书：厉佳菲</w:t>
            </w:r>
            <w:r>
              <w:t xml:space="preserve"> </w:t>
            </w:r>
          </w:p>
        </w:tc>
      </w:tr>
      <w:tr w:rsidR="005C3978" w14:paraId="5E2393CF"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A17A5FA" w14:textId="77777777" w:rsidR="005C3978" w:rsidRDefault="00E205BE">
            <w:r>
              <w:rPr>
                <w:rFonts w:hint="eastAsia"/>
              </w:rPr>
              <w:t>投资者关系活动</w:t>
            </w:r>
            <w:r>
              <w:rPr>
                <w:rFonts w:hint="eastAsia"/>
              </w:rPr>
              <w:lastRenderedPageBreak/>
              <w:t>主要内容介绍</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38473CA4" w14:textId="77777777" w:rsidR="005C3978" w:rsidRDefault="00E205BE">
            <w:r>
              <w:lastRenderedPageBreak/>
              <w:t>一、介绍公司情况</w:t>
            </w:r>
          </w:p>
          <w:p w14:paraId="1FEE2ABC" w14:textId="77777777" w:rsidR="005C3978" w:rsidRDefault="00E205BE">
            <w:r>
              <w:lastRenderedPageBreak/>
              <w:t>二、问答环节</w:t>
            </w:r>
          </w:p>
          <w:p w14:paraId="0EEA28E5" w14:textId="77777777" w:rsidR="005C3978" w:rsidRDefault="00E205BE">
            <w:r>
              <w:t>公司高级管理人员就投资者关心的问题在合规范围内与机构投资者进行了沟通。以下为活动纪要：</w:t>
            </w:r>
          </w:p>
          <w:p w14:paraId="0C5FCA78" w14:textId="40116749" w:rsidR="005C3978" w:rsidRDefault="00E205BE">
            <w:pPr>
              <w:adjustRightInd w:val="0"/>
              <w:snapToGrid w:val="0"/>
              <w:rPr>
                <w:b/>
              </w:rPr>
            </w:pPr>
            <w:r>
              <w:rPr>
                <w:rFonts w:hint="eastAsia"/>
                <w:b/>
              </w:rPr>
              <w:t>1</w:t>
            </w:r>
            <w:r>
              <w:rPr>
                <w:b/>
              </w:rPr>
              <w:t>、</w:t>
            </w:r>
            <w:r>
              <w:rPr>
                <w:rFonts w:hint="eastAsia"/>
                <w:b/>
              </w:rPr>
              <w:t>公司收购福建东恒后，在战略、技术、管理等方面对其赋能程度如何？</w:t>
            </w:r>
            <w:r w:rsidR="00C0425A">
              <w:rPr>
                <w:b/>
              </w:rPr>
              <w:t xml:space="preserve"> </w:t>
            </w:r>
          </w:p>
          <w:p w14:paraId="02952621" w14:textId="1FEA616A" w:rsidR="005C3978" w:rsidRDefault="00E205BE">
            <w:r>
              <w:rPr>
                <w:rFonts w:hint="eastAsia"/>
              </w:rPr>
              <w:t>答：公司通过为福建东恒</w:t>
            </w:r>
            <w:r w:rsidR="00C0425A">
              <w:rPr>
                <w:rFonts w:hint="eastAsia"/>
              </w:rPr>
              <w:t>改造</w:t>
            </w:r>
            <w:r>
              <w:rPr>
                <w:rFonts w:hint="eastAsia"/>
              </w:rPr>
              <w:t>自动化生产线和</w:t>
            </w:r>
            <w:r w:rsidR="00495A69">
              <w:rPr>
                <w:rFonts w:hint="eastAsia"/>
              </w:rPr>
              <w:t>践</w:t>
            </w:r>
            <w:r w:rsidR="00CD57BC">
              <w:rPr>
                <w:rFonts w:hint="eastAsia"/>
              </w:rPr>
              <w:t>行</w:t>
            </w:r>
            <w:r>
              <w:rPr>
                <w:rFonts w:hint="eastAsia"/>
              </w:rPr>
              <w:t>先进</w:t>
            </w:r>
            <w:r w:rsidR="00C0425A">
              <w:rPr>
                <w:rFonts w:hint="eastAsia"/>
              </w:rPr>
              <w:t>的上市公司</w:t>
            </w:r>
            <w:r>
              <w:rPr>
                <w:rFonts w:hint="eastAsia"/>
              </w:rPr>
              <w:t>管理理念，已有效降低了其人工成本</w:t>
            </w:r>
            <w:r w:rsidR="00D20AAA">
              <w:rPr>
                <w:rFonts w:hint="eastAsia"/>
              </w:rPr>
              <w:t>，提升</w:t>
            </w:r>
            <w:r w:rsidR="00C0425A">
              <w:rPr>
                <w:rFonts w:hint="eastAsia"/>
              </w:rPr>
              <w:t>了</w:t>
            </w:r>
            <w:r w:rsidR="00D20AAA">
              <w:rPr>
                <w:rFonts w:hint="eastAsia"/>
              </w:rPr>
              <w:t>人均产值</w:t>
            </w:r>
            <w:r>
              <w:rPr>
                <w:rFonts w:hint="eastAsia"/>
              </w:rPr>
              <w:t>。未来，公司将继续引领福建东恒</w:t>
            </w:r>
            <w:r w:rsidR="00D20AAA" w:rsidRPr="00D20AAA">
              <w:rPr>
                <w:rFonts w:hint="eastAsia"/>
              </w:rPr>
              <w:t>丰富产品品类、拓展下游客户</w:t>
            </w:r>
            <w:r>
              <w:rPr>
                <w:rFonts w:hint="eastAsia"/>
              </w:rPr>
              <w:t>，进一步提升</w:t>
            </w:r>
            <w:r w:rsidR="00D20AAA">
              <w:rPr>
                <w:rFonts w:hint="eastAsia"/>
              </w:rPr>
              <w:t>收入规模和</w:t>
            </w:r>
            <w:r>
              <w:rPr>
                <w:rFonts w:hint="eastAsia"/>
              </w:rPr>
              <w:t>毛利率。</w:t>
            </w:r>
          </w:p>
          <w:p w14:paraId="22227C35" w14:textId="77777777" w:rsidR="005C3978" w:rsidRDefault="005C3978"/>
          <w:p w14:paraId="69802AB5" w14:textId="25A3E8EF" w:rsidR="005C3978" w:rsidRDefault="00E205BE">
            <w:pPr>
              <w:adjustRightInd w:val="0"/>
              <w:snapToGrid w:val="0"/>
              <w:rPr>
                <w:b/>
              </w:rPr>
            </w:pPr>
            <w:bookmarkStart w:id="2" w:name="OLE_LINK16"/>
            <w:bookmarkStart w:id="3" w:name="OLE_LINK17"/>
            <w:r>
              <w:rPr>
                <w:rFonts w:hint="eastAsia"/>
                <w:b/>
              </w:rPr>
              <w:t>2</w:t>
            </w:r>
            <w:r>
              <w:rPr>
                <w:rFonts w:hint="eastAsia"/>
                <w:b/>
              </w:rPr>
              <w:t>、公司采取了哪些具体措施来增强核心业务的能力？</w:t>
            </w:r>
          </w:p>
          <w:bookmarkEnd w:id="2"/>
          <w:bookmarkEnd w:id="3"/>
          <w:p w14:paraId="071BD63E" w14:textId="7DA7D048" w:rsidR="005C3978" w:rsidRDefault="00E205BE">
            <w:pPr>
              <w:adjustRightInd w:val="0"/>
              <w:snapToGrid w:val="0"/>
              <w:rPr>
                <w:b/>
              </w:rPr>
            </w:pPr>
            <w:r w:rsidRPr="000A2360">
              <w:t>答：</w:t>
            </w:r>
            <w:r>
              <w:rPr>
                <w:rFonts w:hint="eastAsia"/>
              </w:rPr>
              <w:t>公司将持续围绕既定发展战略和经营目标，不断开拓海外市场以保证经营业绩稳定增长，加强核心技术研发以提升公司竞争力，与此同时不断完善管理体系建设，从优化内部流程到强化成本管控，将降本增效落实到每个业务环节</w:t>
            </w:r>
            <w:r w:rsidR="00EC1B76">
              <w:rPr>
                <w:rFonts w:hint="eastAsia"/>
              </w:rPr>
              <w:t>，</w:t>
            </w:r>
            <w:r>
              <w:rPr>
                <w:rFonts w:hint="eastAsia"/>
              </w:rPr>
              <w:t>同时</w:t>
            </w:r>
            <w:r w:rsidR="00D20AAA">
              <w:rPr>
                <w:rFonts w:hint="eastAsia"/>
              </w:rPr>
              <w:t>为紧跟</w:t>
            </w:r>
            <w:r w:rsidR="00D20AAA" w:rsidRPr="00D20AAA">
              <w:rPr>
                <w:rFonts w:hint="eastAsia"/>
              </w:rPr>
              <w:t>新能源动力电池行业技术</w:t>
            </w:r>
            <w:r w:rsidR="00D20AAA">
              <w:rPr>
                <w:rFonts w:hint="eastAsia"/>
              </w:rPr>
              <w:t>的</w:t>
            </w:r>
            <w:r w:rsidR="00D20AAA" w:rsidRPr="00D20AAA">
              <w:rPr>
                <w:rFonts w:hint="eastAsia"/>
              </w:rPr>
              <w:t>发展，</w:t>
            </w:r>
            <w:r w:rsidR="00D20AAA">
              <w:rPr>
                <w:rFonts w:hint="eastAsia"/>
              </w:rPr>
              <w:t>公司</w:t>
            </w:r>
            <w:r w:rsidR="00D20AAA" w:rsidRPr="00D20AAA">
              <w:rPr>
                <w:rFonts w:hint="eastAsia"/>
              </w:rPr>
              <w:t>积极投入固态电池相关设备</w:t>
            </w:r>
            <w:r w:rsidR="00D20AAA">
              <w:rPr>
                <w:rFonts w:hint="eastAsia"/>
              </w:rPr>
              <w:t>的研发，</w:t>
            </w:r>
            <w:r w:rsidR="00495A69">
              <w:rPr>
                <w:rFonts w:hint="eastAsia"/>
              </w:rPr>
              <w:t>以期</w:t>
            </w:r>
            <w:r w:rsidR="00D20AAA" w:rsidRPr="00D20AAA">
              <w:rPr>
                <w:rFonts w:hint="eastAsia"/>
              </w:rPr>
              <w:t>抓住未来产业变化带来的新增长机会</w:t>
            </w:r>
            <w:r>
              <w:rPr>
                <w:rFonts w:hint="eastAsia"/>
              </w:rPr>
              <w:t>。</w:t>
            </w:r>
            <w:r>
              <w:rPr>
                <w:b/>
              </w:rPr>
              <w:t xml:space="preserve"> </w:t>
            </w:r>
          </w:p>
          <w:p w14:paraId="77DB2CA7" w14:textId="77777777" w:rsidR="0050383F" w:rsidRDefault="0050383F" w:rsidP="00F36089"/>
          <w:p w14:paraId="36723A0C" w14:textId="77777777" w:rsidR="00C36285" w:rsidRDefault="0050383F" w:rsidP="00C36285">
            <w:pPr>
              <w:rPr>
                <w:b/>
              </w:rPr>
            </w:pPr>
            <w:r>
              <w:rPr>
                <w:b/>
              </w:rPr>
              <w:t>3</w:t>
            </w:r>
            <w:r w:rsidR="00E205BE">
              <w:rPr>
                <w:rFonts w:hint="eastAsia"/>
                <w:b/>
              </w:rPr>
              <w:t>、</w:t>
            </w:r>
            <w:r w:rsidR="00962AEA">
              <w:rPr>
                <w:rFonts w:hint="eastAsia"/>
                <w:b/>
              </w:rPr>
              <w:t>公司在固态电池方面有哪</w:t>
            </w:r>
            <w:r w:rsidR="00962AEA" w:rsidRPr="00962AEA">
              <w:rPr>
                <w:rFonts w:hint="eastAsia"/>
                <w:b/>
              </w:rPr>
              <w:t>些布局？</w:t>
            </w:r>
            <w:r w:rsidR="00C36285">
              <w:rPr>
                <w:rFonts w:hint="eastAsia"/>
                <w:b/>
              </w:rPr>
              <w:t>公司预计干法核心设备需要多长时间才能达到量产？</w:t>
            </w:r>
            <w:r w:rsidR="00C36285">
              <w:rPr>
                <w:b/>
              </w:rPr>
              <w:t xml:space="preserve"> </w:t>
            </w:r>
          </w:p>
          <w:p w14:paraId="23FBAB62" w14:textId="446F7DB6" w:rsidR="005C3978" w:rsidRDefault="00E205BE">
            <w:bookmarkStart w:id="4" w:name="OLE_LINK20"/>
            <w:bookmarkStart w:id="5" w:name="OLE_LINK21"/>
            <w:r>
              <w:rPr>
                <w:rFonts w:hint="eastAsia"/>
              </w:rPr>
              <w:t>答</w:t>
            </w:r>
            <w:bookmarkEnd w:id="4"/>
            <w:bookmarkEnd w:id="5"/>
            <w:r>
              <w:rPr>
                <w:rFonts w:hint="eastAsia"/>
              </w:rPr>
              <w:t>：</w:t>
            </w:r>
            <w:r>
              <w:rPr>
                <w:rFonts w:hint="eastAsia"/>
              </w:rPr>
              <w:t>2024</w:t>
            </w:r>
            <w:r>
              <w:rPr>
                <w:rFonts w:hint="eastAsia"/>
              </w:rPr>
              <w:t>年</w:t>
            </w:r>
            <w:r>
              <w:rPr>
                <w:rFonts w:hint="eastAsia"/>
              </w:rPr>
              <w:t>7</w:t>
            </w:r>
            <w:r>
              <w:rPr>
                <w:rFonts w:hint="eastAsia"/>
              </w:rPr>
              <w:t>月，公司与清陶能源正式签订合作研发协议，致力于全固态电池核心关键装备的研发与产业化，旨在充分发挥双方优势资源，实现深度合作。依据协议，双方正有序推进干法辊压设备的研发与测试工作。此次合作将促进双方在全固态电池领域的技术协同与资源共享，助力公司在固态电池领域取得突破，同时为清陶能源的全固态电池产业化提供有力支持。目前，公司与清陶能源合作研发的干法核心设备已成功交付客户并处于精细调试阶</w:t>
            </w:r>
            <w:r>
              <w:rPr>
                <w:rFonts w:hint="eastAsia"/>
              </w:rPr>
              <w:lastRenderedPageBreak/>
              <w:t>段</w:t>
            </w:r>
            <w:r w:rsidR="00962AEA">
              <w:t>，</w:t>
            </w:r>
            <w:bookmarkStart w:id="6" w:name="OLE_LINK18"/>
            <w:bookmarkStart w:id="7" w:name="OLE_LINK19"/>
            <w:r w:rsidR="00EC1B76">
              <w:rPr>
                <w:rFonts w:hint="eastAsia"/>
              </w:rPr>
              <w:t>后续</w:t>
            </w:r>
            <w:r w:rsidR="00EC1B76" w:rsidRPr="00D20AAA">
              <w:rPr>
                <w:rFonts w:hint="eastAsia"/>
              </w:rPr>
              <w:t>有望伴随固态电池产业的</w:t>
            </w:r>
            <w:r w:rsidR="00EC1B76">
              <w:rPr>
                <w:rFonts w:hint="eastAsia"/>
              </w:rPr>
              <w:t>发展</w:t>
            </w:r>
            <w:r w:rsidR="00D269EF">
              <w:rPr>
                <w:rFonts w:hint="eastAsia"/>
              </w:rPr>
              <w:t>实现</w:t>
            </w:r>
            <w:r w:rsidR="00EC1B76" w:rsidRPr="00D20AAA">
              <w:rPr>
                <w:rFonts w:hint="eastAsia"/>
              </w:rPr>
              <w:t>大规模量产</w:t>
            </w:r>
            <w:bookmarkEnd w:id="6"/>
            <w:bookmarkEnd w:id="7"/>
            <w:r>
              <w:rPr>
                <w:rFonts w:hint="eastAsia"/>
              </w:rPr>
              <w:t>。</w:t>
            </w:r>
          </w:p>
          <w:p w14:paraId="29FFAEBF" w14:textId="77777777" w:rsidR="00EC1B76" w:rsidRDefault="00EC1B76"/>
          <w:p w14:paraId="5D6F4269" w14:textId="2C1E2BA1" w:rsidR="00EC1B76" w:rsidRDefault="00EC1B76">
            <w:pPr>
              <w:rPr>
                <w:b/>
              </w:rPr>
            </w:pPr>
            <w:r w:rsidRPr="00894B06">
              <w:rPr>
                <w:rFonts w:hint="eastAsia"/>
                <w:b/>
              </w:rPr>
              <w:t>4</w:t>
            </w:r>
            <w:r w:rsidRPr="00894B06">
              <w:rPr>
                <w:rFonts w:hint="eastAsia"/>
                <w:b/>
              </w:rPr>
              <w:t>、</w:t>
            </w:r>
            <w:r w:rsidR="00C65F7B">
              <w:rPr>
                <w:rFonts w:hint="eastAsia"/>
                <w:b/>
              </w:rPr>
              <w:t>东恒结构件业务今后的发展趋势是什么</w:t>
            </w:r>
            <w:r w:rsidR="00894B06" w:rsidRPr="00894B06">
              <w:rPr>
                <w:rFonts w:hint="eastAsia"/>
                <w:b/>
              </w:rPr>
              <w:t>？</w:t>
            </w:r>
          </w:p>
          <w:p w14:paraId="0D5A5961" w14:textId="42CAF4C3" w:rsidR="00EF01E2" w:rsidRPr="00EF01E2" w:rsidRDefault="00894B06">
            <w:pPr>
              <w:rPr>
                <w:rFonts w:ascii="Segoe UI" w:hAnsi="Segoe UI" w:cs="Segoe UI"/>
                <w:shd w:val="clear" w:color="auto" w:fill="FFFFFF"/>
              </w:rPr>
            </w:pPr>
            <w:r>
              <w:rPr>
                <w:rFonts w:hint="eastAsia"/>
              </w:rPr>
              <w:t>答：</w:t>
            </w:r>
            <w:r w:rsidR="00C65F7B" w:rsidRPr="00C65F7B">
              <w:rPr>
                <w:rFonts w:ascii="Segoe UI" w:hAnsi="Segoe UI" w:cs="Segoe UI" w:hint="eastAsia"/>
                <w:shd w:val="clear" w:color="auto" w:fill="FFFFFF"/>
              </w:rPr>
              <w:t>从市场需求层面看，动力电池产量与需求的提升，作为动力电池关键组成部分的结构件，市场需求必然有所增长。在技术与产品方面，东恒核心产品丰富，涵盖模组侧板、端板、压接组件等，且在精密结构件加工工艺上具备优势，能够满足不同客户的多样化需求，此外东恒在积极进行产能扩张，一旦锂电池扩产带来订单增加，其充足</w:t>
            </w:r>
            <w:r w:rsidR="00C65F7B">
              <w:rPr>
                <w:rFonts w:ascii="Segoe UI" w:hAnsi="Segoe UI" w:cs="Segoe UI" w:hint="eastAsia"/>
                <w:shd w:val="clear" w:color="auto" w:fill="FFFFFF"/>
              </w:rPr>
              <w:t>的产能能够有力保障业务的承接与完成，进而推动结构件业务实现增长</w:t>
            </w:r>
            <w:r w:rsidR="00EF01E2" w:rsidRPr="00EF01E2">
              <w:rPr>
                <w:rFonts w:ascii="Segoe UI" w:hAnsi="Segoe UI" w:cs="Segoe UI" w:hint="eastAsia"/>
                <w:shd w:val="clear" w:color="auto" w:fill="FFFFFF"/>
              </w:rPr>
              <w:t>。</w:t>
            </w:r>
          </w:p>
        </w:tc>
      </w:tr>
      <w:tr w:rsidR="005C3978" w14:paraId="00E3D1DB"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EA6789" w14:textId="77777777" w:rsidR="005C3978" w:rsidRDefault="00E205BE">
            <w:r>
              <w:rPr>
                <w:rFonts w:hint="eastAsia"/>
              </w:rPr>
              <w:lastRenderedPageBreak/>
              <w:t>关于本次活动是否涉及应当披露重大信息的说明</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5C92A57F" w14:textId="77777777" w:rsidR="005C3978" w:rsidRDefault="00E205BE">
            <w:r>
              <w:rPr>
                <w:rFonts w:hint="eastAsia"/>
              </w:rPr>
              <w:t>本次活动，公司严格按照相关规定交流沟通，不存在未公开重大信息泄露等情形。</w:t>
            </w:r>
          </w:p>
        </w:tc>
      </w:tr>
      <w:tr w:rsidR="005C3978" w14:paraId="420902E8"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EF6746F" w14:textId="77777777" w:rsidR="005C3978" w:rsidRDefault="00E205BE">
            <w:r>
              <w:rPr>
                <w:rFonts w:hint="eastAsia"/>
              </w:rPr>
              <w:t>附件清单（如有）</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0FDD90CF" w14:textId="77777777" w:rsidR="005C3978" w:rsidRDefault="00E205BE">
            <w:r>
              <w:t>无</w:t>
            </w:r>
          </w:p>
        </w:tc>
      </w:tr>
      <w:tr w:rsidR="005C3978" w14:paraId="73C46F5D" w14:textId="77777777">
        <w:trPr>
          <w:trHeight w:val="111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EC1507A" w14:textId="77777777" w:rsidR="005C3978" w:rsidRDefault="00E205BE">
            <w:r>
              <w:rPr>
                <w:rFonts w:hint="eastAsia"/>
              </w:rPr>
              <w:t>备注</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09393C21" w14:textId="77777777" w:rsidR="005C3978" w:rsidRDefault="00E205BE">
            <w:r>
              <w:rPr>
                <w:rFonts w:hint="eastAsia"/>
              </w:rPr>
              <w:t>接待过程中，公司与投资者进行了充分的交流与沟通，并严格按照《投资者关系管理制度》等规定，保证信息披露的真实、准确、完整、及时、公平。</w:t>
            </w:r>
          </w:p>
        </w:tc>
      </w:tr>
    </w:tbl>
    <w:p w14:paraId="51F13786" w14:textId="77777777" w:rsidR="005C3978" w:rsidRDefault="005C3978"/>
    <w:sectPr w:rsidR="005C397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17770" w14:textId="77777777" w:rsidR="000B2B87" w:rsidRDefault="000B2B87">
      <w:pPr>
        <w:spacing w:line="240" w:lineRule="auto"/>
      </w:pPr>
      <w:r>
        <w:separator/>
      </w:r>
    </w:p>
  </w:endnote>
  <w:endnote w:type="continuationSeparator" w:id="0">
    <w:p w14:paraId="6C162A17" w14:textId="77777777" w:rsidR="000B2B87" w:rsidRDefault="000B2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2C4A" w14:textId="77777777" w:rsidR="000B2B87" w:rsidRDefault="000B2B87">
      <w:r>
        <w:separator/>
      </w:r>
    </w:p>
  </w:footnote>
  <w:footnote w:type="continuationSeparator" w:id="0">
    <w:p w14:paraId="708F7898" w14:textId="77777777" w:rsidR="000B2B87" w:rsidRDefault="000B2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GE2NGQ0YzYxZmNjNzU4ZDNkNTY4OGVmNDVlZGIifQ=="/>
  </w:docVars>
  <w:rsids>
    <w:rsidRoot w:val="00EC63F6"/>
    <w:rsid w:val="00000C50"/>
    <w:rsid w:val="00003858"/>
    <w:rsid w:val="00013CC8"/>
    <w:rsid w:val="000159CE"/>
    <w:rsid w:val="00026BDA"/>
    <w:rsid w:val="00027041"/>
    <w:rsid w:val="0005314E"/>
    <w:rsid w:val="000605E3"/>
    <w:rsid w:val="00065B4C"/>
    <w:rsid w:val="000841BD"/>
    <w:rsid w:val="00092F44"/>
    <w:rsid w:val="000A2360"/>
    <w:rsid w:val="000A2484"/>
    <w:rsid w:val="000B2B87"/>
    <w:rsid w:val="000B4E80"/>
    <w:rsid w:val="000C4498"/>
    <w:rsid w:val="000C57AD"/>
    <w:rsid w:val="000C6E2C"/>
    <w:rsid w:val="000C733F"/>
    <w:rsid w:val="000C7C9C"/>
    <w:rsid w:val="000D1274"/>
    <w:rsid w:val="000E7577"/>
    <w:rsid w:val="0011640D"/>
    <w:rsid w:val="00116F21"/>
    <w:rsid w:val="00120B15"/>
    <w:rsid w:val="00120E66"/>
    <w:rsid w:val="00126C65"/>
    <w:rsid w:val="0013087B"/>
    <w:rsid w:val="00136399"/>
    <w:rsid w:val="001445C4"/>
    <w:rsid w:val="0016651E"/>
    <w:rsid w:val="00171DC3"/>
    <w:rsid w:val="00174BB1"/>
    <w:rsid w:val="001A1C95"/>
    <w:rsid w:val="001A1DDE"/>
    <w:rsid w:val="001A396F"/>
    <w:rsid w:val="001A5E47"/>
    <w:rsid w:val="001B18FF"/>
    <w:rsid w:val="001B777D"/>
    <w:rsid w:val="001C2DCA"/>
    <w:rsid w:val="001D25D1"/>
    <w:rsid w:val="001D450A"/>
    <w:rsid w:val="001E4370"/>
    <w:rsid w:val="001E4CDE"/>
    <w:rsid w:val="001E5161"/>
    <w:rsid w:val="001F43B6"/>
    <w:rsid w:val="001F611B"/>
    <w:rsid w:val="001F6254"/>
    <w:rsid w:val="002000DC"/>
    <w:rsid w:val="00201BF2"/>
    <w:rsid w:val="00206DC5"/>
    <w:rsid w:val="00211AB2"/>
    <w:rsid w:val="00213130"/>
    <w:rsid w:val="00214276"/>
    <w:rsid w:val="00223619"/>
    <w:rsid w:val="002311D0"/>
    <w:rsid w:val="0023230F"/>
    <w:rsid w:val="002324AF"/>
    <w:rsid w:val="00254A75"/>
    <w:rsid w:val="00266510"/>
    <w:rsid w:val="00273D37"/>
    <w:rsid w:val="0027788C"/>
    <w:rsid w:val="00291E6C"/>
    <w:rsid w:val="00296145"/>
    <w:rsid w:val="002A27AD"/>
    <w:rsid w:val="002A4E13"/>
    <w:rsid w:val="002A77E5"/>
    <w:rsid w:val="002B11D5"/>
    <w:rsid w:val="002B3F3F"/>
    <w:rsid w:val="002B7F83"/>
    <w:rsid w:val="002C0405"/>
    <w:rsid w:val="002C29C9"/>
    <w:rsid w:val="002D2B9D"/>
    <w:rsid w:val="002E21F2"/>
    <w:rsid w:val="002E7D18"/>
    <w:rsid w:val="002E7D31"/>
    <w:rsid w:val="002F7683"/>
    <w:rsid w:val="003021FB"/>
    <w:rsid w:val="00304449"/>
    <w:rsid w:val="00305943"/>
    <w:rsid w:val="00306985"/>
    <w:rsid w:val="00313E73"/>
    <w:rsid w:val="00321E80"/>
    <w:rsid w:val="003242EC"/>
    <w:rsid w:val="00327737"/>
    <w:rsid w:val="00340379"/>
    <w:rsid w:val="003438E7"/>
    <w:rsid w:val="00347D39"/>
    <w:rsid w:val="00351C43"/>
    <w:rsid w:val="00353733"/>
    <w:rsid w:val="003567C8"/>
    <w:rsid w:val="00357314"/>
    <w:rsid w:val="00370AAB"/>
    <w:rsid w:val="00374AA8"/>
    <w:rsid w:val="0037612B"/>
    <w:rsid w:val="003774CC"/>
    <w:rsid w:val="00380C86"/>
    <w:rsid w:val="00393BE2"/>
    <w:rsid w:val="00394BCE"/>
    <w:rsid w:val="00396A4C"/>
    <w:rsid w:val="003A12BA"/>
    <w:rsid w:val="003A62AC"/>
    <w:rsid w:val="003B460F"/>
    <w:rsid w:val="003C0B20"/>
    <w:rsid w:val="003C4E00"/>
    <w:rsid w:val="003E43F3"/>
    <w:rsid w:val="003E4AB5"/>
    <w:rsid w:val="00405342"/>
    <w:rsid w:val="004121D7"/>
    <w:rsid w:val="00415B28"/>
    <w:rsid w:val="00421021"/>
    <w:rsid w:val="00431939"/>
    <w:rsid w:val="00437645"/>
    <w:rsid w:val="004438C3"/>
    <w:rsid w:val="00446B0A"/>
    <w:rsid w:val="00447438"/>
    <w:rsid w:val="00460E04"/>
    <w:rsid w:val="00470D6A"/>
    <w:rsid w:val="0047127E"/>
    <w:rsid w:val="004827B9"/>
    <w:rsid w:val="00483401"/>
    <w:rsid w:val="00487D45"/>
    <w:rsid w:val="004949D5"/>
    <w:rsid w:val="00495A69"/>
    <w:rsid w:val="004A1B5F"/>
    <w:rsid w:val="004A214F"/>
    <w:rsid w:val="004A35FE"/>
    <w:rsid w:val="004A3FBC"/>
    <w:rsid w:val="004A40FE"/>
    <w:rsid w:val="004A5DD5"/>
    <w:rsid w:val="004B0FE4"/>
    <w:rsid w:val="004B2251"/>
    <w:rsid w:val="004B7308"/>
    <w:rsid w:val="004C1E39"/>
    <w:rsid w:val="004C60A7"/>
    <w:rsid w:val="004C7D7F"/>
    <w:rsid w:val="004E05ED"/>
    <w:rsid w:val="004F046C"/>
    <w:rsid w:val="004F3660"/>
    <w:rsid w:val="004F3EAE"/>
    <w:rsid w:val="004F5D13"/>
    <w:rsid w:val="0050312B"/>
    <w:rsid w:val="0050383F"/>
    <w:rsid w:val="00504A9C"/>
    <w:rsid w:val="00507690"/>
    <w:rsid w:val="00514355"/>
    <w:rsid w:val="0054207F"/>
    <w:rsid w:val="005447C7"/>
    <w:rsid w:val="005466F2"/>
    <w:rsid w:val="00547D52"/>
    <w:rsid w:val="00552B75"/>
    <w:rsid w:val="00563155"/>
    <w:rsid w:val="005675CF"/>
    <w:rsid w:val="005726A1"/>
    <w:rsid w:val="00576047"/>
    <w:rsid w:val="00583B16"/>
    <w:rsid w:val="00586CD0"/>
    <w:rsid w:val="00592DB4"/>
    <w:rsid w:val="005968B7"/>
    <w:rsid w:val="005A265D"/>
    <w:rsid w:val="005A3096"/>
    <w:rsid w:val="005B1543"/>
    <w:rsid w:val="005B2ED7"/>
    <w:rsid w:val="005B5043"/>
    <w:rsid w:val="005C3978"/>
    <w:rsid w:val="005C56A3"/>
    <w:rsid w:val="005D2D00"/>
    <w:rsid w:val="005D521F"/>
    <w:rsid w:val="005D67AA"/>
    <w:rsid w:val="005D6B60"/>
    <w:rsid w:val="005E3E76"/>
    <w:rsid w:val="005E5D0E"/>
    <w:rsid w:val="0060439E"/>
    <w:rsid w:val="006123E4"/>
    <w:rsid w:val="006217C4"/>
    <w:rsid w:val="00640A0D"/>
    <w:rsid w:val="00643F1A"/>
    <w:rsid w:val="00646F0E"/>
    <w:rsid w:val="00670830"/>
    <w:rsid w:val="00671C18"/>
    <w:rsid w:val="00677054"/>
    <w:rsid w:val="0068272A"/>
    <w:rsid w:val="00682902"/>
    <w:rsid w:val="00683695"/>
    <w:rsid w:val="00685B3A"/>
    <w:rsid w:val="00685B62"/>
    <w:rsid w:val="00686A6B"/>
    <w:rsid w:val="0068709B"/>
    <w:rsid w:val="006945E3"/>
    <w:rsid w:val="006A2053"/>
    <w:rsid w:val="006A285E"/>
    <w:rsid w:val="006A7478"/>
    <w:rsid w:val="006B1226"/>
    <w:rsid w:val="006B2CDB"/>
    <w:rsid w:val="006B794D"/>
    <w:rsid w:val="006B7FEC"/>
    <w:rsid w:val="006C1F20"/>
    <w:rsid w:val="006D3584"/>
    <w:rsid w:val="006E12C3"/>
    <w:rsid w:val="006E219F"/>
    <w:rsid w:val="006E2EF9"/>
    <w:rsid w:val="006E623B"/>
    <w:rsid w:val="006F3E6C"/>
    <w:rsid w:val="007058F0"/>
    <w:rsid w:val="00714042"/>
    <w:rsid w:val="007146CE"/>
    <w:rsid w:val="007351E8"/>
    <w:rsid w:val="00737058"/>
    <w:rsid w:val="0074179D"/>
    <w:rsid w:val="00746C95"/>
    <w:rsid w:val="00747ADD"/>
    <w:rsid w:val="00750372"/>
    <w:rsid w:val="007569B7"/>
    <w:rsid w:val="00774192"/>
    <w:rsid w:val="0078025B"/>
    <w:rsid w:val="007805AA"/>
    <w:rsid w:val="00784516"/>
    <w:rsid w:val="007857AE"/>
    <w:rsid w:val="00794FA1"/>
    <w:rsid w:val="007A0879"/>
    <w:rsid w:val="007A22EC"/>
    <w:rsid w:val="007B32E4"/>
    <w:rsid w:val="007B3CBA"/>
    <w:rsid w:val="007C1061"/>
    <w:rsid w:val="007C33AB"/>
    <w:rsid w:val="007C6651"/>
    <w:rsid w:val="007C7286"/>
    <w:rsid w:val="007D5AF6"/>
    <w:rsid w:val="007D625E"/>
    <w:rsid w:val="007D6A26"/>
    <w:rsid w:val="007F687B"/>
    <w:rsid w:val="007F750E"/>
    <w:rsid w:val="007F77D6"/>
    <w:rsid w:val="00805B81"/>
    <w:rsid w:val="00824C47"/>
    <w:rsid w:val="00824D19"/>
    <w:rsid w:val="00824D37"/>
    <w:rsid w:val="00832C11"/>
    <w:rsid w:val="00850C7D"/>
    <w:rsid w:val="008570CC"/>
    <w:rsid w:val="00860236"/>
    <w:rsid w:val="00861A5C"/>
    <w:rsid w:val="00862792"/>
    <w:rsid w:val="008675A0"/>
    <w:rsid w:val="008742AB"/>
    <w:rsid w:val="00877BAD"/>
    <w:rsid w:val="0088304B"/>
    <w:rsid w:val="008915E4"/>
    <w:rsid w:val="00891BAA"/>
    <w:rsid w:val="00894B06"/>
    <w:rsid w:val="008A0142"/>
    <w:rsid w:val="008A6D1A"/>
    <w:rsid w:val="008B06AC"/>
    <w:rsid w:val="008B2EEC"/>
    <w:rsid w:val="008C5EF1"/>
    <w:rsid w:val="008C6D59"/>
    <w:rsid w:val="008D239C"/>
    <w:rsid w:val="008D752A"/>
    <w:rsid w:val="008E55A6"/>
    <w:rsid w:val="008E62F9"/>
    <w:rsid w:val="008F49C4"/>
    <w:rsid w:val="008F67A9"/>
    <w:rsid w:val="00902D24"/>
    <w:rsid w:val="009119C4"/>
    <w:rsid w:val="009155CD"/>
    <w:rsid w:val="00922112"/>
    <w:rsid w:val="009262A4"/>
    <w:rsid w:val="00930094"/>
    <w:rsid w:val="0093262F"/>
    <w:rsid w:val="0093746A"/>
    <w:rsid w:val="00941BC6"/>
    <w:rsid w:val="00947030"/>
    <w:rsid w:val="00957AF9"/>
    <w:rsid w:val="00962AEA"/>
    <w:rsid w:val="00965896"/>
    <w:rsid w:val="00970D11"/>
    <w:rsid w:val="009743F1"/>
    <w:rsid w:val="00975197"/>
    <w:rsid w:val="0097624E"/>
    <w:rsid w:val="00977023"/>
    <w:rsid w:val="00977984"/>
    <w:rsid w:val="00977D6D"/>
    <w:rsid w:val="00986CFD"/>
    <w:rsid w:val="00986F90"/>
    <w:rsid w:val="00990AEA"/>
    <w:rsid w:val="00992F7F"/>
    <w:rsid w:val="009969A7"/>
    <w:rsid w:val="009A090C"/>
    <w:rsid w:val="009A5FB6"/>
    <w:rsid w:val="009B36AD"/>
    <w:rsid w:val="009C30B8"/>
    <w:rsid w:val="009C4D40"/>
    <w:rsid w:val="009D0CEF"/>
    <w:rsid w:val="009D0D63"/>
    <w:rsid w:val="009E0462"/>
    <w:rsid w:val="009E2C4D"/>
    <w:rsid w:val="009F6FE9"/>
    <w:rsid w:val="00A00FEC"/>
    <w:rsid w:val="00A02DB2"/>
    <w:rsid w:val="00A07E52"/>
    <w:rsid w:val="00A25F6D"/>
    <w:rsid w:val="00A26A09"/>
    <w:rsid w:val="00A3590F"/>
    <w:rsid w:val="00A409CB"/>
    <w:rsid w:val="00A45EC3"/>
    <w:rsid w:val="00A46055"/>
    <w:rsid w:val="00A46FD1"/>
    <w:rsid w:val="00A47040"/>
    <w:rsid w:val="00A53C28"/>
    <w:rsid w:val="00A663A3"/>
    <w:rsid w:val="00A730E2"/>
    <w:rsid w:val="00A74307"/>
    <w:rsid w:val="00A759E0"/>
    <w:rsid w:val="00A810E9"/>
    <w:rsid w:val="00A91E10"/>
    <w:rsid w:val="00A95E98"/>
    <w:rsid w:val="00AA19AC"/>
    <w:rsid w:val="00AA2F50"/>
    <w:rsid w:val="00AA5299"/>
    <w:rsid w:val="00AB54E2"/>
    <w:rsid w:val="00AD0755"/>
    <w:rsid w:val="00AD402B"/>
    <w:rsid w:val="00B0063C"/>
    <w:rsid w:val="00B0083C"/>
    <w:rsid w:val="00B310AD"/>
    <w:rsid w:val="00B31892"/>
    <w:rsid w:val="00B35B29"/>
    <w:rsid w:val="00B42541"/>
    <w:rsid w:val="00B42585"/>
    <w:rsid w:val="00B62F4C"/>
    <w:rsid w:val="00B6488D"/>
    <w:rsid w:val="00B81D22"/>
    <w:rsid w:val="00B8237D"/>
    <w:rsid w:val="00B91B59"/>
    <w:rsid w:val="00B95E2F"/>
    <w:rsid w:val="00B96603"/>
    <w:rsid w:val="00B9735D"/>
    <w:rsid w:val="00BA3F2D"/>
    <w:rsid w:val="00BA4BA5"/>
    <w:rsid w:val="00BB76C0"/>
    <w:rsid w:val="00BC020D"/>
    <w:rsid w:val="00BC2FE0"/>
    <w:rsid w:val="00BD390D"/>
    <w:rsid w:val="00BD5352"/>
    <w:rsid w:val="00BE2AA4"/>
    <w:rsid w:val="00BE315B"/>
    <w:rsid w:val="00BE4BE5"/>
    <w:rsid w:val="00BE775D"/>
    <w:rsid w:val="00BF0C49"/>
    <w:rsid w:val="00BF1D92"/>
    <w:rsid w:val="00BF44EF"/>
    <w:rsid w:val="00BF76C6"/>
    <w:rsid w:val="00C0425A"/>
    <w:rsid w:val="00C12317"/>
    <w:rsid w:val="00C123D2"/>
    <w:rsid w:val="00C1401B"/>
    <w:rsid w:val="00C262C1"/>
    <w:rsid w:val="00C32BF6"/>
    <w:rsid w:val="00C36285"/>
    <w:rsid w:val="00C46342"/>
    <w:rsid w:val="00C524E3"/>
    <w:rsid w:val="00C62A8A"/>
    <w:rsid w:val="00C6449F"/>
    <w:rsid w:val="00C65F7B"/>
    <w:rsid w:val="00C675FF"/>
    <w:rsid w:val="00C67A4D"/>
    <w:rsid w:val="00C74640"/>
    <w:rsid w:val="00C81B24"/>
    <w:rsid w:val="00C83A4D"/>
    <w:rsid w:val="00C83EAE"/>
    <w:rsid w:val="00C85655"/>
    <w:rsid w:val="00CA50BC"/>
    <w:rsid w:val="00CB16F8"/>
    <w:rsid w:val="00CB44D3"/>
    <w:rsid w:val="00CC1041"/>
    <w:rsid w:val="00CC399F"/>
    <w:rsid w:val="00CC61D7"/>
    <w:rsid w:val="00CC6802"/>
    <w:rsid w:val="00CD57BC"/>
    <w:rsid w:val="00CE66A3"/>
    <w:rsid w:val="00CF21DA"/>
    <w:rsid w:val="00CF2A4F"/>
    <w:rsid w:val="00D079FF"/>
    <w:rsid w:val="00D1278D"/>
    <w:rsid w:val="00D1286F"/>
    <w:rsid w:val="00D15399"/>
    <w:rsid w:val="00D20AAA"/>
    <w:rsid w:val="00D2657E"/>
    <w:rsid w:val="00D269EF"/>
    <w:rsid w:val="00D32DEA"/>
    <w:rsid w:val="00D5099A"/>
    <w:rsid w:val="00D5678E"/>
    <w:rsid w:val="00D61304"/>
    <w:rsid w:val="00D6485E"/>
    <w:rsid w:val="00D86788"/>
    <w:rsid w:val="00D9109B"/>
    <w:rsid w:val="00DA3855"/>
    <w:rsid w:val="00DA3AF0"/>
    <w:rsid w:val="00DA5E1A"/>
    <w:rsid w:val="00DB59A6"/>
    <w:rsid w:val="00DB5B0A"/>
    <w:rsid w:val="00DC0052"/>
    <w:rsid w:val="00DD1D84"/>
    <w:rsid w:val="00DD39C0"/>
    <w:rsid w:val="00DE25A0"/>
    <w:rsid w:val="00DE2FE8"/>
    <w:rsid w:val="00DF2599"/>
    <w:rsid w:val="00DF5B83"/>
    <w:rsid w:val="00DF629C"/>
    <w:rsid w:val="00E01B21"/>
    <w:rsid w:val="00E06C47"/>
    <w:rsid w:val="00E205BE"/>
    <w:rsid w:val="00E22303"/>
    <w:rsid w:val="00E253F8"/>
    <w:rsid w:val="00E35CCA"/>
    <w:rsid w:val="00E6195D"/>
    <w:rsid w:val="00E61C6F"/>
    <w:rsid w:val="00E61EC4"/>
    <w:rsid w:val="00E650E5"/>
    <w:rsid w:val="00E81AD7"/>
    <w:rsid w:val="00E91F57"/>
    <w:rsid w:val="00E9665B"/>
    <w:rsid w:val="00EA0638"/>
    <w:rsid w:val="00EA11B8"/>
    <w:rsid w:val="00EB3D5D"/>
    <w:rsid w:val="00EB6631"/>
    <w:rsid w:val="00EC1B76"/>
    <w:rsid w:val="00EC5773"/>
    <w:rsid w:val="00EC63F6"/>
    <w:rsid w:val="00EE333E"/>
    <w:rsid w:val="00EE4D53"/>
    <w:rsid w:val="00EE5221"/>
    <w:rsid w:val="00EF01E2"/>
    <w:rsid w:val="00F0233A"/>
    <w:rsid w:val="00F03926"/>
    <w:rsid w:val="00F03F13"/>
    <w:rsid w:val="00F045FF"/>
    <w:rsid w:val="00F06E42"/>
    <w:rsid w:val="00F1334A"/>
    <w:rsid w:val="00F2062A"/>
    <w:rsid w:val="00F22C75"/>
    <w:rsid w:val="00F2627C"/>
    <w:rsid w:val="00F27292"/>
    <w:rsid w:val="00F31B6E"/>
    <w:rsid w:val="00F31FF7"/>
    <w:rsid w:val="00F36089"/>
    <w:rsid w:val="00F415BE"/>
    <w:rsid w:val="00F45A0A"/>
    <w:rsid w:val="00F543CF"/>
    <w:rsid w:val="00F6029F"/>
    <w:rsid w:val="00F62CD3"/>
    <w:rsid w:val="00F655F6"/>
    <w:rsid w:val="00F70D3D"/>
    <w:rsid w:val="00F74A22"/>
    <w:rsid w:val="00F756F7"/>
    <w:rsid w:val="00F7698D"/>
    <w:rsid w:val="00F76D7F"/>
    <w:rsid w:val="00F77DF7"/>
    <w:rsid w:val="00F8337B"/>
    <w:rsid w:val="00F93395"/>
    <w:rsid w:val="00F961C6"/>
    <w:rsid w:val="00FA1FEC"/>
    <w:rsid w:val="00FA20D5"/>
    <w:rsid w:val="00FB047F"/>
    <w:rsid w:val="00FB1D98"/>
    <w:rsid w:val="00FC3877"/>
    <w:rsid w:val="00FC4602"/>
    <w:rsid w:val="00FD0229"/>
    <w:rsid w:val="00FD0FA4"/>
    <w:rsid w:val="00FD22E8"/>
    <w:rsid w:val="00FD2C8F"/>
    <w:rsid w:val="00FD2D91"/>
    <w:rsid w:val="00FE0828"/>
    <w:rsid w:val="00FE27D4"/>
    <w:rsid w:val="00FF316E"/>
    <w:rsid w:val="00FF31C2"/>
    <w:rsid w:val="0E8D63AF"/>
    <w:rsid w:val="1F8D7AED"/>
    <w:rsid w:val="2CD803A2"/>
    <w:rsid w:val="2D3B7C8B"/>
    <w:rsid w:val="3EDF3369"/>
    <w:rsid w:val="45572657"/>
    <w:rsid w:val="59886F9A"/>
    <w:rsid w:val="5CD664C2"/>
    <w:rsid w:val="5EFA2C68"/>
    <w:rsid w:val="737C1488"/>
    <w:rsid w:val="79D4645E"/>
    <w:rsid w:val="7DC4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07591"/>
  <w15:docId w15:val="{25993756-670F-482E-B718-65DF38E8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spacing w:beforeAutospacing="1" w:afterAutospacing="1"/>
      <w:jc w:val="left"/>
    </w:pPr>
    <w:rPr>
      <w:kern w:val="0"/>
    </w:rPr>
  </w:style>
  <w:style w:type="paragraph" w:styleId="a8">
    <w:name w:val="annotation subject"/>
    <w:basedOn w:val="a3"/>
    <w:next w:val="a3"/>
    <w:link w:val="Char3"/>
    <w:autoRedefine/>
    <w:uiPriority w:val="99"/>
    <w:semiHidden/>
    <w:unhideWhenUsed/>
    <w:qFormat/>
    <w:rPr>
      <w:b/>
      <w:bCs/>
    </w:rPr>
  </w:style>
  <w:style w:type="character" w:styleId="a9">
    <w:name w:val="Strong"/>
    <w:basedOn w:val="a0"/>
    <w:autoRedefine/>
    <w:uiPriority w:val="22"/>
    <w:qFormat/>
    <w:rPr>
      <w:b/>
    </w:rPr>
  </w:style>
  <w:style w:type="character" w:styleId="aa">
    <w:name w:val="Hyperlink"/>
    <w:basedOn w:val="a0"/>
    <w:uiPriority w:val="99"/>
    <w:semiHidden/>
    <w:unhideWhenUsed/>
    <w:qFormat/>
    <w:rPr>
      <w:color w:val="0563C1"/>
      <w:u w:val="single"/>
    </w:rPr>
  </w:style>
  <w:style w:type="character" w:styleId="ab">
    <w:name w:val="annotation reference"/>
    <w:basedOn w:val="a0"/>
    <w:autoRedefine/>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autoRedefine/>
    <w:uiPriority w:val="99"/>
    <w:qFormat/>
    <w:rPr>
      <w:sz w:val="18"/>
      <w:szCs w:val="18"/>
    </w:rPr>
  </w:style>
  <w:style w:type="paragraph" w:styleId="ac">
    <w:name w:val="List Paragraph"/>
    <w:basedOn w:val="a"/>
    <w:autoRedefine/>
    <w:uiPriority w:val="34"/>
    <w:qFormat/>
    <w:pPr>
      <w:adjustRightInd w:val="0"/>
      <w:snapToGrid w:val="0"/>
      <w:ind w:firstLineChars="200" w:firstLine="480"/>
    </w:pPr>
  </w:style>
  <w:style w:type="character" w:customStyle="1" w:styleId="Char0">
    <w:name w:val="批注框文本 Char"/>
    <w:basedOn w:val="a0"/>
    <w:link w:val="a4"/>
    <w:autoRedefine/>
    <w:uiPriority w:val="99"/>
    <w:semiHidden/>
    <w:qFormat/>
    <w:rPr>
      <w:sz w:val="18"/>
      <w:szCs w:val="18"/>
    </w:rPr>
  </w:style>
  <w:style w:type="paragraph" w:customStyle="1" w:styleId="TableParagraph">
    <w:name w:val="Table Paragraph"/>
    <w:basedOn w:val="a"/>
    <w:autoRedefine/>
    <w:uiPriority w:val="1"/>
    <w:qFormat/>
    <w:pPr>
      <w:jc w:val="left"/>
    </w:pPr>
    <w:rPr>
      <w:rFonts w:ascii="Calibri" w:hAnsi="Calibri"/>
      <w:kern w:val="0"/>
      <w:sz w:val="22"/>
      <w:lang w:eastAsia="en-US"/>
    </w:r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autoRedefine/>
    <w:uiPriority w:val="99"/>
    <w:qFormat/>
    <w:rPr>
      <w:kern w:val="2"/>
      <w:sz w:val="24"/>
      <w:szCs w:val="24"/>
    </w:rPr>
  </w:style>
  <w:style w:type="character" w:customStyle="1" w:styleId="Char3">
    <w:name w:val="批注主题 Char"/>
    <w:basedOn w:val="Char"/>
    <w:link w:val="a8"/>
    <w:autoRedefine/>
    <w:uiPriority w:val="99"/>
    <w:semiHidden/>
    <w:qFormat/>
    <w:rPr>
      <w:b/>
      <w:bCs/>
      <w:kern w:val="2"/>
      <w:sz w:val="24"/>
      <w:szCs w:val="24"/>
    </w:rPr>
  </w:style>
  <w:style w:type="paragraph" w:customStyle="1" w:styleId="2">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kern w:val="2"/>
      <w:sz w:val="24"/>
      <w:szCs w:val="24"/>
    </w:rPr>
  </w:style>
  <w:style w:type="paragraph" w:customStyle="1" w:styleId="5">
    <w:name w:val="修订5"/>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FA85-1197-49A0-B695-ACB810D0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lijiafei</dc:creator>
  <cp:lastModifiedBy>陈德福</cp:lastModifiedBy>
  <cp:revision>4</cp:revision>
  <cp:lastPrinted>2024-03-29T05:07:00Z</cp:lastPrinted>
  <dcterms:created xsi:type="dcterms:W3CDTF">2025-07-02T03:10:00Z</dcterms:created>
  <dcterms:modified xsi:type="dcterms:W3CDTF">2025-07-02T06:38:00Z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D535751C7C92423582936B0F163B9D87_13</vt:lpwstr>
  </property>
  <property fmtid="{D5CDD505-2E9C-101B-9397-08002B2CF9AE}" pid="4" name="KSOTemplateDocerSaveRecord">
    <vt:lpwstr>eyJoZGlkIjoiMDljYzUzMWQ4OWI0YzBkYjYzMDRhZTY5ZjZkYmFmYTgiLCJ1c2VySWQiOiI1NTYyNjI3NzQifQ==</vt:lpwstr>
  </property>
</Properties>
</file>