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iCs/>
          <w:sz w:val="24"/>
          <w:szCs w:val="24"/>
        </w:rPr>
        <w:t>年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iCs/>
          <w:sz w:val="24"/>
          <w:szCs w:val="24"/>
        </w:rPr>
        <w:t>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国盛证券、广发证券、东方证券、中银国际证券、开源证券、兴业证券、信达证券、太平洋证券、国泰海通证券、华安证券、方正证券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线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会议</w:t>
            </w:r>
          </w:p>
        </w:tc>
      </w:tr>
      <w:tr w14:paraId="220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055E4D72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董事长 利虔先生</w:t>
            </w:r>
          </w:p>
          <w:p w14:paraId="3428564B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董事、财务总监 张执交先生</w:t>
            </w:r>
          </w:p>
          <w:p w14:paraId="385DFB64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董事会秘书 魏丽萍女士</w:t>
            </w:r>
          </w:p>
        </w:tc>
      </w:tr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7A3CFEFA">
            <w:pPr>
              <w:numPr>
                <w:ilvl w:val="-1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、问答环节</w:t>
            </w:r>
          </w:p>
          <w:p w14:paraId="7C54096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1、公司</w:t>
            </w:r>
            <w:r>
              <w:rPr>
                <w:rFonts w:hint="eastAsia"/>
                <w:b/>
                <w:bCs/>
                <w:sz w:val="24"/>
              </w:rPr>
              <w:t>STC007注射液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对外授权的情况？</w:t>
            </w:r>
          </w:p>
          <w:p w14:paraId="3D555809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阳光诺和与上海乐旷惠霖医药科技有限公司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以下简称“乐旷惠霖”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于近期就共同开发STC007（镇痛适应症）达成合作并签署相应的《技术开发（合作）合同》，阳光诺和负责研究开发工作、注册申报工作和推进销售和市场拓展，乐旷惠霖负责推进销售和市场拓展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目前，该项目已完成II期临床试验，正在开展III期临床试验。</w:t>
            </w:r>
            <w:r>
              <w:rPr>
                <w:rFonts w:hint="eastAsia"/>
                <w:sz w:val="24"/>
                <w:lang w:val="en-US" w:eastAsia="zh-CN"/>
              </w:rPr>
              <w:t>整体项目</w:t>
            </w:r>
            <w:r>
              <w:rPr>
                <w:rFonts w:hint="eastAsia"/>
                <w:sz w:val="24"/>
              </w:rPr>
              <w:t>估值10亿元，授权乐旷惠霖20%权益，</w:t>
            </w:r>
            <w:r>
              <w:rPr>
                <w:rFonts w:hint="eastAsia"/>
                <w:sz w:val="24"/>
                <w:lang w:val="en-US" w:eastAsia="zh-CN"/>
              </w:rPr>
              <w:t>合同约定的</w:t>
            </w:r>
            <w:r>
              <w:rPr>
                <w:rFonts w:hint="eastAsia"/>
                <w:sz w:val="24"/>
              </w:rPr>
              <w:t>里程碑付款累计总金额2亿元（含税），首付款1亿元，待达到研发节点后支付</w:t>
            </w:r>
            <w:r>
              <w:rPr>
                <w:rFonts w:hint="eastAsia"/>
                <w:sz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</w:rPr>
              <w:t>1亿元里程碑款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合同针对STC007术后镇痛适应症的中国大陆地区权益。</w:t>
            </w:r>
          </w:p>
          <w:p w14:paraId="33A836A4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本次合作能为上市公司带来1亿元首付款和1亿元里程碑付款，预计将对未来业绩产生积极影响，有利于提升公司的盈利能力，</w:t>
            </w:r>
            <w:r>
              <w:rPr>
                <w:rFonts w:hint="eastAsia"/>
                <w:sz w:val="24"/>
                <w:lang w:val="en-US" w:eastAsia="zh-CN"/>
              </w:rPr>
              <w:t>合作方在</w:t>
            </w:r>
            <w:r>
              <w:rPr>
                <w:rFonts w:hint="eastAsia"/>
                <w:sz w:val="24"/>
              </w:rPr>
              <w:t>精麻药品的销售专业性较强，核心销售团队</w:t>
            </w:r>
            <w:r>
              <w:rPr>
                <w:rFonts w:hint="eastAsia"/>
                <w:sz w:val="24"/>
                <w:lang w:val="en-US" w:eastAsia="zh-CN"/>
              </w:rPr>
              <w:t>有多年</w:t>
            </w:r>
            <w:r>
              <w:rPr>
                <w:rFonts w:hint="eastAsia"/>
                <w:sz w:val="24"/>
              </w:rPr>
              <w:t>阿片类大单品的</w:t>
            </w:r>
            <w:r>
              <w:rPr>
                <w:rFonts w:hint="eastAsia"/>
                <w:sz w:val="24"/>
                <w:lang w:val="en-US" w:eastAsia="zh-CN"/>
              </w:rPr>
              <w:t>销售</w:t>
            </w:r>
            <w:r>
              <w:rPr>
                <w:rFonts w:hint="eastAsia"/>
                <w:sz w:val="24"/>
              </w:rPr>
              <w:t>经验，为STC007的商业化保驾护航，公司还储备大量研发管线，本次合作模式有望成为标杆案例，为后续其他研发管线的商业化打开想象空间。</w:t>
            </w:r>
          </w:p>
          <w:p w14:paraId="29CCFDD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2" w:firstLineChars="200"/>
              <w:textAlignment w:val="auto"/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2、公司</w:t>
            </w:r>
            <w:r>
              <w:rPr>
                <w:rFonts w:hint="eastAsia"/>
                <w:b/>
                <w:bCs/>
                <w:sz w:val="24"/>
              </w:rPr>
              <w:t>STC</w:t>
            </w: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007</w:t>
            </w:r>
            <w:r>
              <w:rPr>
                <w:rFonts w:hint="eastAsia"/>
                <w:b/>
                <w:bCs/>
                <w:sz w:val="24"/>
              </w:rPr>
              <w:t>注射液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镇痛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 xml:space="preserve">选择这种转让模式的原因？ </w:t>
            </w:r>
          </w:p>
          <w:p w14:paraId="2AC25FC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default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Cs w:val="0"/>
                <w:sz w:val="24"/>
                <w:szCs w:val="20"/>
                <w:lang w:val="en-US" w:eastAsia="zh-CN"/>
              </w:rPr>
              <w:t>本公司与上海乐旷惠霖医药科技有限公司携手合作，共同推进STC007（针对镇痛适应症）的研发进程。乐旷惠霖的核心销售团队拥有丰富的阿片类药物销售经验，这将为STC007的市场推广提供有力支持。与一次性授权给大型制药企业不同，STC007的未来收益权将由阳光诺和掌控，确保了阳光诺和作为持有人的权益。这种合作模式为阳光诺和的长期现金流和持续利润提供了保障。双方对STC007注射液（镇痛适应症）的市场潜力寄予厚望，鉴于其较短的临床周期和快速上市的优势，加之专利直至2040年才到期，预计该产品将为公司带来持续的净收益。此外，公司拥有丰富的研发管线储备，此次合作模式有望成为行业典范，为公司后续其他研发管线的商业化进程开辟新的可能性。</w:t>
            </w:r>
          </w:p>
          <w:p w14:paraId="3C39B6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2" w:firstLineChars="200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3、如何看待公司STC007注射液的商业化潜力？</w:t>
            </w:r>
          </w:p>
          <w:p w14:paraId="7FA91577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TC007是诺和晟泰自主研发的化学1类新药，属于强效KOR激动剂，与KOR受体结合后，能有效阻断和抑制痛感信号的传递，从而产生镇痛的作用。STC007主要适应症包括术后疼痛及成人慢性肾脏疾病相关的中至重度瘙痒，目前均处于II期临床阶段，</w:t>
            </w:r>
            <w:r>
              <w:rPr>
                <w:rFonts w:hint="eastAsia"/>
                <w:sz w:val="24"/>
                <w:lang w:val="en-US" w:eastAsia="zh-CN"/>
              </w:rPr>
              <w:t>近期公司</w:t>
            </w:r>
            <w:r>
              <w:rPr>
                <w:rFonts w:hint="eastAsia"/>
                <w:sz w:val="24"/>
              </w:rPr>
              <w:t>公告</w:t>
            </w:r>
            <w:r>
              <w:rPr>
                <w:rFonts w:hint="eastAsia"/>
                <w:sz w:val="24"/>
                <w:lang w:eastAsia="zh-CN"/>
              </w:rPr>
              <w:t>了</w:t>
            </w:r>
            <w:r>
              <w:rPr>
                <w:rFonts w:hint="eastAsia"/>
                <w:sz w:val="24"/>
              </w:rPr>
              <w:t>已经完成的术后疼痛II期临床试验，入组156例患者，试验结果表明STC007注射液镇痛效果显著优于安慰剂，与阳性对照药盐酸曲马多注射液相当，总体安全性和耐受性良好。</w:t>
            </w:r>
          </w:p>
          <w:p w14:paraId="67658DBE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有效性：与安慰剂组相比，STC007注射液能够有效改善腹部术后疼痛中度至重度受试者的术后0-24小时的静息和运动状态下的疼痛评分（最小二乘均值差值分别为5.16、5.64、6.25），与盐酸曲马多注射液组相比，STC007注射液能够有效改善腹部术后疼痛中度至重度受试者的术后0-24小时运动状态下的疼痛评分（最小二乘均值差值分别为6.52、1.25、3.29）。与盐酸曲马多组注射液组和安慰剂组相比，STC007注射液挽救治疗药物累积使用量更低，首次接受挽救治疗时间更晚。</w:t>
            </w:r>
          </w:p>
          <w:p w14:paraId="32D3F2B7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安全性：STC007注射液总体的安全性和耐受性良好，未发现新的安全性信号、未发生严重不良事件。呕吐和恶心是研究期间最常见的不良反应，STC007低剂量组发生率为10.0%和7.5%，高剂量组发生率为10.3%和5.1%，低于盐酸曲马多注射液50mg组的20.5%和25.6%，低于安慰剂组的15.0%和12.5%，在同靶点药物中也处于较低水平。</w:t>
            </w:r>
          </w:p>
          <w:p w14:paraId="27672953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根据摩熵医药咨询统计，国内阿片类镇痛药销售额从2019年的193.58亿增长至2023年的233.68亿元，销售额排名靠前的阿片类镇痛药包括地佐辛、瑞芬太尼、舒芬太尼、布托啡诺、纳布啡、羟考酮等。κ阿片受体（简称KOR）不同于传统的μ阿片受体（简称MOR），是极具抗镇痛潜力的靶点，可以在不进入中枢的情况下，在外周神经系统发挥镇痛作用，不会导致呼吸抑制和便秘，且无明显成瘾性风险。</w:t>
            </w:r>
          </w:p>
          <w:p w14:paraId="7E9404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0" w:firstLineChars="200"/>
              <w:textAlignment w:val="auto"/>
              <w:rPr>
                <w:rFonts w:hint="default"/>
                <w:b w:val="0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</w:rPr>
              <w:t>阿片类药物市场空间广阔，传统μ阿片类药物存在呼吸抑制等不良反应和成瘾风险等相关问题，κ阿片类药物具备更强的临床优势，不仅可以用于术后镇痛，还可以开发成人慢性肾脏疾病相关的中至重度瘙痒等新适应症</w:t>
            </w:r>
            <w:r>
              <w:rPr>
                <w:rFonts w:hint="eastAsia"/>
                <w:sz w:val="24"/>
                <w:lang w:eastAsia="zh-CN"/>
              </w:rPr>
              <w:t>，公司</w:t>
            </w:r>
            <w:r>
              <w:rPr>
                <w:rFonts w:hint="default"/>
                <w:sz w:val="24"/>
              </w:rPr>
              <w:t>的STC007研发进度领先，II期临床数据已经展现良好的疗效性和安全性</w:t>
            </w:r>
            <w:r>
              <w:rPr>
                <w:rFonts w:hint="default"/>
                <w:b w:val="0"/>
                <w:bCs/>
                <w:iCs/>
                <w:sz w:val="24"/>
                <w:szCs w:val="24"/>
                <w:lang w:val="en-US" w:eastAsia="zh-CN"/>
              </w:rPr>
              <w:t>，未来具备较强的商业化潜力。</w:t>
            </w:r>
          </w:p>
          <w:p w14:paraId="35C0B89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482" w:firstLineChars="200"/>
              <w:textAlignment w:val="auto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iCs/>
                <w:sz w:val="24"/>
                <w:szCs w:val="24"/>
                <w:lang w:val="en-US" w:eastAsia="zh-CN"/>
              </w:rPr>
              <w:t>4、公司创新药在海外市场的规划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？</w:t>
            </w:r>
          </w:p>
          <w:p w14:paraId="6BBD8EA3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公司积极推进药物国际化，</w:t>
            </w:r>
            <w:r>
              <w:rPr>
                <w:rFonts w:hint="default"/>
                <w:sz w:val="24"/>
              </w:rPr>
              <w:t>筛选可海外布局品种，并进行管线培育：成立专门的国际化项目评估小组，对公司现有药物品种以及在研管线进行全面梳理。从药物的临床疗效、市场潜力、专利保护情况等多维度进行评估，筛选出具有海外布局潜力的品种，针对筛选出的品种，制定详细的管线培育计划。</w:t>
            </w:r>
          </w:p>
          <w:p w14:paraId="7F6A951C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提前海外专利布局：组建专业的知识产权团队，深入研究目标海外市场的专利法规与政策。在药物研发早期阶段，就进行专利申请策略制定，围绕核心技术与创新点，在目标国家和地区提交专利申请，构建严密的专利保护网络，防止技术成果被侵权，保障公司项目在海外市场的合法权益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7C7638"/>
    <w:rsid w:val="00A06CDD"/>
    <w:rsid w:val="00BB2E0E"/>
    <w:rsid w:val="00BF064F"/>
    <w:rsid w:val="00E31C19"/>
    <w:rsid w:val="01AC06BF"/>
    <w:rsid w:val="01CC4519"/>
    <w:rsid w:val="02290130"/>
    <w:rsid w:val="0244511A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1F7BAB"/>
    <w:rsid w:val="0C612D69"/>
    <w:rsid w:val="0CC92960"/>
    <w:rsid w:val="0CF81829"/>
    <w:rsid w:val="0D174ABA"/>
    <w:rsid w:val="0DBE3551"/>
    <w:rsid w:val="0DCC4700"/>
    <w:rsid w:val="0E086001"/>
    <w:rsid w:val="0EB77202"/>
    <w:rsid w:val="0F824FAF"/>
    <w:rsid w:val="0FE77118"/>
    <w:rsid w:val="11866453"/>
    <w:rsid w:val="11FF5668"/>
    <w:rsid w:val="122E5DAC"/>
    <w:rsid w:val="12527029"/>
    <w:rsid w:val="12B62932"/>
    <w:rsid w:val="12DB5893"/>
    <w:rsid w:val="134A000D"/>
    <w:rsid w:val="13CF5910"/>
    <w:rsid w:val="14451A14"/>
    <w:rsid w:val="144F54F1"/>
    <w:rsid w:val="14EC5248"/>
    <w:rsid w:val="14ED4281"/>
    <w:rsid w:val="15930D03"/>
    <w:rsid w:val="15AA2CEE"/>
    <w:rsid w:val="15B14D16"/>
    <w:rsid w:val="16761466"/>
    <w:rsid w:val="16DA51E9"/>
    <w:rsid w:val="17345A11"/>
    <w:rsid w:val="17376E6B"/>
    <w:rsid w:val="17FB3086"/>
    <w:rsid w:val="1839393F"/>
    <w:rsid w:val="190E77ED"/>
    <w:rsid w:val="1A0F1E47"/>
    <w:rsid w:val="1A2C70A7"/>
    <w:rsid w:val="1A547590"/>
    <w:rsid w:val="1AC9279C"/>
    <w:rsid w:val="1B2D550F"/>
    <w:rsid w:val="1C51DC73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A01C5E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4CB30E7"/>
    <w:rsid w:val="256D51A0"/>
    <w:rsid w:val="25821C24"/>
    <w:rsid w:val="26A5400D"/>
    <w:rsid w:val="26D51ECB"/>
    <w:rsid w:val="271625E5"/>
    <w:rsid w:val="273725B6"/>
    <w:rsid w:val="27452AA5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631540"/>
    <w:rsid w:val="2DCD4D3B"/>
    <w:rsid w:val="2E6F33D5"/>
    <w:rsid w:val="2EA00B62"/>
    <w:rsid w:val="2EA9018A"/>
    <w:rsid w:val="2EDE674F"/>
    <w:rsid w:val="2F4F0EF9"/>
    <w:rsid w:val="2FA368BA"/>
    <w:rsid w:val="2FFA9855"/>
    <w:rsid w:val="303D276E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37942D4"/>
    <w:rsid w:val="34D130CE"/>
    <w:rsid w:val="34E872B4"/>
    <w:rsid w:val="350D634B"/>
    <w:rsid w:val="359E7CBD"/>
    <w:rsid w:val="35B161E7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7403CD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DF08FB"/>
    <w:rsid w:val="46F34D6A"/>
    <w:rsid w:val="480B4BB5"/>
    <w:rsid w:val="487D4171"/>
    <w:rsid w:val="488851C9"/>
    <w:rsid w:val="489D1235"/>
    <w:rsid w:val="48E21AEF"/>
    <w:rsid w:val="4A717AA0"/>
    <w:rsid w:val="4A830B91"/>
    <w:rsid w:val="4AAF5236"/>
    <w:rsid w:val="4AB212D8"/>
    <w:rsid w:val="4B1A52D2"/>
    <w:rsid w:val="4B265D22"/>
    <w:rsid w:val="4B35552C"/>
    <w:rsid w:val="4BB85758"/>
    <w:rsid w:val="4C014C57"/>
    <w:rsid w:val="4C020555"/>
    <w:rsid w:val="4C1E0FC8"/>
    <w:rsid w:val="4C556F25"/>
    <w:rsid w:val="4C84793E"/>
    <w:rsid w:val="4D0E2637"/>
    <w:rsid w:val="4D6024B5"/>
    <w:rsid w:val="4D6378A0"/>
    <w:rsid w:val="4D9C101F"/>
    <w:rsid w:val="4DF658A7"/>
    <w:rsid w:val="4EDF2A9B"/>
    <w:rsid w:val="4EF8205F"/>
    <w:rsid w:val="4F444544"/>
    <w:rsid w:val="4FE37D9E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718013A"/>
    <w:rsid w:val="573622C3"/>
    <w:rsid w:val="576D5BCE"/>
    <w:rsid w:val="57A634A8"/>
    <w:rsid w:val="584159EA"/>
    <w:rsid w:val="58836DC8"/>
    <w:rsid w:val="58BA5B76"/>
    <w:rsid w:val="599C16F8"/>
    <w:rsid w:val="5A2A67F5"/>
    <w:rsid w:val="5A4F27F0"/>
    <w:rsid w:val="5A880128"/>
    <w:rsid w:val="5AAE4583"/>
    <w:rsid w:val="5B1D47FA"/>
    <w:rsid w:val="5B205964"/>
    <w:rsid w:val="5D012421"/>
    <w:rsid w:val="5D674700"/>
    <w:rsid w:val="5DD427BF"/>
    <w:rsid w:val="5DDC2CA3"/>
    <w:rsid w:val="5DEC4365"/>
    <w:rsid w:val="5E7435BA"/>
    <w:rsid w:val="5E932ED8"/>
    <w:rsid w:val="60760873"/>
    <w:rsid w:val="60C214BD"/>
    <w:rsid w:val="60C265CF"/>
    <w:rsid w:val="611B583E"/>
    <w:rsid w:val="617862AC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B7D2A7"/>
    <w:rsid w:val="65CA54AC"/>
    <w:rsid w:val="6680326B"/>
    <w:rsid w:val="669A3582"/>
    <w:rsid w:val="66B337A8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B685571"/>
    <w:rsid w:val="6B8F7280"/>
    <w:rsid w:val="6BFF15D7"/>
    <w:rsid w:val="6C3309C1"/>
    <w:rsid w:val="6D1E32A1"/>
    <w:rsid w:val="6D322B1C"/>
    <w:rsid w:val="6D9B2F52"/>
    <w:rsid w:val="6E2576AE"/>
    <w:rsid w:val="6E290AB7"/>
    <w:rsid w:val="6E4B77F4"/>
    <w:rsid w:val="6EA45979"/>
    <w:rsid w:val="6EEB2130"/>
    <w:rsid w:val="6FAD1A1F"/>
    <w:rsid w:val="700B2EC6"/>
    <w:rsid w:val="70754AA5"/>
    <w:rsid w:val="70B8083E"/>
    <w:rsid w:val="714D6AE5"/>
    <w:rsid w:val="7171086E"/>
    <w:rsid w:val="719510A4"/>
    <w:rsid w:val="71A66548"/>
    <w:rsid w:val="71C53B96"/>
    <w:rsid w:val="71FA4772"/>
    <w:rsid w:val="71FC4DEA"/>
    <w:rsid w:val="728671BF"/>
    <w:rsid w:val="72C2568A"/>
    <w:rsid w:val="72C94CD5"/>
    <w:rsid w:val="73300DA4"/>
    <w:rsid w:val="744616E9"/>
    <w:rsid w:val="745A380B"/>
    <w:rsid w:val="74A02866"/>
    <w:rsid w:val="75580D0F"/>
    <w:rsid w:val="76440F92"/>
    <w:rsid w:val="767A7C68"/>
    <w:rsid w:val="772F3652"/>
    <w:rsid w:val="779F15A2"/>
    <w:rsid w:val="77AE1328"/>
    <w:rsid w:val="77B6383C"/>
    <w:rsid w:val="77B751AF"/>
    <w:rsid w:val="77FE6C2A"/>
    <w:rsid w:val="78423920"/>
    <w:rsid w:val="78A45D63"/>
    <w:rsid w:val="792128C5"/>
    <w:rsid w:val="794D08AD"/>
    <w:rsid w:val="79661C63"/>
    <w:rsid w:val="79D25FC2"/>
    <w:rsid w:val="79EA2C4D"/>
    <w:rsid w:val="79F90BEF"/>
    <w:rsid w:val="7A4A14CB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D54AA1"/>
    <w:rsid w:val="7CE44ECC"/>
    <w:rsid w:val="7CE571C4"/>
    <w:rsid w:val="7D0375F5"/>
    <w:rsid w:val="7D546905"/>
    <w:rsid w:val="7D6D7ABB"/>
    <w:rsid w:val="7D7234FB"/>
    <w:rsid w:val="7DE04CFD"/>
    <w:rsid w:val="7E4F6774"/>
    <w:rsid w:val="7F173DB2"/>
    <w:rsid w:val="7F2266A0"/>
    <w:rsid w:val="7F2E17A9"/>
    <w:rsid w:val="7FAD2049"/>
    <w:rsid w:val="7FEE7A90"/>
    <w:rsid w:val="7FEF3D0E"/>
    <w:rsid w:val="7FF23572"/>
    <w:rsid w:val="8DDB261E"/>
    <w:rsid w:val="8DFE854D"/>
    <w:rsid w:val="CEEA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9">
    <w:name w:val="批注文字 字符"/>
    <w:basedOn w:val="6"/>
    <w:link w:val="2"/>
    <w:qFormat/>
    <w:uiPriority w:val="0"/>
    <w:rPr>
      <w:kern w:val="2"/>
      <w:sz w:val="21"/>
    </w:rPr>
  </w:style>
  <w:style w:type="character" w:customStyle="1" w:styleId="10">
    <w:name w:val="批注主题 字符"/>
    <w:basedOn w:val="9"/>
    <w:link w:val="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2729</Words>
  <Characters>2975</Characters>
  <Lines>18</Lines>
  <Paragraphs>5</Paragraphs>
  <TotalTime>20</TotalTime>
  <ScaleCrop>false</ScaleCrop>
  <LinksUpToDate>false</LinksUpToDate>
  <CharactersWithSpaces>3042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2024-09-26T22:32:00Z</dcterms:created>
  <dc:creator>杨贵娇</dc:creator>
  <cp:lastModifiedBy>杨贵娇</cp:lastModifiedBy>
  <dcterms:modified xsi:type="dcterms:W3CDTF">2025-07-07T02:52:57Z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E81F89B941DC463EBF1E3B1B6EC102A8_13</vt:lpwstr>
  </property>
  <property fmtid="{D5CDD505-2E9C-101B-9397-08002B2CF9AE}" pid="4" name="KSOTemplateDocerSaveRecord">
    <vt:lpwstr>eyJoZGlkIjoiZTM2MTRlOTE5NzU3Y2FhZmJjMTA4ODAwNjMyZWVhZDciLCJ1c2VySWQiOiIzOTQyNDEyNzQifQ==</vt:lpwstr>
  </property>
</Properties>
</file>