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954"/>
      </w:tblGrid>
      <w:tr w:rsidR="001603E5" w:rsidRPr="00355B69" w14:paraId="50EF5C9E" w14:textId="77777777" w:rsidTr="00564C8B">
        <w:trPr>
          <w:trHeight w:val="1975"/>
          <w:jc w:val="center"/>
        </w:trPr>
        <w:tc>
          <w:tcPr>
            <w:tcW w:w="1413"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954" w:type="dxa"/>
            <w:shd w:val="clear" w:color="auto" w:fill="auto"/>
          </w:tcPr>
          <w:p w14:paraId="7D4BD14E" w14:textId="20E6232E" w:rsidR="00FE7F1E" w:rsidRPr="006664FF" w:rsidRDefault="00CB1AA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82C20B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09C190C5" w:rsidR="00FE7F1E" w:rsidRPr="003451C4" w:rsidRDefault="00A92498" w:rsidP="00CE1991">
            <w:pPr>
              <w:tabs>
                <w:tab w:val="center" w:pos="3199"/>
              </w:tabs>
              <w:spacing w:line="360" w:lineRule="auto"/>
              <w:rPr>
                <w:rFonts w:ascii="宋体" w:eastAsia="宋体" w:hAnsi="宋体" w:cs="Times New Roman"/>
                <w:bCs/>
                <w:iCs/>
                <w:color w:val="000000" w:themeColor="text1"/>
                <w:sz w:val="24"/>
                <w:szCs w:val="24"/>
                <w:u w:val="single"/>
              </w:rPr>
            </w:pPr>
            <w:r w:rsidRPr="00A92498">
              <w:rPr>
                <w:rFonts w:ascii="宋体" w:eastAsia="宋体" w:hAnsi="宋体" w:cs="Times New Roman" w:hint="eastAsia"/>
                <w:bCs/>
                <w:iCs/>
                <w:color w:val="000000" w:themeColor="text1"/>
                <w:sz w:val="24"/>
                <w:szCs w:val="24"/>
              </w:rPr>
              <w:t>√其他（“我是股东”投资者走进沪市上市公司活动）</w:t>
            </w:r>
          </w:p>
        </w:tc>
      </w:tr>
      <w:tr w:rsidR="00C8376D" w:rsidRPr="00C8376D" w14:paraId="250DE984" w14:textId="77777777" w:rsidTr="00564C8B">
        <w:trPr>
          <w:trHeight w:val="118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9C0F1BE" w14:textId="547648D9" w:rsidR="00C8376D" w:rsidRPr="00C8376D" w:rsidRDefault="00C8376D" w:rsidP="00DF7BA3">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r w:rsidR="00675A33" w:rsidRPr="00675A33">
              <w:rPr>
                <w:rFonts w:ascii="宋体" w:eastAsia="宋体" w:hAnsi="宋体" w:cs="Times New Roman" w:hint="eastAsia"/>
                <w:b/>
                <w:bCs/>
                <w:iCs/>
                <w:color w:val="000000" w:themeColor="text1"/>
                <w:sz w:val="24"/>
                <w:szCs w:val="24"/>
              </w:rPr>
              <w:t>及人员姓名</w:t>
            </w:r>
          </w:p>
        </w:tc>
        <w:tc>
          <w:tcPr>
            <w:tcW w:w="6954" w:type="dxa"/>
            <w:tcBorders>
              <w:top w:val="single" w:sz="4" w:space="0" w:color="auto"/>
              <w:left w:val="single" w:sz="4" w:space="0" w:color="auto"/>
              <w:bottom w:val="single" w:sz="4" w:space="0" w:color="auto"/>
              <w:right w:val="single" w:sz="4" w:space="0" w:color="auto"/>
            </w:tcBorders>
            <w:vAlign w:val="center"/>
            <w:hideMark/>
          </w:tcPr>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682"/>
              <w:gridCol w:w="1682"/>
              <w:gridCol w:w="1682"/>
            </w:tblGrid>
            <w:tr w:rsidR="00E52C52" w14:paraId="2D6350AA" w14:textId="77777777" w:rsidTr="00E52C52">
              <w:trPr>
                <w:jc w:val="center"/>
              </w:trPr>
              <w:tc>
                <w:tcPr>
                  <w:tcW w:w="1682" w:type="dxa"/>
                  <w:vAlign w:val="center"/>
                </w:tcPr>
                <w:p w14:paraId="248C0BF7" w14:textId="5AE44737" w:rsidR="00E52C52" w:rsidRDefault="00E52C52" w:rsidP="00E52C52">
                  <w:pPr>
                    <w:jc w:val="center"/>
                  </w:pPr>
                  <w:r w:rsidRPr="00B80CE5">
                    <w:rPr>
                      <w:rFonts w:hint="eastAsia"/>
                    </w:rPr>
                    <w:t>Point72</w:t>
                  </w:r>
                </w:p>
              </w:tc>
              <w:tc>
                <w:tcPr>
                  <w:tcW w:w="1682" w:type="dxa"/>
                  <w:vAlign w:val="center"/>
                </w:tcPr>
                <w:p w14:paraId="2BB3C737" w14:textId="028CDF27" w:rsidR="00E52C52" w:rsidRDefault="00E52C52" w:rsidP="00E52C52">
                  <w:pPr>
                    <w:jc w:val="center"/>
                  </w:pPr>
                  <w:r w:rsidRPr="00B80CE5">
                    <w:rPr>
                      <w:rFonts w:hint="eastAsia"/>
                    </w:rPr>
                    <w:t>泓德基金</w:t>
                  </w:r>
                </w:p>
              </w:tc>
              <w:tc>
                <w:tcPr>
                  <w:tcW w:w="1682" w:type="dxa"/>
                  <w:vAlign w:val="center"/>
                </w:tcPr>
                <w:p w14:paraId="2AEE6392" w14:textId="71598A4C" w:rsidR="00E52C52" w:rsidRDefault="00E52C52" w:rsidP="00E52C52">
                  <w:pPr>
                    <w:jc w:val="center"/>
                  </w:pPr>
                  <w:r w:rsidRPr="00B80CE5">
                    <w:rPr>
                      <w:rFonts w:hint="eastAsia"/>
                    </w:rPr>
                    <w:t>人保资产</w:t>
                  </w:r>
                </w:p>
              </w:tc>
              <w:tc>
                <w:tcPr>
                  <w:tcW w:w="1682" w:type="dxa"/>
                  <w:vAlign w:val="center"/>
                </w:tcPr>
                <w:p w14:paraId="166EA2AC" w14:textId="131B691F" w:rsidR="00E52C52" w:rsidRDefault="00E52C52" w:rsidP="00E52C52">
                  <w:pPr>
                    <w:jc w:val="center"/>
                  </w:pPr>
                  <w:r w:rsidRPr="00B80CE5">
                    <w:rPr>
                      <w:rFonts w:hint="eastAsia"/>
                    </w:rPr>
                    <w:t>圆信永丰</w:t>
                  </w:r>
                </w:p>
              </w:tc>
            </w:tr>
            <w:tr w:rsidR="00E52C52" w14:paraId="6999D7F0" w14:textId="77777777" w:rsidTr="00E52C52">
              <w:trPr>
                <w:jc w:val="center"/>
              </w:trPr>
              <w:tc>
                <w:tcPr>
                  <w:tcW w:w="1682" w:type="dxa"/>
                  <w:vAlign w:val="center"/>
                </w:tcPr>
                <w:p w14:paraId="561A5BBA" w14:textId="1D9C76D9" w:rsidR="00E52C52" w:rsidRDefault="00E52C52" w:rsidP="00E52C52">
                  <w:pPr>
                    <w:jc w:val="center"/>
                  </w:pPr>
                  <w:r w:rsidRPr="00B80CE5">
                    <w:rPr>
                      <w:rFonts w:hint="eastAsia"/>
                    </w:rPr>
                    <w:t>北京真科</w:t>
                  </w:r>
                </w:p>
              </w:tc>
              <w:tc>
                <w:tcPr>
                  <w:tcW w:w="1682" w:type="dxa"/>
                  <w:vAlign w:val="center"/>
                </w:tcPr>
                <w:p w14:paraId="4C3DE3D5" w14:textId="1688193C" w:rsidR="00E52C52" w:rsidRDefault="00E52C52" w:rsidP="00E52C52">
                  <w:pPr>
                    <w:jc w:val="center"/>
                  </w:pPr>
                  <w:r w:rsidRPr="00B80CE5">
                    <w:rPr>
                      <w:rFonts w:hint="eastAsia"/>
                    </w:rPr>
                    <w:t>华福证券</w:t>
                  </w:r>
                </w:p>
              </w:tc>
              <w:tc>
                <w:tcPr>
                  <w:tcW w:w="1682" w:type="dxa"/>
                  <w:vAlign w:val="center"/>
                </w:tcPr>
                <w:p w14:paraId="7D5A467B" w14:textId="7E3CC153" w:rsidR="00E52C52" w:rsidRDefault="00E52C52" w:rsidP="00E52C52">
                  <w:pPr>
                    <w:jc w:val="center"/>
                  </w:pPr>
                  <w:r w:rsidRPr="00B80CE5">
                    <w:rPr>
                      <w:rFonts w:hint="eastAsia"/>
                    </w:rPr>
                    <w:t>上海曜川</w:t>
                  </w:r>
                </w:p>
              </w:tc>
              <w:tc>
                <w:tcPr>
                  <w:tcW w:w="1682" w:type="dxa"/>
                  <w:vAlign w:val="center"/>
                </w:tcPr>
                <w:p w14:paraId="0B4ED04D" w14:textId="7BD185A2" w:rsidR="00E52C52" w:rsidRDefault="00E52C52" w:rsidP="00E52C52">
                  <w:pPr>
                    <w:jc w:val="center"/>
                  </w:pPr>
                  <w:r w:rsidRPr="00B80CE5">
                    <w:rPr>
                      <w:rFonts w:hint="eastAsia"/>
                    </w:rPr>
                    <w:t>源乐晟</w:t>
                  </w:r>
                </w:p>
              </w:tc>
            </w:tr>
            <w:tr w:rsidR="00E52C52" w14:paraId="02B63360" w14:textId="77777777" w:rsidTr="00E52C52">
              <w:trPr>
                <w:jc w:val="center"/>
              </w:trPr>
              <w:tc>
                <w:tcPr>
                  <w:tcW w:w="1682" w:type="dxa"/>
                  <w:vAlign w:val="center"/>
                </w:tcPr>
                <w:p w14:paraId="4DFDF458" w14:textId="30009B0D" w:rsidR="00E52C52" w:rsidRDefault="00E52C52" w:rsidP="00E52C52">
                  <w:pPr>
                    <w:jc w:val="center"/>
                  </w:pPr>
                  <w:r w:rsidRPr="00B80CE5">
                    <w:rPr>
                      <w:rFonts w:hint="eastAsia"/>
                    </w:rPr>
                    <w:t>东北证券</w:t>
                  </w:r>
                </w:p>
              </w:tc>
              <w:tc>
                <w:tcPr>
                  <w:tcW w:w="1682" w:type="dxa"/>
                  <w:vAlign w:val="center"/>
                </w:tcPr>
                <w:p w14:paraId="2293ABDD" w14:textId="22491DA9" w:rsidR="00E52C52" w:rsidRDefault="00E52C52" w:rsidP="00E52C52">
                  <w:pPr>
                    <w:jc w:val="center"/>
                  </w:pPr>
                  <w:r w:rsidRPr="00B80CE5">
                    <w:rPr>
                      <w:rFonts w:hint="eastAsia"/>
                    </w:rPr>
                    <w:t>华福自营</w:t>
                  </w:r>
                </w:p>
              </w:tc>
              <w:tc>
                <w:tcPr>
                  <w:tcW w:w="1682" w:type="dxa"/>
                  <w:vAlign w:val="center"/>
                </w:tcPr>
                <w:p w14:paraId="1634F33D" w14:textId="6A03B15C" w:rsidR="00E52C52" w:rsidRDefault="00E52C52" w:rsidP="00E52C52">
                  <w:pPr>
                    <w:jc w:val="center"/>
                  </w:pPr>
                  <w:r w:rsidRPr="00B80CE5">
                    <w:rPr>
                      <w:rFonts w:hint="eastAsia"/>
                    </w:rPr>
                    <w:t>申万宏源</w:t>
                  </w:r>
                </w:p>
              </w:tc>
              <w:tc>
                <w:tcPr>
                  <w:tcW w:w="1682" w:type="dxa"/>
                  <w:vAlign w:val="center"/>
                </w:tcPr>
                <w:p w14:paraId="0864163F" w14:textId="2AB815E0" w:rsidR="00E52C52" w:rsidRDefault="00E52C52" w:rsidP="00E52C52">
                  <w:pPr>
                    <w:jc w:val="center"/>
                  </w:pPr>
                  <w:r w:rsidRPr="00B80CE5">
                    <w:rPr>
                      <w:rFonts w:hint="eastAsia"/>
                    </w:rPr>
                    <w:t>长盛基金</w:t>
                  </w:r>
                </w:p>
              </w:tc>
            </w:tr>
            <w:tr w:rsidR="00E52C52" w14:paraId="0A8A614D" w14:textId="77777777" w:rsidTr="00E52C52">
              <w:trPr>
                <w:jc w:val="center"/>
              </w:trPr>
              <w:tc>
                <w:tcPr>
                  <w:tcW w:w="1682" w:type="dxa"/>
                  <w:vAlign w:val="center"/>
                </w:tcPr>
                <w:p w14:paraId="22DD9E1A" w14:textId="732C0B16" w:rsidR="00E52C52" w:rsidRDefault="00E52C52" w:rsidP="00E52C52">
                  <w:pPr>
                    <w:jc w:val="center"/>
                  </w:pPr>
                  <w:r w:rsidRPr="00B80CE5">
                    <w:rPr>
                      <w:rFonts w:hint="eastAsia"/>
                    </w:rPr>
                    <w:t>东吴证券</w:t>
                  </w:r>
                </w:p>
              </w:tc>
              <w:tc>
                <w:tcPr>
                  <w:tcW w:w="1682" w:type="dxa"/>
                  <w:vAlign w:val="center"/>
                </w:tcPr>
                <w:p w14:paraId="2B071614" w14:textId="7BB24D97" w:rsidR="00E52C52" w:rsidRDefault="00E52C52" w:rsidP="00E52C52">
                  <w:pPr>
                    <w:jc w:val="center"/>
                  </w:pPr>
                  <w:r w:rsidRPr="00B80CE5">
                    <w:rPr>
                      <w:rFonts w:hint="eastAsia"/>
                    </w:rPr>
                    <w:t>汇安基金</w:t>
                  </w:r>
                </w:p>
              </w:tc>
              <w:tc>
                <w:tcPr>
                  <w:tcW w:w="1682" w:type="dxa"/>
                  <w:vAlign w:val="center"/>
                </w:tcPr>
                <w:p w14:paraId="49E6C472" w14:textId="02578AC7" w:rsidR="00E52C52" w:rsidRDefault="00E52C52" w:rsidP="00E52C52">
                  <w:pPr>
                    <w:jc w:val="center"/>
                  </w:pPr>
                  <w:r w:rsidRPr="00B80CE5">
                    <w:rPr>
                      <w:rFonts w:hint="eastAsia"/>
                    </w:rPr>
                    <w:t>太平资产</w:t>
                  </w:r>
                </w:p>
              </w:tc>
              <w:tc>
                <w:tcPr>
                  <w:tcW w:w="1682" w:type="dxa"/>
                  <w:vAlign w:val="center"/>
                </w:tcPr>
                <w:p w14:paraId="350B38AF" w14:textId="73739D93" w:rsidR="00E52C52" w:rsidRDefault="00E52C52" w:rsidP="00E52C52">
                  <w:pPr>
                    <w:jc w:val="center"/>
                  </w:pPr>
                  <w:r w:rsidRPr="00B80CE5">
                    <w:rPr>
                      <w:rFonts w:hint="eastAsia"/>
                    </w:rPr>
                    <w:t>中金公司</w:t>
                  </w:r>
                </w:p>
              </w:tc>
            </w:tr>
            <w:tr w:rsidR="00E52C52" w14:paraId="610EC9B3" w14:textId="77777777" w:rsidTr="00E52C52">
              <w:trPr>
                <w:jc w:val="center"/>
              </w:trPr>
              <w:tc>
                <w:tcPr>
                  <w:tcW w:w="1682" w:type="dxa"/>
                  <w:vAlign w:val="center"/>
                </w:tcPr>
                <w:p w14:paraId="79C384A3" w14:textId="357113D4" w:rsidR="00E52C52" w:rsidRDefault="00E52C52" w:rsidP="00E52C52">
                  <w:pPr>
                    <w:jc w:val="center"/>
                  </w:pPr>
                  <w:r w:rsidRPr="00B80CE5">
                    <w:rPr>
                      <w:rFonts w:hint="eastAsia"/>
                    </w:rPr>
                    <w:t>富国基金</w:t>
                  </w:r>
                </w:p>
              </w:tc>
              <w:tc>
                <w:tcPr>
                  <w:tcW w:w="1682" w:type="dxa"/>
                  <w:vAlign w:val="center"/>
                </w:tcPr>
                <w:p w14:paraId="5CC44DDC" w14:textId="4E128D7F" w:rsidR="00E52C52" w:rsidRDefault="00E52C52" w:rsidP="00E52C52">
                  <w:pPr>
                    <w:jc w:val="center"/>
                  </w:pPr>
                  <w:r w:rsidRPr="00B80CE5">
                    <w:rPr>
                      <w:rFonts w:hint="eastAsia"/>
                    </w:rPr>
                    <w:t>嘉实基金</w:t>
                  </w:r>
                </w:p>
              </w:tc>
              <w:tc>
                <w:tcPr>
                  <w:tcW w:w="1682" w:type="dxa"/>
                  <w:vAlign w:val="center"/>
                </w:tcPr>
                <w:p w14:paraId="71EBD972" w14:textId="38CB270A" w:rsidR="00E52C52" w:rsidRDefault="00E52C52" w:rsidP="00E52C52">
                  <w:pPr>
                    <w:jc w:val="center"/>
                  </w:pPr>
                  <w:r w:rsidRPr="00B80CE5">
                    <w:rPr>
                      <w:rFonts w:hint="eastAsia"/>
                    </w:rPr>
                    <w:t>新华基金</w:t>
                  </w:r>
                </w:p>
              </w:tc>
              <w:tc>
                <w:tcPr>
                  <w:tcW w:w="1682" w:type="dxa"/>
                  <w:vAlign w:val="center"/>
                </w:tcPr>
                <w:p w14:paraId="0001D32B" w14:textId="4C8480AA" w:rsidR="00E52C52" w:rsidRDefault="00A352FE" w:rsidP="00E52C52">
                  <w:pPr>
                    <w:jc w:val="center"/>
                  </w:pPr>
                  <w:r>
                    <w:rPr>
                      <w:rFonts w:hint="eastAsia"/>
                    </w:rPr>
                    <w:t>中泰证券</w:t>
                  </w:r>
                </w:p>
              </w:tc>
            </w:tr>
            <w:tr w:rsidR="00A352FE" w14:paraId="7D4FBC86" w14:textId="77777777" w:rsidTr="00E52C52">
              <w:trPr>
                <w:jc w:val="center"/>
              </w:trPr>
              <w:tc>
                <w:tcPr>
                  <w:tcW w:w="1682" w:type="dxa"/>
                  <w:vAlign w:val="center"/>
                </w:tcPr>
                <w:p w14:paraId="0F5CB0E6" w14:textId="3D05E58F" w:rsidR="00A352FE" w:rsidRDefault="00A352FE" w:rsidP="00A352FE">
                  <w:pPr>
                    <w:jc w:val="center"/>
                  </w:pPr>
                  <w:r w:rsidRPr="00B80CE5">
                    <w:rPr>
                      <w:rFonts w:hint="eastAsia"/>
                    </w:rPr>
                    <w:t>光大保德信</w:t>
                  </w:r>
                </w:p>
              </w:tc>
              <w:tc>
                <w:tcPr>
                  <w:tcW w:w="1682" w:type="dxa"/>
                  <w:vAlign w:val="center"/>
                </w:tcPr>
                <w:p w14:paraId="71FB12DC" w14:textId="26448321" w:rsidR="00A352FE" w:rsidRDefault="00A352FE" w:rsidP="00A352FE">
                  <w:pPr>
                    <w:jc w:val="center"/>
                  </w:pPr>
                  <w:r w:rsidRPr="00B80CE5">
                    <w:rPr>
                      <w:rFonts w:hint="eastAsia"/>
                    </w:rPr>
                    <w:t>聚鸣投资</w:t>
                  </w:r>
                </w:p>
              </w:tc>
              <w:tc>
                <w:tcPr>
                  <w:tcW w:w="1682" w:type="dxa"/>
                  <w:vAlign w:val="center"/>
                </w:tcPr>
                <w:p w14:paraId="480F81AD" w14:textId="2D675D36" w:rsidR="00A352FE" w:rsidRDefault="00A352FE" w:rsidP="00A352FE">
                  <w:pPr>
                    <w:jc w:val="center"/>
                  </w:pPr>
                  <w:r w:rsidRPr="00B80CE5">
                    <w:rPr>
                      <w:rFonts w:hint="eastAsia"/>
                    </w:rPr>
                    <w:t>信达澳亚</w:t>
                  </w:r>
                </w:p>
              </w:tc>
              <w:tc>
                <w:tcPr>
                  <w:tcW w:w="1682" w:type="dxa"/>
                  <w:vAlign w:val="center"/>
                </w:tcPr>
                <w:p w14:paraId="15EE9827" w14:textId="61D6DE3A" w:rsidR="00A352FE" w:rsidRDefault="00A352FE" w:rsidP="00A352FE">
                  <w:pPr>
                    <w:jc w:val="center"/>
                  </w:pPr>
                  <w:r w:rsidRPr="00B80CE5">
                    <w:rPr>
                      <w:rFonts w:hint="eastAsia"/>
                    </w:rPr>
                    <w:t>中信建投</w:t>
                  </w:r>
                </w:p>
              </w:tc>
            </w:tr>
            <w:tr w:rsidR="00A352FE" w14:paraId="66A726BD" w14:textId="77777777" w:rsidTr="00E52C52">
              <w:trPr>
                <w:jc w:val="center"/>
              </w:trPr>
              <w:tc>
                <w:tcPr>
                  <w:tcW w:w="1682" w:type="dxa"/>
                  <w:vAlign w:val="center"/>
                </w:tcPr>
                <w:p w14:paraId="77004EE5" w14:textId="6182A387" w:rsidR="00A352FE" w:rsidRDefault="00A352FE" w:rsidP="00A352FE">
                  <w:pPr>
                    <w:jc w:val="center"/>
                  </w:pPr>
                  <w:r w:rsidRPr="00B80CE5">
                    <w:rPr>
                      <w:rFonts w:hint="eastAsia"/>
                    </w:rPr>
                    <w:t>光证资管</w:t>
                  </w:r>
                </w:p>
              </w:tc>
              <w:tc>
                <w:tcPr>
                  <w:tcW w:w="1682" w:type="dxa"/>
                  <w:vAlign w:val="center"/>
                </w:tcPr>
                <w:p w14:paraId="61DFAEE3" w14:textId="6BC84AAE" w:rsidR="00A352FE" w:rsidRDefault="00A352FE" w:rsidP="00A352FE">
                  <w:pPr>
                    <w:jc w:val="center"/>
                  </w:pPr>
                  <w:r w:rsidRPr="00B80CE5">
                    <w:rPr>
                      <w:rFonts w:hint="eastAsia"/>
                    </w:rPr>
                    <w:t>平安基金</w:t>
                  </w:r>
                </w:p>
              </w:tc>
              <w:tc>
                <w:tcPr>
                  <w:tcW w:w="1682" w:type="dxa"/>
                  <w:vAlign w:val="center"/>
                </w:tcPr>
                <w:p w14:paraId="5D451281" w14:textId="7DE5F0D7" w:rsidR="00A352FE" w:rsidRDefault="00A352FE" w:rsidP="00A352FE">
                  <w:pPr>
                    <w:jc w:val="center"/>
                  </w:pPr>
                  <w:r w:rsidRPr="00B80CE5">
                    <w:rPr>
                      <w:rFonts w:hint="eastAsia"/>
                    </w:rPr>
                    <w:t>兴业基金</w:t>
                  </w:r>
                </w:p>
              </w:tc>
              <w:tc>
                <w:tcPr>
                  <w:tcW w:w="1682" w:type="dxa"/>
                  <w:vAlign w:val="center"/>
                </w:tcPr>
                <w:p w14:paraId="3DE3C91D" w14:textId="3F2991FE" w:rsidR="00A352FE" w:rsidRDefault="00A352FE" w:rsidP="00A352FE">
                  <w:pPr>
                    <w:jc w:val="center"/>
                  </w:pPr>
                  <w:r w:rsidRPr="00B80CE5">
                    <w:rPr>
                      <w:rFonts w:hint="eastAsia"/>
                    </w:rPr>
                    <w:t>中信证券</w:t>
                  </w:r>
                </w:p>
              </w:tc>
            </w:tr>
            <w:tr w:rsidR="00A352FE" w14:paraId="6D6C7364" w14:textId="77777777" w:rsidTr="00E52C52">
              <w:trPr>
                <w:jc w:val="center"/>
              </w:trPr>
              <w:tc>
                <w:tcPr>
                  <w:tcW w:w="1682" w:type="dxa"/>
                  <w:vAlign w:val="center"/>
                </w:tcPr>
                <w:p w14:paraId="35860C42" w14:textId="5AE60396" w:rsidR="00A352FE" w:rsidRDefault="00A352FE" w:rsidP="00A352FE">
                  <w:pPr>
                    <w:jc w:val="center"/>
                  </w:pPr>
                  <w:r w:rsidRPr="00B80CE5">
                    <w:rPr>
                      <w:rFonts w:hint="eastAsia"/>
                    </w:rPr>
                    <w:t>国金证券</w:t>
                  </w:r>
                </w:p>
              </w:tc>
              <w:tc>
                <w:tcPr>
                  <w:tcW w:w="1682" w:type="dxa"/>
                  <w:vAlign w:val="center"/>
                </w:tcPr>
                <w:p w14:paraId="72911385" w14:textId="45246E07" w:rsidR="00A352FE" w:rsidRDefault="00A352FE" w:rsidP="00A352FE">
                  <w:pPr>
                    <w:jc w:val="center"/>
                  </w:pPr>
                  <w:r w:rsidRPr="00B80CE5">
                    <w:rPr>
                      <w:rFonts w:hint="eastAsia"/>
                    </w:rPr>
                    <w:t>平安证券</w:t>
                  </w:r>
                </w:p>
              </w:tc>
              <w:tc>
                <w:tcPr>
                  <w:tcW w:w="1682" w:type="dxa"/>
                  <w:vAlign w:val="center"/>
                </w:tcPr>
                <w:p w14:paraId="42A6C376" w14:textId="219DE8E6" w:rsidR="00A352FE" w:rsidRDefault="00A352FE" w:rsidP="00A352FE">
                  <w:pPr>
                    <w:jc w:val="center"/>
                  </w:pPr>
                  <w:r w:rsidRPr="00B80CE5">
                    <w:rPr>
                      <w:rFonts w:hint="eastAsia"/>
                    </w:rPr>
                    <w:t>兴业证券</w:t>
                  </w:r>
                </w:p>
              </w:tc>
              <w:tc>
                <w:tcPr>
                  <w:tcW w:w="1682" w:type="dxa"/>
                  <w:vAlign w:val="center"/>
                </w:tcPr>
                <w:p w14:paraId="12A5604F" w14:textId="38D28581" w:rsidR="00A352FE" w:rsidRDefault="00A352FE" w:rsidP="00A352FE">
                  <w:pPr>
                    <w:jc w:val="center"/>
                  </w:pPr>
                  <w:r w:rsidRPr="00B80CE5">
                    <w:rPr>
                      <w:rFonts w:hint="eastAsia"/>
                    </w:rPr>
                    <w:t>中信资管</w:t>
                  </w:r>
                </w:p>
              </w:tc>
            </w:tr>
            <w:tr w:rsidR="00E52C52" w14:paraId="5F6D4317" w14:textId="77777777" w:rsidTr="00E52C52">
              <w:trPr>
                <w:jc w:val="center"/>
              </w:trPr>
              <w:tc>
                <w:tcPr>
                  <w:tcW w:w="1682" w:type="dxa"/>
                  <w:vAlign w:val="center"/>
                </w:tcPr>
                <w:p w14:paraId="38C326C5" w14:textId="41FC77AD" w:rsidR="00E52C52" w:rsidRDefault="00E52C52" w:rsidP="00E52C52">
                  <w:pPr>
                    <w:jc w:val="center"/>
                  </w:pPr>
                  <w:r w:rsidRPr="00B80CE5">
                    <w:rPr>
                      <w:rFonts w:hint="eastAsia"/>
                    </w:rPr>
                    <w:t>国君资管</w:t>
                  </w:r>
                </w:p>
              </w:tc>
              <w:tc>
                <w:tcPr>
                  <w:tcW w:w="1682" w:type="dxa"/>
                  <w:vAlign w:val="center"/>
                </w:tcPr>
                <w:p w14:paraId="31B32F0E" w14:textId="0D880390" w:rsidR="00E52C52" w:rsidRDefault="00E52C52" w:rsidP="00E52C52">
                  <w:pPr>
                    <w:jc w:val="center"/>
                  </w:pPr>
                  <w:r w:rsidRPr="00B80CE5">
                    <w:rPr>
                      <w:rFonts w:hint="eastAsia"/>
                    </w:rPr>
                    <w:t>前海人寿</w:t>
                  </w:r>
                </w:p>
              </w:tc>
              <w:tc>
                <w:tcPr>
                  <w:tcW w:w="1682" w:type="dxa"/>
                  <w:vAlign w:val="center"/>
                </w:tcPr>
                <w:p w14:paraId="4220FD9C" w14:textId="35FD6B61" w:rsidR="00E52C52" w:rsidRDefault="00E52C52" w:rsidP="00E52C52">
                  <w:pPr>
                    <w:jc w:val="center"/>
                  </w:pPr>
                  <w:r w:rsidRPr="00B80CE5">
                    <w:rPr>
                      <w:rFonts w:hint="eastAsia"/>
                    </w:rPr>
                    <w:t>英大保险</w:t>
                  </w:r>
                </w:p>
              </w:tc>
              <w:tc>
                <w:tcPr>
                  <w:tcW w:w="1682" w:type="dxa"/>
                  <w:vAlign w:val="center"/>
                </w:tcPr>
                <w:p w14:paraId="06AE1521" w14:textId="77777777" w:rsidR="00E52C52" w:rsidRDefault="00E52C52" w:rsidP="00E52C52">
                  <w:pPr>
                    <w:jc w:val="center"/>
                  </w:pPr>
                </w:p>
              </w:tc>
            </w:tr>
            <w:tr w:rsidR="00E52C52" w14:paraId="32879034" w14:textId="77777777" w:rsidTr="00E52C52">
              <w:trPr>
                <w:jc w:val="center"/>
              </w:trPr>
              <w:tc>
                <w:tcPr>
                  <w:tcW w:w="1682" w:type="dxa"/>
                  <w:vAlign w:val="center"/>
                </w:tcPr>
                <w:p w14:paraId="1AFE2C41" w14:textId="560D2754" w:rsidR="00E52C52" w:rsidRDefault="00E52C52" w:rsidP="00E52C52">
                  <w:pPr>
                    <w:jc w:val="center"/>
                  </w:pPr>
                  <w:r w:rsidRPr="00B80CE5">
                    <w:rPr>
                      <w:rFonts w:hint="eastAsia"/>
                    </w:rPr>
                    <w:t>国联基金</w:t>
                  </w:r>
                </w:p>
              </w:tc>
              <w:tc>
                <w:tcPr>
                  <w:tcW w:w="1682" w:type="dxa"/>
                  <w:vAlign w:val="center"/>
                </w:tcPr>
                <w:p w14:paraId="23F47136" w14:textId="51AA991B" w:rsidR="00E52C52" w:rsidRDefault="00E52C52" w:rsidP="00E52C52">
                  <w:pPr>
                    <w:jc w:val="center"/>
                  </w:pPr>
                  <w:r w:rsidRPr="00B80CE5">
                    <w:rPr>
                      <w:rFonts w:hint="eastAsia"/>
                    </w:rPr>
                    <w:t>泉果基金</w:t>
                  </w:r>
                </w:p>
              </w:tc>
              <w:tc>
                <w:tcPr>
                  <w:tcW w:w="1682" w:type="dxa"/>
                  <w:vAlign w:val="center"/>
                </w:tcPr>
                <w:p w14:paraId="73A7F5E9" w14:textId="18C0879D" w:rsidR="00E52C52" w:rsidRDefault="00E52C52" w:rsidP="00E52C52">
                  <w:pPr>
                    <w:jc w:val="center"/>
                  </w:pPr>
                  <w:r w:rsidRPr="00B80CE5">
                    <w:rPr>
                      <w:rFonts w:hint="eastAsia"/>
                    </w:rPr>
                    <w:t>友邦保险</w:t>
                  </w:r>
                </w:p>
              </w:tc>
              <w:tc>
                <w:tcPr>
                  <w:tcW w:w="1682" w:type="dxa"/>
                  <w:vAlign w:val="center"/>
                </w:tcPr>
                <w:p w14:paraId="0D91EEEC" w14:textId="77777777" w:rsidR="00E52C52" w:rsidRDefault="00E52C52" w:rsidP="00E52C52">
                  <w:pPr>
                    <w:jc w:val="center"/>
                  </w:pPr>
                </w:p>
              </w:tc>
            </w:tr>
          </w:tbl>
          <w:p w14:paraId="51197BE9" w14:textId="34EAAF31" w:rsidR="00CB1AAC" w:rsidRDefault="00CB1AAC"/>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1271"/>
              <w:gridCol w:w="1559"/>
              <w:gridCol w:w="1036"/>
            </w:tblGrid>
            <w:tr w:rsidR="00CB1AAC" w:rsidRPr="00510388" w14:paraId="3DE2C9F1" w14:textId="77777777" w:rsidTr="002842E1">
              <w:trPr>
                <w:jc w:val="center"/>
              </w:trPr>
              <w:tc>
                <w:tcPr>
                  <w:tcW w:w="2305" w:type="dxa"/>
                </w:tcPr>
                <w:p w14:paraId="0244966D" w14:textId="77777777" w:rsidR="00CB1AAC" w:rsidRPr="00510388" w:rsidRDefault="00CB1AAC" w:rsidP="00CB1AAC">
                  <w:pPr>
                    <w:spacing w:line="276" w:lineRule="auto"/>
                    <w:jc w:val="left"/>
                    <w:rPr>
                      <w:rFonts w:asciiTheme="minorEastAsia" w:hAnsiTheme="minorEastAsia"/>
                      <w:sz w:val="22"/>
                    </w:rPr>
                  </w:pPr>
                  <w:r>
                    <w:rPr>
                      <w:rFonts w:asciiTheme="minorEastAsia" w:hAnsiTheme="minorEastAsia" w:hint="eastAsia"/>
                      <w:sz w:val="22"/>
                    </w:rPr>
                    <w:t>东方财富</w:t>
                  </w:r>
                </w:p>
              </w:tc>
              <w:tc>
                <w:tcPr>
                  <w:tcW w:w="1271" w:type="dxa"/>
                </w:tcPr>
                <w:p w14:paraId="1C4B735F" w14:textId="77777777" w:rsidR="00CB1AAC" w:rsidRPr="00510388" w:rsidRDefault="00CB1AAC" w:rsidP="00CB1AAC">
                  <w:pPr>
                    <w:spacing w:line="276" w:lineRule="auto"/>
                    <w:jc w:val="left"/>
                    <w:rPr>
                      <w:rFonts w:asciiTheme="minorEastAsia" w:hAnsiTheme="minorEastAsia"/>
                      <w:sz w:val="22"/>
                    </w:rPr>
                  </w:pPr>
                  <w:r>
                    <w:rPr>
                      <w:rFonts w:asciiTheme="minorEastAsia" w:hAnsiTheme="minorEastAsia" w:hint="eastAsia"/>
                      <w:sz w:val="22"/>
                    </w:rPr>
                    <w:t>蔡小兵</w:t>
                  </w:r>
                </w:p>
              </w:tc>
              <w:tc>
                <w:tcPr>
                  <w:tcW w:w="1559" w:type="dxa"/>
                </w:tcPr>
                <w:p w14:paraId="1595B798" w14:textId="77777777" w:rsidR="00CB1AAC" w:rsidRPr="00510388" w:rsidRDefault="00CB1AAC" w:rsidP="00CB1AAC">
                  <w:pPr>
                    <w:spacing w:line="276" w:lineRule="auto"/>
                    <w:jc w:val="left"/>
                    <w:rPr>
                      <w:rFonts w:asciiTheme="minorEastAsia" w:hAnsiTheme="minorEastAsia"/>
                      <w:sz w:val="22"/>
                    </w:rPr>
                  </w:pPr>
                  <w:r>
                    <w:rPr>
                      <w:rFonts w:asciiTheme="minorEastAsia" w:hAnsiTheme="minorEastAsia" w:hint="eastAsia"/>
                      <w:sz w:val="22"/>
                    </w:rPr>
                    <w:t>陈少敏</w:t>
                  </w:r>
                </w:p>
              </w:tc>
              <w:tc>
                <w:tcPr>
                  <w:tcW w:w="1036" w:type="dxa"/>
                </w:tcPr>
                <w:p w14:paraId="2BB0EF8D" w14:textId="77777777" w:rsidR="00CB1AAC" w:rsidRPr="00510388" w:rsidRDefault="00CB1AAC" w:rsidP="00CB1AAC">
                  <w:pPr>
                    <w:spacing w:line="276" w:lineRule="auto"/>
                    <w:jc w:val="left"/>
                    <w:rPr>
                      <w:rFonts w:asciiTheme="minorEastAsia" w:hAnsiTheme="minorEastAsia"/>
                      <w:sz w:val="22"/>
                    </w:rPr>
                  </w:pPr>
                </w:p>
              </w:tc>
            </w:tr>
            <w:tr w:rsidR="00CB1AAC" w:rsidRPr="00510388" w14:paraId="489019F6" w14:textId="77777777" w:rsidTr="002842E1">
              <w:trPr>
                <w:jc w:val="center"/>
              </w:trPr>
              <w:tc>
                <w:tcPr>
                  <w:tcW w:w="2305" w:type="dxa"/>
                </w:tcPr>
                <w:p w14:paraId="4069F499" w14:textId="77777777" w:rsidR="00CB1AAC" w:rsidRDefault="00CB1AAC" w:rsidP="00CB1AAC">
                  <w:pPr>
                    <w:spacing w:line="276" w:lineRule="auto"/>
                    <w:jc w:val="left"/>
                    <w:rPr>
                      <w:rFonts w:asciiTheme="minorEastAsia" w:hAnsiTheme="minorEastAsia"/>
                      <w:sz w:val="22"/>
                    </w:rPr>
                  </w:pPr>
                  <w:r>
                    <w:rPr>
                      <w:rFonts w:asciiTheme="minorEastAsia" w:hAnsiTheme="minorEastAsia" w:hint="eastAsia"/>
                      <w:sz w:val="22"/>
                    </w:rPr>
                    <w:t>珠海市上市公司协会</w:t>
                  </w:r>
                </w:p>
              </w:tc>
              <w:tc>
                <w:tcPr>
                  <w:tcW w:w="1271" w:type="dxa"/>
                </w:tcPr>
                <w:p w14:paraId="3BD96773" w14:textId="77777777" w:rsidR="00CB1AAC" w:rsidRPr="00510388"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黄华敏</w:t>
                  </w:r>
                </w:p>
              </w:tc>
              <w:tc>
                <w:tcPr>
                  <w:tcW w:w="1559" w:type="dxa"/>
                </w:tcPr>
                <w:p w14:paraId="1E6286C3" w14:textId="77777777" w:rsidR="00CB1AAC" w:rsidRPr="00510388"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罗国政</w:t>
                  </w:r>
                </w:p>
              </w:tc>
              <w:tc>
                <w:tcPr>
                  <w:tcW w:w="1036" w:type="dxa"/>
                </w:tcPr>
                <w:p w14:paraId="44D8B477" w14:textId="77777777" w:rsidR="00CB1AAC" w:rsidRDefault="00CB1AAC" w:rsidP="00CB1AAC">
                  <w:pPr>
                    <w:spacing w:line="276" w:lineRule="auto"/>
                    <w:jc w:val="left"/>
                    <w:rPr>
                      <w:rFonts w:ascii="宋体" w:eastAsia="宋体" w:hAnsi="宋体" w:cs="宋体"/>
                      <w:color w:val="000000"/>
                      <w:kern w:val="0"/>
                      <w:sz w:val="22"/>
                    </w:rPr>
                  </w:pPr>
                </w:p>
              </w:tc>
            </w:tr>
            <w:tr w:rsidR="00CB1AAC" w:rsidRPr="00510388" w14:paraId="65BAE00F" w14:textId="77777777" w:rsidTr="002842E1">
              <w:trPr>
                <w:jc w:val="center"/>
              </w:trPr>
              <w:tc>
                <w:tcPr>
                  <w:tcW w:w="2305" w:type="dxa"/>
                </w:tcPr>
                <w:p w14:paraId="5B40DF50" w14:textId="77777777" w:rsidR="00CB1AAC" w:rsidRDefault="00CB1AAC" w:rsidP="00CB1AAC">
                  <w:pPr>
                    <w:spacing w:line="276" w:lineRule="auto"/>
                    <w:jc w:val="left"/>
                    <w:rPr>
                      <w:rFonts w:asciiTheme="minorEastAsia" w:hAnsiTheme="minorEastAsia"/>
                      <w:sz w:val="22"/>
                    </w:rPr>
                  </w:pPr>
                  <w:r w:rsidRPr="0003449F">
                    <w:rPr>
                      <w:rFonts w:asciiTheme="minorEastAsia" w:hAnsiTheme="minorEastAsia" w:hint="eastAsia"/>
                      <w:sz w:val="22"/>
                    </w:rPr>
                    <w:t>珠海聚隆</w:t>
                  </w:r>
                </w:p>
              </w:tc>
              <w:tc>
                <w:tcPr>
                  <w:tcW w:w="1271" w:type="dxa"/>
                </w:tcPr>
                <w:p w14:paraId="62C3DDF2" w14:textId="77777777" w:rsidR="00CB1AAC"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杨杰</w:t>
                  </w:r>
                </w:p>
              </w:tc>
              <w:tc>
                <w:tcPr>
                  <w:tcW w:w="1559" w:type="dxa"/>
                </w:tcPr>
                <w:p w14:paraId="0F267D9C" w14:textId="77777777" w:rsidR="00CB1AAC"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珠海聚亿</w:t>
                  </w:r>
                </w:p>
              </w:tc>
              <w:tc>
                <w:tcPr>
                  <w:tcW w:w="1036" w:type="dxa"/>
                </w:tcPr>
                <w:p w14:paraId="52AD8457" w14:textId="77777777" w:rsidR="00CB1AAC"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张雷</w:t>
                  </w:r>
                </w:p>
              </w:tc>
            </w:tr>
            <w:tr w:rsidR="00CB1AAC" w:rsidRPr="00510388" w14:paraId="31628825" w14:textId="77777777" w:rsidTr="002842E1">
              <w:trPr>
                <w:gridAfter w:val="2"/>
                <w:wAfter w:w="2595" w:type="dxa"/>
                <w:jc w:val="center"/>
              </w:trPr>
              <w:tc>
                <w:tcPr>
                  <w:tcW w:w="2305" w:type="dxa"/>
                </w:tcPr>
                <w:p w14:paraId="4D329337" w14:textId="77777777" w:rsidR="00CB1AAC" w:rsidRPr="0003449F" w:rsidRDefault="00CB1AAC" w:rsidP="00CB1AAC">
                  <w:pPr>
                    <w:spacing w:line="276" w:lineRule="auto"/>
                    <w:jc w:val="left"/>
                    <w:rPr>
                      <w:rFonts w:asciiTheme="minorEastAsia" w:hAnsiTheme="minorEastAsia"/>
                      <w:sz w:val="22"/>
                    </w:rPr>
                  </w:pPr>
                  <w:r>
                    <w:rPr>
                      <w:rFonts w:asciiTheme="minorEastAsia" w:hAnsiTheme="minorEastAsia" w:hint="eastAsia"/>
                      <w:sz w:val="22"/>
                    </w:rPr>
                    <w:t>前海德毅</w:t>
                  </w:r>
                </w:p>
              </w:tc>
              <w:tc>
                <w:tcPr>
                  <w:tcW w:w="1271" w:type="dxa"/>
                </w:tcPr>
                <w:p w14:paraId="284670CF" w14:textId="77777777" w:rsidR="00CB1AAC" w:rsidRDefault="00CB1AAC" w:rsidP="00CB1AAC">
                  <w:pPr>
                    <w:spacing w:line="276" w:lineRule="auto"/>
                    <w:jc w:val="left"/>
                    <w:rPr>
                      <w:rFonts w:ascii="宋体" w:eastAsia="宋体" w:hAnsi="宋体" w:cs="宋体"/>
                      <w:color w:val="000000"/>
                      <w:kern w:val="0"/>
                      <w:sz w:val="22"/>
                    </w:rPr>
                  </w:pPr>
                  <w:r>
                    <w:rPr>
                      <w:rFonts w:ascii="宋体" w:eastAsia="宋体" w:hAnsi="宋体" w:cs="宋体" w:hint="eastAsia"/>
                      <w:color w:val="000000"/>
                      <w:kern w:val="0"/>
                      <w:sz w:val="22"/>
                    </w:rPr>
                    <w:t>陈升</w:t>
                  </w:r>
                </w:p>
              </w:tc>
            </w:tr>
          </w:tbl>
          <w:p w14:paraId="2C0DD034" w14:textId="77777777" w:rsidR="00CB1AAC" w:rsidRPr="00510388" w:rsidRDefault="00CB1AAC" w:rsidP="00CB1AAC">
            <w:pPr>
              <w:spacing w:line="276" w:lineRule="auto"/>
              <w:jc w:val="left"/>
              <w:rPr>
                <w:rFonts w:asciiTheme="minorEastAsia" w:hAnsiTheme="minorEastAsia"/>
                <w:sz w:val="22"/>
              </w:rPr>
            </w:pPr>
            <w:r w:rsidRPr="00510388">
              <w:rPr>
                <w:rFonts w:asciiTheme="minorEastAsia" w:hAnsiTheme="minorEastAsia" w:hint="eastAsia"/>
                <w:sz w:val="22"/>
              </w:rPr>
              <w:t>个人投资者</w:t>
            </w:r>
          </w:p>
          <w:tbl>
            <w:tblPr>
              <w:tblW w:w="4605" w:type="dxa"/>
              <w:jc w:val="center"/>
              <w:tblLook w:val="04A0" w:firstRow="1" w:lastRow="0" w:firstColumn="1" w:lastColumn="0" w:noHBand="0" w:noVBand="1"/>
            </w:tblPr>
            <w:tblGrid>
              <w:gridCol w:w="1495"/>
              <w:gridCol w:w="1555"/>
              <w:gridCol w:w="1555"/>
            </w:tblGrid>
            <w:tr w:rsidR="00CB1AAC" w:rsidRPr="00510388" w14:paraId="34B1ADF2" w14:textId="77777777" w:rsidTr="00DF3480">
              <w:trPr>
                <w:trHeight w:val="297"/>
                <w:jc w:val="center"/>
              </w:trPr>
              <w:tc>
                <w:tcPr>
                  <w:tcW w:w="1495" w:type="dxa"/>
                  <w:tcBorders>
                    <w:top w:val="nil"/>
                    <w:left w:val="nil"/>
                    <w:bottom w:val="nil"/>
                    <w:right w:val="nil"/>
                  </w:tcBorders>
                  <w:shd w:val="clear" w:color="auto" w:fill="auto"/>
                  <w:noWrap/>
                  <w:vAlign w:val="bottom"/>
                  <w:hideMark/>
                </w:tcPr>
                <w:p w14:paraId="28F92FC9"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覃思睿</w:t>
                  </w:r>
                </w:p>
              </w:tc>
              <w:tc>
                <w:tcPr>
                  <w:tcW w:w="1555" w:type="dxa"/>
                  <w:tcBorders>
                    <w:top w:val="nil"/>
                    <w:left w:val="nil"/>
                    <w:bottom w:val="nil"/>
                    <w:right w:val="nil"/>
                  </w:tcBorders>
                  <w:shd w:val="clear" w:color="auto" w:fill="auto"/>
                  <w:noWrap/>
                  <w:vAlign w:val="bottom"/>
                  <w:hideMark/>
                </w:tcPr>
                <w:p w14:paraId="7AAB0423" w14:textId="77777777" w:rsidR="00CB1AAC" w:rsidRPr="0003449F" w:rsidRDefault="00CB1AAC" w:rsidP="00CB1AAC">
                  <w:pPr>
                    <w:widowControl/>
                    <w:jc w:val="left"/>
                    <w:rPr>
                      <w:rFonts w:ascii="宋体" w:eastAsia="宋体" w:hAnsi="宋体" w:cs="宋体"/>
                      <w:kern w:val="0"/>
                      <w:sz w:val="24"/>
                      <w:szCs w:val="24"/>
                    </w:rPr>
                  </w:pPr>
                  <w:r w:rsidRPr="0003449F">
                    <w:rPr>
                      <w:rFonts w:ascii="宋体" w:eastAsia="宋体" w:hAnsi="宋体" w:cs="宋体" w:hint="eastAsia"/>
                      <w:color w:val="000000"/>
                      <w:kern w:val="0"/>
                      <w:sz w:val="22"/>
                    </w:rPr>
                    <w:t>黄军</w:t>
                  </w:r>
                </w:p>
              </w:tc>
              <w:tc>
                <w:tcPr>
                  <w:tcW w:w="1555" w:type="dxa"/>
                  <w:tcBorders>
                    <w:top w:val="nil"/>
                    <w:left w:val="nil"/>
                    <w:bottom w:val="nil"/>
                    <w:right w:val="nil"/>
                  </w:tcBorders>
                  <w:shd w:val="clear" w:color="auto" w:fill="auto"/>
                  <w:noWrap/>
                  <w:vAlign w:val="bottom"/>
                  <w:hideMark/>
                </w:tcPr>
                <w:p w14:paraId="0DCAB5EB"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汪涌</w:t>
                  </w:r>
                </w:p>
              </w:tc>
            </w:tr>
            <w:tr w:rsidR="00CB1AAC" w:rsidRPr="00510388" w14:paraId="1ABD7831" w14:textId="77777777" w:rsidTr="00DF3480">
              <w:trPr>
                <w:trHeight w:val="297"/>
                <w:jc w:val="center"/>
              </w:trPr>
              <w:tc>
                <w:tcPr>
                  <w:tcW w:w="1495" w:type="dxa"/>
                  <w:tcBorders>
                    <w:top w:val="nil"/>
                    <w:left w:val="nil"/>
                    <w:bottom w:val="nil"/>
                    <w:right w:val="nil"/>
                  </w:tcBorders>
                  <w:shd w:val="clear" w:color="auto" w:fill="auto"/>
                  <w:noWrap/>
                  <w:vAlign w:val="bottom"/>
                  <w:hideMark/>
                </w:tcPr>
                <w:p w14:paraId="1F6AF1E3"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肖梅生</w:t>
                  </w:r>
                </w:p>
              </w:tc>
              <w:tc>
                <w:tcPr>
                  <w:tcW w:w="1555" w:type="dxa"/>
                  <w:tcBorders>
                    <w:top w:val="nil"/>
                    <w:left w:val="nil"/>
                    <w:bottom w:val="nil"/>
                    <w:right w:val="nil"/>
                  </w:tcBorders>
                  <w:shd w:val="clear" w:color="auto" w:fill="auto"/>
                  <w:noWrap/>
                  <w:vAlign w:val="bottom"/>
                  <w:hideMark/>
                </w:tcPr>
                <w:p w14:paraId="64CE4430"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张炳金</w:t>
                  </w:r>
                </w:p>
              </w:tc>
              <w:tc>
                <w:tcPr>
                  <w:tcW w:w="1555" w:type="dxa"/>
                  <w:tcBorders>
                    <w:top w:val="nil"/>
                    <w:left w:val="nil"/>
                    <w:bottom w:val="nil"/>
                    <w:right w:val="nil"/>
                  </w:tcBorders>
                  <w:shd w:val="clear" w:color="auto" w:fill="auto"/>
                  <w:noWrap/>
                  <w:vAlign w:val="bottom"/>
                  <w:hideMark/>
                </w:tcPr>
                <w:p w14:paraId="581AE484"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周敏燕</w:t>
                  </w:r>
                </w:p>
              </w:tc>
            </w:tr>
            <w:tr w:rsidR="00CB1AAC" w:rsidRPr="00510388" w14:paraId="2A63F21C" w14:textId="77777777" w:rsidTr="00DF3480">
              <w:trPr>
                <w:trHeight w:val="297"/>
                <w:jc w:val="center"/>
              </w:trPr>
              <w:tc>
                <w:tcPr>
                  <w:tcW w:w="1495" w:type="dxa"/>
                  <w:tcBorders>
                    <w:top w:val="nil"/>
                    <w:left w:val="nil"/>
                    <w:bottom w:val="nil"/>
                    <w:right w:val="nil"/>
                  </w:tcBorders>
                  <w:shd w:val="clear" w:color="auto" w:fill="auto"/>
                  <w:noWrap/>
                  <w:vAlign w:val="bottom"/>
                  <w:hideMark/>
                </w:tcPr>
                <w:p w14:paraId="71B8BA47"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郭康瑞</w:t>
                  </w:r>
                </w:p>
              </w:tc>
              <w:tc>
                <w:tcPr>
                  <w:tcW w:w="1555" w:type="dxa"/>
                  <w:tcBorders>
                    <w:top w:val="nil"/>
                    <w:left w:val="nil"/>
                    <w:bottom w:val="nil"/>
                    <w:right w:val="nil"/>
                  </w:tcBorders>
                  <w:shd w:val="clear" w:color="auto" w:fill="auto"/>
                  <w:noWrap/>
                  <w:vAlign w:val="bottom"/>
                  <w:hideMark/>
                </w:tcPr>
                <w:p w14:paraId="56CF24C3"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罗智海</w:t>
                  </w:r>
                </w:p>
              </w:tc>
              <w:tc>
                <w:tcPr>
                  <w:tcW w:w="1555" w:type="dxa"/>
                  <w:tcBorders>
                    <w:top w:val="nil"/>
                    <w:left w:val="nil"/>
                    <w:bottom w:val="nil"/>
                    <w:right w:val="nil"/>
                  </w:tcBorders>
                  <w:shd w:val="clear" w:color="auto" w:fill="auto"/>
                  <w:noWrap/>
                  <w:vAlign w:val="bottom"/>
                  <w:hideMark/>
                </w:tcPr>
                <w:p w14:paraId="63C22720" w14:textId="77777777" w:rsidR="00CB1AAC" w:rsidRPr="00510388" w:rsidRDefault="00CB1AAC" w:rsidP="00CB1AAC">
                  <w:pPr>
                    <w:widowControl/>
                    <w:jc w:val="left"/>
                    <w:rPr>
                      <w:rFonts w:ascii="宋体" w:eastAsia="宋体" w:hAnsi="宋体" w:cs="宋体"/>
                      <w:color w:val="000000"/>
                      <w:kern w:val="0"/>
                      <w:sz w:val="22"/>
                    </w:rPr>
                  </w:pPr>
                  <w:r w:rsidRPr="0003449F">
                    <w:rPr>
                      <w:rFonts w:ascii="宋体" w:eastAsia="宋体" w:hAnsi="宋体" w:cs="宋体" w:hint="eastAsia"/>
                      <w:color w:val="000000"/>
                      <w:kern w:val="0"/>
                      <w:sz w:val="22"/>
                    </w:rPr>
                    <w:t>黄嘉欣</w:t>
                  </w:r>
                </w:p>
              </w:tc>
            </w:tr>
            <w:tr w:rsidR="00CB1AAC" w:rsidRPr="00510388" w14:paraId="772B1D87" w14:textId="77777777" w:rsidTr="00DF3480">
              <w:trPr>
                <w:trHeight w:val="297"/>
                <w:jc w:val="center"/>
              </w:trPr>
              <w:tc>
                <w:tcPr>
                  <w:tcW w:w="1495" w:type="dxa"/>
                  <w:tcBorders>
                    <w:top w:val="nil"/>
                    <w:left w:val="nil"/>
                    <w:bottom w:val="nil"/>
                    <w:right w:val="nil"/>
                  </w:tcBorders>
                  <w:shd w:val="clear" w:color="auto" w:fill="auto"/>
                  <w:noWrap/>
                  <w:vAlign w:val="bottom"/>
                  <w:hideMark/>
                </w:tcPr>
                <w:p w14:paraId="574BDCD5"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白雪菲</w:t>
                  </w:r>
                </w:p>
              </w:tc>
              <w:tc>
                <w:tcPr>
                  <w:tcW w:w="1555" w:type="dxa"/>
                  <w:tcBorders>
                    <w:top w:val="nil"/>
                    <w:left w:val="nil"/>
                    <w:bottom w:val="nil"/>
                    <w:right w:val="nil"/>
                  </w:tcBorders>
                  <w:shd w:val="clear" w:color="auto" w:fill="auto"/>
                  <w:noWrap/>
                  <w:vAlign w:val="bottom"/>
                  <w:hideMark/>
                </w:tcPr>
                <w:p w14:paraId="1463CE38"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孙滨慧</w:t>
                  </w:r>
                </w:p>
              </w:tc>
              <w:tc>
                <w:tcPr>
                  <w:tcW w:w="1555" w:type="dxa"/>
                  <w:tcBorders>
                    <w:top w:val="nil"/>
                    <w:left w:val="nil"/>
                    <w:bottom w:val="nil"/>
                    <w:right w:val="nil"/>
                  </w:tcBorders>
                  <w:shd w:val="clear" w:color="auto" w:fill="auto"/>
                  <w:noWrap/>
                  <w:vAlign w:val="bottom"/>
                  <w:hideMark/>
                </w:tcPr>
                <w:p w14:paraId="53EAF0F7"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卢德发</w:t>
                  </w:r>
                </w:p>
              </w:tc>
            </w:tr>
            <w:tr w:rsidR="00CB1AAC" w:rsidRPr="00510388" w14:paraId="5A49BC61" w14:textId="77777777" w:rsidTr="00DF3480">
              <w:trPr>
                <w:trHeight w:val="297"/>
                <w:jc w:val="center"/>
              </w:trPr>
              <w:tc>
                <w:tcPr>
                  <w:tcW w:w="1495" w:type="dxa"/>
                  <w:tcBorders>
                    <w:top w:val="nil"/>
                    <w:left w:val="nil"/>
                    <w:bottom w:val="nil"/>
                    <w:right w:val="nil"/>
                  </w:tcBorders>
                  <w:shd w:val="clear" w:color="auto" w:fill="auto"/>
                  <w:noWrap/>
                  <w:vAlign w:val="bottom"/>
                  <w:hideMark/>
                </w:tcPr>
                <w:p w14:paraId="4C18B02A"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庄力争</w:t>
                  </w:r>
                </w:p>
              </w:tc>
              <w:tc>
                <w:tcPr>
                  <w:tcW w:w="1555" w:type="dxa"/>
                  <w:tcBorders>
                    <w:top w:val="nil"/>
                    <w:left w:val="nil"/>
                    <w:bottom w:val="nil"/>
                    <w:right w:val="nil"/>
                  </w:tcBorders>
                  <w:shd w:val="clear" w:color="auto" w:fill="auto"/>
                  <w:noWrap/>
                  <w:vAlign w:val="bottom"/>
                  <w:hideMark/>
                </w:tcPr>
                <w:p w14:paraId="6A2B194A"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谢小惠</w:t>
                  </w:r>
                </w:p>
              </w:tc>
              <w:tc>
                <w:tcPr>
                  <w:tcW w:w="1555" w:type="dxa"/>
                  <w:tcBorders>
                    <w:top w:val="nil"/>
                    <w:left w:val="nil"/>
                    <w:bottom w:val="nil"/>
                    <w:right w:val="nil"/>
                  </w:tcBorders>
                  <w:shd w:val="clear" w:color="auto" w:fill="auto"/>
                  <w:noWrap/>
                  <w:vAlign w:val="bottom"/>
                  <w:hideMark/>
                </w:tcPr>
                <w:p w14:paraId="12762A84" w14:textId="77777777" w:rsidR="00CB1AAC" w:rsidRPr="00510388" w:rsidRDefault="00CB1AAC" w:rsidP="00CB1AAC">
                  <w:pPr>
                    <w:widowControl/>
                    <w:jc w:val="left"/>
                    <w:rPr>
                      <w:rFonts w:ascii="宋体" w:eastAsia="宋体" w:hAnsi="宋体" w:cs="宋体"/>
                      <w:color w:val="000000"/>
                      <w:kern w:val="0"/>
                      <w:sz w:val="22"/>
                    </w:rPr>
                  </w:pPr>
                  <w:r w:rsidRPr="00F913DE">
                    <w:rPr>
                      <w:rFonts w:ascii="宋体" w:eastAsia="宋体" w:hAnsi="宋体" w:cs="宋体" w:hint="eastAsia"/>
                      <w:color w:val="000000"/>
                      <w:kern w:val="0"/>
                      <w:sz w:val="22"/>
                    </w:rPr>
                    <w:t>杨丰</w:t>
                  </w:r>
                </w:p>
              </w:tc>
            </w:tr>
          </w:tbl>
          <w:p w14:paraId="6FAB98B2" w14:textId="77777777" w:rsidR="00C8376D" w:rsidRPr="00660EC9" w:rsidRDefault="00C8376D" w:rsidP="00DE3705">
            <w:pPr>
              <w:spacing w:line="276" w:lineRule="auto"/>
              <w:jc w:val="center"/>
              <w:rPr>
                <w:rFonts w:asciiTheme="minorEastAsia" w:hAnsiTheme="minorEastAsia"/>
              </w:rPr>
            </w:pPr>
          </w:p>
        </w:tc>
      </w:tr>
      <w:tr w:rsidR="00A92498" w:rsidRPr="006664FF" w14:paraId="2FFBFA66" w14:textId="77777777" w:rsidTr="00564C8B">
        <w:trPr>
          <w:trHeight w:val="606"/>
          <w:jc w:val="center"/>
        </w:trPr>
        <w:tc>
          <w:tcPr>
            <w:tcW w:w="1413"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954" w:type="dxa"/>
            <w:shd w:val="clear" w:color="auto" w:fill="auto"/>
            <w:vAlign w:val="center"/>
          </w:tcPr>
          <w:p w14:paraId="7C67AA44" w14:textId="4A49F623" w:rsidR="00A92498" w:rsidRPr="006664FF" w:rsidRDefault="00A92498" w:rsidP="00E52C52">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Pr>
                <w:rFonts w:ascii="宋体" w:eastAsia="宋体" w:hAnsi="宋体" w:cs="Times New Roman"/>
                <w:iCs/>
                <w:color w:val="000000" w:themeColor="text1"/>
                <w:sz w:val="24"/>
                <w:szCs w:val="24"/>
              </w:rPr>
              <w:t>1</w:t>
            </w:r>
            <w:r w:rsidR="00CB1AAC">
              <w:rPr>
                <w:rFonts w:ascii="宋体" w:eastAsia="宋体" w:hAnsi="宋体" w:cs="Times New Roman"/>
                <w:iCs/>
                <w:color w:val="000000" w:themeColor="text1"/>
                <w:sz w:val="24"/>
                <w:szCs w:val="24"/>
              </w:rPr>
              <w:t>2</w:t>
            </w:r>
            <w:r>
              <w:rPr>
                <w:rFonts w:ascii="宋体" w:eastAsia="宋体" w:hAnsi="宋体" w:cs="Times New Roman" w:hint="eastAsia"/>
                <w:iCs/>
                <w:color w:val="000000" w:themeColor="text1"/>
                <w:sz w:val="24"/>
                <w:szCs w:val="24"/>
              </w:rPr>
              <w:t>日</w:t>
            </w:r>
            <w:r w:rsidR="00CB1AAC">
              <w:rPr>
                <w:rFonts w:ascii="宋体" w:eastAsia="宋体" w:hAnsi="宋体" w:cs="Times New Roman" w:hint="eastAsia"/>
                <w:iCs/>
                <w:color w:val="000000" w:themeColor="text1"/>
                <w:sz w:val="24"/>
                <w:szCs w:val="24"/>
              </w:rPr>
              <w:t>-</w:t>
            </w:r>
            <w:r w:rsidR="00CB1AAC">
              <w:rPr>
                <w:rFonts w:ascii="宋体" w:eastAsia="宋体" w:hAnsi="宋体" w:cs="Times New Roman"/>
                <w:iCs/>
                <w:color w:val="000000" w:themeColor="text1"/>
                <w:sz w:val="24"/>
                <w:szCs w:val="24"/>
              </w:rPr>
              <w:t>7</w:t>
            </w:r>
            <w:r w:rsidR="00CB1AAC">
              <w:rPr>
                <w:rFonts w:ascii="宋体" w:eastAsia="宋体" w:hAnsi="宋体" w:cs="Times New Roman" w:hint="eastAsia"/>
                <w:iCs/>
                <w:color w:val="000000" w:themeColor="text1"/>
                <w:sz w:val="24"/>
                <w:szCs w:val="24"/>
              </w:rPr>
              <w:t>月</w:t>
            </w:r>
            <w:r w:rsidR="00E52C52">
              <w:rPr>
                <w:rFonts w:ascii="宋体" w:eastAsia="宋体" w:hAnsi="宋体" w:cs="Times New Roman"/>
                <w:iCs/>
                <w:color w:val="000000" w:themeColor="text1"/>
                <w:sz w:val="24"/>
                <w:szCs w:val="24"/>
              </w:rPr>
              <w:t>17</w:t>
            </w:r>
            <w:r w:rsidR="00CB1AAC">
              <w:rPr>
                <w:rFonts w:ascii="宋体" w:eastAsia="宋体" w:hAnsi="宋体" w:cs="Times New Roman" w:hint="eastAsia"/>
                <w:iCs/>
                <w:color w:val="000000" w:themeColor="text1"/>
                <w:sz w:val="24"/>
                <w:szCs w:val="24"/>
              </w:rPr>
              <w:t>日</w:t>
            </w:r>
          </w:p>
        </w:tc>
      </w:tr>
      <w:tr w:rsidR="00A92498" w:rsidRPr="006664FF" w14:paraId="692BF872" w14:textId="77777777" w:rsidTr="00564C8B">
        <w:trPr>
          <w:trHeight w:val="271"/>
          <w:jc w:val="center"/>
        </w:trPr>
        <w:tc>
          <w:tcPr>
            <w:tcW w:w="1413"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954" w:type="dxa"/>
            <w:shd w:val="clear" w:color="auto" w:fill="auto"/>
            <w:vAlign w:val="center"/>
          </w:tcPr>
          <w:p w14:paraId="5B97C9F7" w14:textId="28DEC6F1"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p>
        </w:tc>
      </w:tr>
      <w:tr w:rsidR="00A92498" w:rsidRPr="00D65F66" w14:paraId="1B403EDA" w14:textId="77777777" w:rsidTr="00564C8B">
        <w:trPr>
          <w:trHeight w:val="505"/>
          <w:jc w:val="center"/>
        </w:trPr>
        <w:tc>
          <w:tcPr>
            <w:tcW w:w="1413"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w:t>
            </w:r>
            <w:r w:rsidRPr="006664FF">
              <w:rPr>
                <w:rFonts w:ascii="宋体" w:eastAsia="宋体" w:hAnsi="宋体" w:cs="Times New Roman" w:hint="eastAsia"/>
                <w:b/>
                <w:bCs/>
                <w:iCs/>
                <w:color w:val="000000" w:themeColor="text1"/>
                <w:sz w:val="24"/>
                <w:szCs w:val="24"/>
              </w:rPr>
              <w:lastRenderedPageBreak/>
              <w:t>姓名</w:t>
            </w:r>
          </w:p>
        </w:tc>
        <w:tc>
          <w:tcPr>
            <w:tcW w:w="6954" w:type="dxa"/>
            <w:shd w:val="clear" w:color="auto" w:fill="auto"/>
            <w:vAlign w:val="center"/>
          </w:tcPr>
          <w:p w14:paraId="042220AC" w14:textId="77777777" w:rsidR="00A92498"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lastRenderedPageBreak/>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2C4C11DF"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564C8B">
        <w:trPr>
          <w:trHeight w:val="840"/>
          <w:jc w:val="center"/>
        </w:trPr>
        <w:tc>
          <w:tcPr>
            <w:tcW w:w="1413"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投资者关系活动主要内容介绍</w:t>
            </w:r>
          </w:p>
        </w:tc>
        <w:tc>
          <w:tcPr>
            <w:tcW w:w="6954" w:type="dxa"/>
            <w:shd w:val="clear" w:color="auto" w:fill="auto"/>
          </w:tcPr>
          <w:p w14:paraId="05CE10AA"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Q1：公司一季度实现了显著的增长，请问主要原因以及上半年的经营情况如何？</w:t>
            </w:r>
          </w:p>
          <w:p w14:paraId="4D61EBB3"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公司今年一季度业绩实现显著增长，营收约1.92亿元，同比增幅62.03%；净利润约4145万元，同比增幅达385.67%。这一增长态势的形成源于内外多重积极因素的共同驱动：外部层面，受益于消费电子行业持续温和复苏的趋势，叠加国内相关消费补贴政策的拉动，为市场需求注入动力；内生层面，公司通过持续优化产品矩阵与客户结构、稳步提升在核心品牌客户中的渗透率，以及积极挖掘高增长蓝海市场等举措，不断夯实核心竞争力。从当前发展态势来看，上述增长因素对公司上半年经营的积极影响仍在持续释放，业绩增长的良好势头有望得到延续。</w:t>
            </w:r>
          </w:p>
          <w:p w14:paraId="409C16BB"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Q2：公司专注的市场以及接下来的增长动力是什么？</w:t>
            </w:r>
          </w:p>
          <w:p w14:paraId="3F20E292"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炬芯聚焦于端侧AI技术在音频领域的深度落地与创新应用。我们认为，随着AIoT生态的蓬勃发展，海量智能设备对专用AI模型的部署需求正呈爆发式增长，这其中蕴藏着不可限量的市场机遇。为精准响应这一需求，炬芯推出的新一代产品采用CPU+DSP+NPU三核异构架构。其中，作为核心AI加速引擎的NPU，采用基于SRAM的模数混合存内计算技术打造，可以在更小的面积、更低的功耗和更优的成本控制下，释放出澎湃且高效的AI算力，实现了“能效比”的跨越式提升，为端侧AI应用和公司发展注入强劲动力。据第三方专业咨询机构的权威预测，端侧AI市场正迎来黄金增长期：预计到2028年，搭载中小型模型的端侧AI设备出货量将突破40亿台，年复合增长率高达32%；而到2030年，全球75%的AIoT设备将全面采用高能效比专用硬件方案。炬芯将持续深耕端侧AI音频赛道，与客户共同把握端侧AI的增长机遇。</w:t>
            </w:r>
          </w:p>
          <w:p w14:paraId="6BA0BE53"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Q3：公司第一代三核架构的芯片产品，目前客户导入的进展如何？</w:t>
            </w:r>
          </w:p>
          <w:p w14:paraId="10B25457"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公司已正式发布最新一代基于SRAM的模数混合存内计算的端侧AI音频芯片，采用CPU+DSP+NPU三核异构架构，可在更低功耗下提供更高算力，同时兼具更低的延迟和增强的安全性，将在音频应用和端侧AI中发挥重要作用。产品共包括三个芯片系列：第一个系列是ATS323X，面向低延迟高音</w:t>
            </w:r>
            <w:r w:rsidRPr="00F03A7D">
              <w:rPr>
                <w:rFonts w:ascii="宋体" w:eastAsia="宋体" w:hAnsi="宋体" w:hint="eastAsia"/>
                <w:color w:val="000000" w:themeColor="text1"/>
              </w:rPr>
              <w:lastRenderedPageBreak/>
              <w:t>质私有无线音频领域；第二个系列是ATS286X，面向蓝牙AI音频领域；第三个系列是ATS362X，面向端侧AI处理器领域。目前,ATS323X已搭载于品牌客户无线麦克风产品中上市发售并快速放量。ATS286X、ATS362X客户产品导入持续推进中，将会有产品陆续上市销售。</w:t>
            </w:r>
          </w:p>
          <w:p w14:paraId="245A4D85"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Q4：如何展望今年新产品贡献营收的趋势，对于公司ASP拉动的影响？</w:t>
            </w:r>
          </w:p>
          <w:p w14:paraId="375CBED5" w14:textId="7E9D1212"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答：公司基于三核异构架构的芯片采用了更加先进的工艺制程和存内计算技术，相较公司现有产品可以在现有功耗水平下提供几十倍至上百倍的算力提升，而相较于市场上主流的NPU</w:t>
            </w:r>
            <w:r w:rsidR="00B27D34">
              <w:rPr>
                <w:rFonts w:ascii="宋体" w:eastAsia="宋体" w:hAnsi="宋体" w:hint="eastAsia"/>
                <w:color w:val="000000" w:themeColor="text1"/>
              </w:rPr>
              <w:t>产品能效比可以提升至少三倍</w:t>
            </w:r>
            <w:bookmarkStart w:id="0" w:name="_GoBack"/>
            <w:bookmarkEnd w:id="0"/>
            <w:r w:rsidRPr="00F03A7D">
              <w:rPr>
                <w:rFonts w:ascii="宋体" w:eastAsia="宋体" w:hAnsi="宋体" w:hint="eastAsia"/>
                <w:color w:val="000000" w:themeColor="text1"/>
              </w:rPr>
              <w:t>，相较于主流的DSP产品在功耗方面能降低接近90%，因此在价格上相较公司上代产品也会有十分明显的提升，今年新产品将对营收以及ASP持续产生正向拉动。</w:t>
            </w:r>
          </w:p>
          <w:p w14:paraId="7C11D135"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Q5：公司对于收并购的方向和规划是什么？</w:t>
            </w:r>
          </w:p>
          <w:p w14:paraId="5293EAAB"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0F9E8B40"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Q6：三核架构除了对当前的场景的应用，未来会拓展在哪些潜在的领域？</w:t>
            </w:r>
          </w:p>
          <w:p w14:paraId="5050C3A8" w14:textId="04D44876"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在基于SRAM的模数混合存内计算技术路径下的端侧AI音频芯片平台具有非常广阔的应用前景，主要可以覆盖语音与音频、视觉识别以及健康类监测等相关应用场景，并且可实现端侧AI解决方案的快速落地。公司也将积极打造AI开发生态，借助炬芯完整工具链轻松实现算法的融合，帮助客户迅速地完成产品落地，助力AIoT产品AI化的不断演进。</w:t>
            </w:r>
          </w:p>
          <w:p w14:paraId="456EE0B8"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Q7：接下来一段时间，研发投入的方向以及相关人员费用的规划是什么？</w:t>
            </w:r>
          </w:p>
          <w:p w14:paraId="49AFC0C5"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技术研发是公司业绩增长的重要驱动力，公司很高兴看到技术研发投入与营收规模提升保持着正向循环，2024年公司研发支出2.15亿元，占营收比例约33%，公司主要取得了三个方面的研发成果，第一是基于CIM技术打造了炬芯第一代三核异构架构的芯片平台，第二是发布了ANDT开发工具链，可以助力客户模型的快速部署，打造端侧AI高效开发生态环境，第</w:t>
            </w:r>
            <w:r w:rsidRPr="00F03A7D">
              <w:rPr>
                <w:rFonts w:ascii="宋体" w:eastAsia="宋体" w:hAnsi="宋体" w:hint="eastAsia"/>
                <w:color w:val="000000" w:themeColor="text1"/>
              </w:rPr>
              <w:lastRenderedPageBreak/>
              <w:t>三是持续升级拓展无线连接技术，低延迟高音质各项指标达到了业界先进水平。接下来一段时间，公司的研发投入方向也将继续围绕低功耗大算力、开发生态和无线连接三个方向拥抱端侧AI海量的芯片需求。</w:t>
            </w:r>
          </w:p>
          <w:p w14:paraId="76831BCE"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Q8：公司存算技术后续的路线迭代是什么计划？</w:t>
            </w:r>
          </w:p>
          <w:p w14:paraId="1ECEB0AA"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在存内计算（CIM）技术迭代上，包括制程节点、关键性能指标等方面，公司都有清晰的路线规划，目前已着手第二代CIM技术的相关IP研发工作，目标是将NPU单核算力提升三倍至300GOPS，并直接支持Transformer模型，将能效比提高至7.8TOPS/W@INT8。</w:t>
            </w:r>
          </w:p>
          <w:p w14:paraId="7A5C22ED"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Q9：公司产品在端侧AI落地的场景以及后续对于端侧AI市场的规划?</w:t>
            </w:r>
          </w:p>
          <w:p w14:paraId="3BB4CEA4"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公司的端侧AI处理器芯片当前优先应用在音频市场，相应的场景包括人声分离、AI智能降噪、声纹识别等，公司发挥自身的技术优势，可以为端侧产品提供低功耗下的AI算力。公司会持续打造低功耗的AI算力平台，将逐步拓展至音频之外的更多场景应用，比如运动健康方面的传感器数据AI处理应用等。</w:t>
            </w:r>
          </w:p>
          <w:p w14:paraId="22683CD3" w14:textId="77777777" w:rsidR="00F03A7D" w:rsidRPr="00F03A7D"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Q10：针对AI眼镜、智能手表等智能穿戴类芯片会有新的芯片产品推出么？</w:t>
            </w:r>
          </w:p>
          <w:p w14:paraId="180FDABA" w14:textId="13F23CED" w:rsidR="00CF7CB9" w:rsidRPr="008A26F2" w:rsidRDefault="00F03A7D" w:rsidP="00F03A7D">
            <w:pPr>
              <w:spacing w:line="360" w:lineRule="auto"/>
              <w:rPr>
                <w:rFonts w:ascii="宋体" w:eastAsia="宋体" w:hAnsi="宋体"/>
                <w:color w:val="000000" w:themeColor="text1"/>
              </w:rPr>
            </w:pPr>
            <w:r w:rsidRPr="00F03A7D">
              <w:rPr>
                <w:rFonts w:ascii="宋体" w:eastAsia="宋体" w:hAnsi="宋体" w:hint="eastAsia"/>
                <w:color w:val="000000" w:themeColor="text1"/>
              </w:rPr>
              <w:t>答：目前公司相关研发工作正在稳步推进中，新一代智能穿戴芯片将采用三核架构，搭载存内计算技术，将为下游客户提供更具竞争力的芯片平台与产品解决方案。</w:t>
            </w:r>
          </w:p>
        </w:tc>
      </w:tr>
      <w:tr w:rsidR="00EE3EEC" w:rsidRPr="008E49B3" w14:paraId="71E94F5C" w14:textId="77777777" w:rsidTr="00564C8B">
        <w:trPr>
          <w:trHeight w:val="840"/>
          <w:jc w:val="center"/>
        </w:trPr>
        <w:tc>
          <w:tcPr>
            <w:tcW w:w="1413"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954"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564C8B">
        <w:trPr>
          <w:trHeight w:val="132"/>
          <w:jc w:val="center"/>
        </w:trPr>
        <w:tc>
          <w:tcPr>
            <w:tcW w:w="1413"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954"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564C8B">
        <w:trPr>
          <w:trHeight w:val="399"/>
          <w:jc w:val="center"/>
        </w:trPr>
        <w:tc>
          <w:tcPr>
            <w:tcW w:w="1413"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954" w:type="dxa"/>
            <w:shd w:val="clear" w:color="auto" w:fill="auto"/>
            <w:vAlign w:val="center"/>
          </w:tcPr>
          <w:p w14:paraId="3FCC9F0D" w14:textId="3C694138" w:rsidR="00FE7F1E" w:rsidRPr="001603E5" w:rsidRDefault="0030176D" w:rsidP="003727CF">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867D31">
              <w:rPr>
                <w:rFonts w:ascii="宋体" w:eastAsia="宋体" w:hAnsi="宋体" w:cs="Times New Roman"/>
                <w:bCs/>
                <w:iCs/>
                <w:color w:val="000000" w:themeColor="text1"/>
                <w:sz w:val="24"/>
                <w:szCs w:val="24"/>
              </w:rPr>
              <w:t>5</w:t>
            </w:r>
            <w:r w:rsidRPr="006664FF">
              <w:rPr>
                <w:rFonts w:ascii="宋体" w:eastAsia="宋体" w:hAnsi="宋体" w:cs="Times New Roman" w:hint="eastAsia"/>
                <w:bCs/>
                <w:iCs/>
                <w:color w:val="000000" w:themeColor="text1"/>
                <w:sz w:val="24"/>
                <w:szCs w:val="24"/>
              </w:rPr>
              <w:t>年</w:t>
            </w:r>
            <w:r w:rsidR="00D10CE3">
              <w:rPr>
                <w:rFonts w:ascii="宋体" w:eastAsia="宋体" w:hAnsi="宋体" w:cs="Times New Roman"/>
                <w:iCs/>
                <w:color w:val="000000" w:themeColor="text1"/>
                <w:sz w:val="24"/>
                <w:szCs w:val="24"/>
              </w:rPr>
              <w:t>0</w:t>
            </w:r>
            <w:r w:rsidR="00CB1AAC">
              <w:rPr>
                <w:rFonts w:ascii="宋体" w:eastAsia="宋体" w:hAnsi="宋体" w:cs="Times New Roman"/>
                <w:iCs/>
                <w:color w:val="000000" w:themeColor="text1"/>
                <w:sz w:val="24"/>
                <w:szCs w:val="24"/>
              </w:rPr>
              <w:t>7</w:t>
            </w:r>
            <w:r>
              <w:rPr>
                <w:rFonts w:ascii="宋体" w:eastAsia="宋体" w:hAnsi="宋体" w:cs="Times New Roman" w:hint="eastAsia"/>
                <w:iCs/>
                <w:color w:val="000000" w:themeColor="text1"/>
                <w:sz w:val="24"/>
                <w:szCs w:val="24"/>
              </w:rPr>
              <w:t>月</w:t>
            </w:r>
            <w:r w:rsidR="004D55C3">
              <w:rPr>
                <w:rFonts w:ascii="宋体" w:eastAsia="宋体" w:hAnsi="宋体" w:cs="Times New Roman"/>
                <w:iCs/>
                <w:color w:val="000000" w:themeColor="text1"/>
                <w:sz w:val="24"/>
                <w:szCs w:val="24"/>
              </w:rPr>
              <w:t>1</w:t>
            </w:r>
            <w:r w:rsidR="003727CF">
              <w:rPr>
                <w:rFonts w:ascii="宋体" w:eastAsia="宋体" w:hAnsi="宋体" w:cs="Times New Roman"/>
                <w:iCs/>
                <w:color w:val="000000" w:themeColor="text1"/>
                <w:sz w:val="24"/>
                <w:szCs w:val="24"/>
              </w:rPr>
              <w:t>7</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8E9ADF" w16cid:durableId="25B65A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F0817" w14:textId="77777777" w:rsidR="005B7D4A" w:rsidRDefault="005B7D4A" w:rsidP="00BF5D45">
      <w:r>
        <w:separator/>
      </w:r>
    </w:p>
  </w:endnote>
  <w:endnote w:type="continuationSeparator" w:id="0">
    <w:p w14:paraId="6FC9254B" w14:textId="77777777" w:rsidR="005B7D4A" w:rsidRDefault="005B7D4A"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522F" w14:textId="77777777" w:rsidR="005B7D4A" w:rsidRDefault="005B7D4A" w:rsidP="00BF5D45">
      <w:r>
        <w:separator/>
      </w:r>
    </w:p>
  </w:footnote>
  <w:footnote w:type="continuationSeparator" w:id="0">
    <w:p w14:paraId="70BE0D4C" w14:textId="77777777" w:rsidR="005B7D4A" w:rsidRDefault="005B7D4A"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315B"/>
    <w:rsid w:val="000431F7"/>
    <w:rsid w:val="000444E5"/>
    <w:rsid w:val="0004632F"/>
    <w:rsid w:val="000463A7"/>
    <w:rsid w:val="00050591"/>
    <w:rsid w:val="00050860"/>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52B7"/>
    <w:rsid w:val="001F5B62"/>
    <w:rsid w:val="001F6EAF"/>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4AFB"/>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FB4"/>
    <w:rsid w:val="004416DA"/>
    <w:rsid w:val="00441D9C"/>
    <w:rsid w:val="0044299F"/>
    <w:rsid w:val="00444D4D"/>
    <w:rsid w:val="00445609"/>
    <w:rsid w:val="00445A6F"/>
    <w:rsid w:val="00446E89"/>
    <w:rsid w:val="00447932"/>
    <w:rsid w:val="00447D01"/>
    <w:rsid w:val="00450877"/>
    <w:rsid w:val="00456556"/>
    <w:rsid w:val="004567DD"/>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B7D4A"/>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C8B"/>
    <w:rsid w:val="00794CFC"/>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346B"/>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5EAE"/>
    <w:rsid w:val="00B27C19"/>
    <w:rsid w:val="00B27D34"/>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254A"/>
    <w:rsid w:val="00C52F40"/>
    <w:rsid w:val="00C531CC"/>
    <w:rsid w:val="00C534F2"/>
    <w:rsid w:val="00C53916"/>
    <w:rsid w:val="00C55E93"/>
    <w:rsid w:val="00C56171"/>
    <w:rsid w:val="00C60283"/>
    <w:rsid w:val="00C60D2D"/>
    <w:rsid w:val="00C61568"/>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5B1"/>
    <w:rsid w:val="00F76634"/>
    <w:rsid w:val="00F80B51"/>
    <w:rsid w:val="00F81AE5"/>
    <w:rsid w:val="00F81AF3"/>
    <w:rsid w:val="00F82B4A"/>
    <w:rsid w:val="00F83533"/>
    <w:rsid w:val="00F85056"/>
    <w:rsid w:val="00F862D4"/>
    <w:rsid w:val="00F86CFD"/>
    <w:rsid w:val="00F86EDF"/>
    <w:rsid w:val="00F870FA"/>
    <w:rsid w:val="00F87C66"/>
    <w:rsid w:val="00F90C18"/>
    <w:rsid w:val="00F92124"/>
    <w:rsid w:val="00F93AD8"/>
    <w:rsid w:val="00F942B9"/>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6D4A-A252-4CE8-B3C6-EE850B75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Pages>
  <Words>448</Words>
  <Characters>2557</Characters>
  <Application>Microsoft Office Word</Application>
  <DocSecurity>0</DocSecurity>
  <Lines>21</Lines>
  <Paragraphs>5</Paragraphs>
  <ScaleCrop>false</ScaleCrop>
  <Company>HP Inc.</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92</cp:revision>
  <cp:lastPrinted>2023-09-03T12:39:00Z</cp:lastPrinted>
  <dcterms:created xsi:type="dcterms:W3CDTF">2024-09-26T11:09:00Z</dcterms:created>
  <dcterms:modified xsi:type="dcterms:W3CDTF">2025-07-17T08:59:00Z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