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5</w:t>
      </w:r>
      <w:r>
        <w:rPr>
          <w:rFonts w:hint="eastAsia" w:ascii="宋体" w:hAnsi="宋体"/>
          <w:b/>
          <w:iCs/>
          <w:sz w:val="24"/>
          <w:szCs w:val="24"/>
        </w:rPr>
        <w:t>年</w:t>
      </w:r>
      <w:r>
        <w:rPr>
          <w:rFonts w:hint="eastAsia" w:ascii="宋体" w:hAnsi="宋体"/>
          <w:b/>
          <w:iCs/>
          <w:sz w:val="24"/>
          <w:szCs w:val="24"/>
          <w:lang w:val="en-US" w:eastAsia="zh-CN"/>
        </w:rPr>
        <w:t>7</w:t>
      </w:r>
      <w:r>
        <w:rPr>
          <w:rFonts w:hint="eastAsia" w:ascii="宋体" w:hAnsi="宋体"/>
          <w:b/>
          <w:iCs/>
          <w:sz w:val="24"/>
          <w:szCs w:val="24"/>
        </w:rPr>
        <w:t>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203"/>
      </w:tblGrid>
      <w:tr w14:paraId="2F973973">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国盛证券</w:t>
            </w:r>
            <w:r>
              <w:rPr>
                <w:rFonts w:hint="default" w:ascii="宋体" w:hAnsi="宋体" w:eastAsia="宋体" w:cs="宋体"/>
                <w:sz w:val="24"/>
                <w:szCs w:val="24"/>
                <w:lang w:val="en-US" w:eastAsia="zh-CN"/>
              </w:rPr>
              <w:t>、</w:t>
            </w:r>
            <w:r>
              <w:rPr>
                <w:rFonts w:hint="eastAsia" w:ascii="宋体" w:hAnsi="宋体" w:cs="宋体"/>
                <w:sz w:val="24"/>
                <w:szCs w:val="24"/>
                <w:lang w:val="en-US" w:eastAsia="zh-CN"/>
              </w:rPr>
              <w:t>开源证券、兴合基金、中航基金、金元资管、华夏未来资本、新华基金、华夏基金</w:t>
            </w:r>
            <w:bookmarkStart w:id="0" w:name="_GoBack"/>
            <w:bookmarkEnd w:id="0"/>
          </w:p>
        </w:tc>
      </w:tr>
      <w:tr w14:paraId="63BC6D09">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default" w:ascii="宋体" w:hAnsi="宋体" w:eastAsia="宋体"/>
                <w:bCs/>
                <w:iCs/>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5</w:t>
            </w:r>
            <w:r>
              <w:rPr>
                <w:rFonts w:hint="eastAsia" w:ascii="宋体" w:hAnsi="宋体"/>
                <w:bCs/>
                <w:iCs/>
                <w:sz w:val="24"/>
                <w:szCs w:val="24"/>
              </w:rPr>
              <w:t>年</w:t>
            </w:r>
            <w:r>
              <w:rPr>
                <w:rFonts w:hint="eastAsia" w:ascii="宋体" w:hAnsi="宋体"/>
                <w:bCs/>
                <w:iCs/>
                <w:sz w:val="24"/>
                <w:szCs w:val="24"/>
                <w:lang w:val="en-US" w:eastAsia="zh-CN"/>
              </w:rPr>
              <w:t>7</w:t>
            </w:r>
            <w:r>
              <w:rPr>
                <w:rFonts w:hint="eastAsia" w:ascii="宋体" w:hAnsi="宋体"/>
                <w:bCs/>
                <w:iCs/>
                <w:sz w:val="24"/>
                <w:szCs w:val="24"/>
              </w:rPr>
              <w:t>月</w:t>
            </w:r>
            <w:r>
              <w:rPr>
                <w:rFonts w:hint="eastAsia" w:ascii="宋体" w:hAnsi="宋体"/>
                <w:bCs/>
                <w:iCs/>
                <w:sz w:val="24"/>
                <w:szCs w:val="24"/>
                <w:lang w:val="en-US" w:eastAsia="zh-CN"/>
              </w:rPr>
              <w:t>21</w:t>
            </w:r>
            <w:r>
              <w:rPr>
                <w:rFonts w:hint="eastAsia" w:ascii="宋体" w:hAnsi="宋体"/>
                <w:bCs/>
                <w:iCs/>
                <w:sz w:val="24"/>
                <w:szCs w:val="24"/>
              </w:rPr>
              <w:t>日</w:t>
            </w:r>
          </w:p>
        </w:tc>
      </w:tr>
      <w:tr w14:paraId="2448A6CD">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w:t>
            </w:r>
            <w:r>
              <w:rPr>
                <w:rFonts w:hint="eastAsia" w:ascii="宋体" w:hAnsi="宋体"/>
                <w:bCs/>
                <w:iCs/>
                <w:sz w:val="24"/>
                <w:szCs w:val="24"/>
                <w:lang w:val="en-US" w:eastAsia="zh-CN"/>
              </w:rPr>
              <w:t>下</w:t>
            </w:r>
            <w:r>
              <w:rPr>
                <w:rFonts w:hint="eastAsia" w:ascii="宋体" w:hAnsi="宋体"/>
                <w:bCs/>
                <w:iCs/>
                <w:sz w:val="24"/>
                <w:szCs w:val="24"/>
              </w:rPr>
              <w:t>会议</w:t>
            </w:r>
          </w:p>
        </w:tc>
      </w:tr>
      <w:tr w14:paraId="2200319B">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5422822E">
            <w:pPr>
              <w:spacing w:line="360" w:lineRule="auto"/>
              <w:rPr>
                <w:rFonts w:hint="default" w:ascii="宋体" w:hAnsi="宋体"/>
                <w:bCs/>
                <w:iCs/>
                <w:sz w:val="24"/>
                <w:szCs w:val="24"/>
                <w:lang w:val="en-US"/>
              </w:rPr>
            </w:pPr>
            <w:r>
              <w:rPr>
                <w:rFonts w:hint="eastAsia" w:ascii="宋体" w:hAnsi="宋体"/>
                <w:bCs/>
                <w:iCs/>
                <w:sz w:val="24"/>
                <w:szCs w:val="24"/>
                <w:lang w:val="en-US" w:eastAsia="zh-CN"/>
              </w:rPr>
              <w:t>投资者关系总监 郭心驰女士</w:t>
            </w:r>
          </w:p>
        </w:tc>
      </w:tr>
      <w:tr w14:paraId="276D98E0">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1DF44911">
            <w:pPr>
              <w:numPr>
                <w:ilvl w:val="255"/>
                <w:numId w:val="0"/>
              </w:numPr>
              <w:spacing w:before="156" w:beforeLines="50" w:line="360" w:lineRule="auto"/>
              <w:ind w:firstLine="480" w:firstLineChars="200"/>
              <w:rPr>
                <w:sz w:val="24"/>
              </w:rPr>
            </w:pPr>
            <w:r>
              <w:rPr>
                <w:rFonts w:hint="eastAsia"/>
                <w:sz w:val="24"/>
              </w:rPr>
              <w:t>一、公司介绍环节</w:t>
            </w:r>
          </w:p>
          <w:p w14:paraId="7B9DA2E2">
            <w:pPr>
              <w:numPr>
                <w:ilvl w:val="255"/>
                <w:numId w:val="0"/>
              </w:numPr>
              <w:spacing w:before="156" w:beforeLines="50" w:line="360" w:lineRule="auto"/>
              <w:ind w:firstLine="480" w:firstLineChars="200"/>
              <w:rPr>
                <w:rFonts w:hint="eastAsia"/>
                <w:kern w:val="0"/>
                <w:sz w:val="24"/>
                <w:lang w:val="en-US" w:eastAsia="zh-CN"/>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r>
              <w:rPr>
                <w:rFonts w:hint="eastAsia" w:ascii="Times New Roman" w:hAnsi="Times New Roman" w:eastAsia="宋体" w:cs="Times New Roman"/>
                <w:sz w:val="24"/>
                <w:szCs w:val="24"/>
              </w:rPr>
              <w:t>作为一家专注于药物创新研发的综合性企业，阳光诺和通过“研发服务+管线培育+新质产业链”三位一体战略，在自研创新、技术升级及全球化布局上实现多重突破，展现出从CRO“委托方”向创新驱动型“合作方”转型的强劲势能。</w:t>
            </w:r>
          </w:p>
          <w:p w14:paraId="3C74F722">
            <w:pPr>
              <w:numPr>
                <w:ilvl w:val="255"/>
                <w:numId w:val="0"/>
              </w:numPr>
              <w:spacing w:before="156" w:beforeLines="50" w:line="360" w:lineRule="auto"/>
              <w:ind w:firstLine="480" w:firstLineChars="200"/>
              <w:rPr>
                <w:rFonts w:hint="default"/>
                <w:sz w:val="24"/>
                <w:lang w:val="en-US" w:eastAsia="zh-CN"/>
              </w:rPr>
            </w:pPr>
            <w:r>
              <w:rPr>
                <w:rFonts w:hint="default"/>
                <w:sz w:val="24"/>
                <w:lang w:val="en-US" w:eastAsia="zh-CN"/>
              </w:rPr>
              <w:t>研发创新方面，公司不断加大研发投入，</w:t>
            </w:r>
            <w:r>
              <w:rPr>
                <w:rFonts w:hint="eastAsia" w:ascii="Times New Roman" w:hAnsi="Times New Roman" w:eastAsia="宋体" w:cs="Times New Roman"/>
                <w:sz w:val="24"/>
                <w:szCs w:val="24"/>
              </w:rPr>
              <w:t>截止2024年底公司</w:t>
            </w:r>
            <w:r>
              <w:rPr>
                <w:rFonts w:hint="default"/>
                <w:sz w:val="24"/>
                <w:lang w:val="en-US" w:eastAsia="zh-CN"/>
              </w:rPr>
              <w:t>研发项目累计已超430项，其中新立项自研项目达89余项。在创新药研发方面在研产品主要应用在镇痛、肾病与透析、肿瘤辅助、心脑血管、抗菌用药等适应症领域，并有多个创新药在研项目在国内无相同产品上市，竞争格局良好，极具市场价值。后续随着这些药品上市，将为公司拓展更多临床应用场景提供可能性。例如在多肽领域</w:t>
            </w:r>
            <w:r>
              <w:rPr>
                <w:rFonts w:hint="eastAsia"/>
                <w:sz w:val="24"/>
                <w:lang w:val="en-US" w:eastAsia="zh-CN"/>
              </w:rPr>
              <w:t>，</w:t>
            </w:r>
            <w:r>
              <w:rPr>
                <w:rFonts w:hint="default"/>
                <w:sz w:val="24"/>
                <w:lang w:val="en-US" w:eastAsia="zh-CN"/>
              </w:rPr>
              <w:t>公司目前已有3个适应症管线进入临床</w:t>
            </w:r>
            <w:r>
              <w:rPr>
                <w:rFonts w:hint="eastAsia"/>
                <w:sz w:val="24"/>
                <w:lang w:val="en-US" w:eastAsia="zh-CN"/>
              </w:rPr>
              <w:t>，</w:t>
            </w:r>
            <w:r>
              <w:rPr>
                <w:rFonts w:hint="default"/>
                <w:sz w:val="24"/>
                <w:lang w:val="en-US" w:eastAsia="zh-CN"/>
              </w:rPr>
              <w:t>其中STC007注射液目前具有手术</w:t>
            </w:r>
            <w:r>
              <w:rPr>
                <w:rFonts w:hint="eastAsia"/>
                <w:sz w:val="24"/>
                <w:lang w:val="en-US" w:eastAsia="zh-CN"/>
              </w:rPr>
              <w:t>后</w:t>
            </w:r>
            <w:r>
              <w:rPr>
                <w:rFonts w:hint="default"/>
                <w:sz w:val="24"/>
                <w:lang w:val="en-US" w:eastAsia="zh-CN"/>
              </w:rPr>
              <w:t>镇痛和尿毒症瘙痒两个适应症</w:t>
            </w:r>
            <w:r>
              <w:rPr>
                <w:rFonts w:hint="eastAsia"/>
                <w:sz w:val="24"/>
                <w:lang w:val="en-US" w:eastAsia="zh-CN"/>
              </w:rPr>
              <w:t>，手术后镇痛适应症已经完成二期临床试验，近期公司披露了STC007注射液治疗腹部手术后的中、重度疼痛的二期临床试验数据，根据数据结果，该临床试验达成预期目标。STC007注射液治疗</w:t>
            </w:r>
            <w:r>
              <w:rPr>
                <w:rFonts w:hint="default"/>
                <w:sz w:val="24"/>
                <w:lang w:val="en-US" w:eastAsia="zh-CN"/>
              </w:rPr>
              <w:t>尿毒症瘙痒</w:t>
            </w:r>
            <w:r>
              <w:rPr>
                <w:rFonts w:hint="eastAsia"/>
                <w:sz w:val="24"/>
                <w:lang w:val="en-US" w:eastAsia="zh-CN"/>
              </w:rPr>
              <w:t>适应症也</w:t>
            </w:r>
            <w:r>
              <w:rPr>
                <w:rFonts w:hint="default"/>
                <w:sz w:val="24"/>
                <w:lang w:val="en-US" w:eastAsia="zh-CN"/>
              </w:rPr>
              <w:t>已进入二期临床试验阶段，</w:t>
            </w:r>
            <w:r>
              <w:rPr>
                <w:rFonts w:hint="eastAsia"/>
                <w:sz w:val="24"/>
                <w:lang w:val="en-US" w:eastAsia="zh-CN"/>
              </w:rPr>
              <w:t>同时</w:t>
            </w:r>
            <w:r>
              <w:rPr>
                <w:rFonts w:hint="default"/>
                <w:sz w:val="24"/>
                <w:lang w:val="en-US" w:eastAsia="zh-CN"/>
              </w:rPr>
              <w:t>STC008注射液已进入一期临床试验阶段，其主要适应症为治疗晚期实体瘤相关的肿瘤恶液质，其他管线在临床前研究不同阶段，进展顺利。</w:t>
            </w:r>
          </w:p>
          <w:p w14:paraId="5CC9A466">
            <w:pPr>
              <w:numPr>
                <w:ilvl w:val="255"/>
                <w:numId w:val="0"/>
              </w:numPr>
              <w:spacing w:before="156" w:beforeLines="50" w:line="360" w:lineRule="auto"/>
              <w:ind w:firstLine="480" w:firstLineChars="200"/>
              <w:rPr>
                <w:rFonts w:hint="default"/>
                <w:sz w:val="24"/>
                <w:lang w:val="en-US" w:eastAsia="zh-CN"/>
              </w:rPr>
            </w:pPr>
            <w:r>
              <w:rPr>
                <w:rFonts w:hint="eastAsia" w:ascii="宋体" w:hAnsi="宋体"/>
                <w:b/>
                <w:iCs/>
                <w:sz w:val="24"/>
                <w:szCs w:val="24"/>
              </w:rPr>
              <w:t>二、问答环节</w:t>
            </w:r>
          </w:p>
          <w:p w14:paraId="3321A73D">
            <w:pPr>
              <w:numPr>
                <w:ilvl w:val="0"/>
                <w:numId w:val="1"/>
              </w:numPr>
              <w:spacing w:before="156" w:beforeLines="50" w:line="360" w:lineRule="auto"/>
              <w:ind w:left="425" w:leftChars="0" w:firstLine="1" w:firstLineChars="0"/>
              <w:rPr>
                <w:rFonts w:hint="eastAsia" w:ascii="宋体" w:hAnsi="宋体"/>
                <w:b w:val="0"/>
                <w:bCs/>
                <w:iCs/>
                <w:sz w:val="24"/>
                <w:szCs w:val="24"/>
                <w:lang w:val="en-US" w:eastAsia="zh-CN"/>
              </w:rPr>
            </w:pPr>
            <w:r>
              <w:rPr>
                <w:rFonts w:hint="eastAsia"/>
                <w:b/>
                <w:iCs/>
                <w:sz w:val="24"/>
                <w:szCs w:val="24"/>
                <w:lang w:val="en-US" w:eastAsia="zh-CN"/>
              </w:rPr>
              <w:t>公司自主研发的STC007注射液最新研发进展如何？预计什么时候开展三期临床？</w:t>
            </w:r>
          </w:p>
          <w:p w14:paraId="4CA37529">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b w:val="0"/>
                <w:bCs/>
                <w:iCs/>
                <w:sz w:val="24"/>
                <w:szCs w:val="24"/>
                <w:lang w:val="en-US" w:eastAsia="zh-CN"/>
              </w:rPr>
            </w:pPr>
            <w:r>
              <w:rPr>
                <w:rFonts w:hint="eastAsia" w:ascii="宋体" w:hAnsi="宋体"/>
                <w:b w:val="0"/>
                <w:bCs/>
                <w:iCs/>
                <w:sz w:val="24"/>
                <w:szCs w:val="24"/>
                <w:lang w:val="en-US" w:eastAsia="zh-CN"/>
              </w:rPr>
              <w:t>STC007 是子公司诺和晟泰自主研发的化学 1 类新药，属于强效 KOR 激动剂。它通过与 KOR 受体结合，能有效阻断和抑制痛感信号的传递，进而产生镇痛作用，拟用于治疗腹部手术后的中、重度疼痛。目前，STC007 注射液拥有手术后镇痛和尿毒症瘙痒两个适应症，其中手术后镇痛适应症已完成二期临床试验，近期公司公布了其治疗腹部手术后中、重度疼痛的二期临床试验数据，三期临床的准备工作正在顺利开展中，而治疗尿毒症瘙痒的适应症也已进入二期临床试验阶段。</w:t>
            </w:r>
          </w:p>
          <w:p w14:paraId="3B282EE4">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b w:val="0"/>
                <w:bCs/>
                <w:iCs/>
                <w:sz w:val="24"/>
                <w:szCs w:val="24"/>
                <w:lang w:val="en-US" w:eastAsia="zh-CN"/>
              </w:rPr>
            </w:pPr>
            <w:r>
              <w:rPr>
                <w:rFonts w:hint="eastAsia" w:ascii="宋体" w:hAnsi="宋体"/>
                <w:b w:val="0"/>
                <w:bCs/>
                <w:iCs/>
                <w:sz w:val="24"/>
                <w:szCs w:val="24"/>
                <w:lang w:val="en-US" w:eastAsia="zh-CN"/>
              </w:rPr>
              <w:t>“评估 STC007 注射液治疗腹部手术后疼痛的有效性、安全性和药代动力学特征的随机、双盲、安慰剂 / 阳性对照 II 期临床研究” 结果如下：</w:t>
            </w:r>
          </w:p>
          <w:p w14:paraId="6A0D1C4A">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b w:val="0"/>
                <w:bCs/>
                <w:iCs/>
                <w:sz w:val="24"/>
                <w:szCs w:val="24"/>
                <w:lang w:val="en-US" w:eastAsia="zh-CN"/>
              </w:rPr>
            </w:pPr>
            <w:r>
              <w:rPr>
                <w:rFonts w:hint="eastAsia" w:ascii="宋体" w:hAnsi="宋体"/>
                <w:b w:val="0"/>
                <w:bCs/>
                <w:iCs/>
                <w:sz w:val="24"/>
                <w:szCs w:val="24"/>
                <w:lang w:val="en-US" w:eastAsia="zh-CN"/>
              </w:rPr>
              <w:t>有效性方面：与安慰剂组相比，STC007 注射液能有效改善腹部术后中、重度疼痛受试者在术后 0-24 小时静息和运动状态下的疼痛评分，最小二乘均值差值分别为 5.16、5.64、6.25。和盐酸曲马多注射液组相比，STC007 注射液可有效改善腹部术后中、重度疼痛受试者术后 0-24 小时运动状态下的疼痛评分，SPID0-24h 最小二乘均值差值分别为 6.52、1.25、3.29。同时，与盐酸曲马多注射液组和安慰剂组相比，STC007 注射液的挽救治疗药物累积使用量更低，受试者首次接受挽救治疗的时间也更晚。</w:t>
            </w:r>
          </w:p>
          <w:p w14:paraId="6DBAECCD">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b w:val="0"/>
                <w:bCs/>
                <w:iCs/>
                <w:sz w:val="24"/>
                <w:szCs w:val="24"/>
                <w:lang w:val="en-US" w:eastAsia="zh-CN"/>
              </w:rPr>
            </w:pPr>
            <w:r>
              <w:rPr>
                <w:rFonts w:hint="eastAsia" w:ascii="宋体" w:hAnsi="宋体"/>
                <w:b w:val="0"/>
                <w:bCs/>
                <w:iCs/>
                <w:sz w:val="24"/>
                <w:szCs w:val="24"/>
                <w:lang w:val="en-US" w:eastAsia="zh-CN"/>
              </w:rPr>
              <w:t>安全性方面：STC007 注射液总体安全性和耐受性良好，未发现新的安全性信号，也未发生严重不良事件。在研究期间，呕吐和恶心是最常见的不良反应，STC007 各剂量组的发生率均较低，其中低剂量组呕吐和恶心发生率分别为 10.0% 和 7.5%，高剂量组分别为 10.3% 和 5.1%，均低于盐酸曲马多注射液 50mg 组的 20.5% 和 25.6%，也低于安慰剂组的 15.0% 和 12.5%，在同靶点药物中也处于较低水平。</w:t>
            </w:r>
          </w:p>
          <w:p w14:paraId="404DB656">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
                <w:sz w:val="24"/>
              </w:rPr>
            </w:pPr>
            <w:r>
              <w:rPr>
                <w:rFonts w:hint="eastAsia" w:ascii="宋体" w:hAnsi="宋体"/>
                <w:b w:val="0"/>
                <w:bCs/>
                <w:iCs/>
                <w:sz w:val="24"/>
                <w:szCs w:val="24"/>
                <w:lang w:val="en-US" w:eastAsia="zh-CN"/>
              </w:rPr>
              <w:t>总体来看，这项 II 期临床试验结果显示，与安慰剂组相比，STC007 注射液能有效改善腹部术后中、重度疼痛受试者术后 0-24 小时静息和运动状态下的疼痛评分，减少挽救治疗药物的使用量，其镇痛效果与阳性对照药盐酸曲马多注射液相当。并且，STC007 注射液总体安全性和耐受性良好，未发现新的安全性信号，也未发生严重不良事件，总的不良事件发生率和严重程度低于阳性对照药和安慰剂，常见的恶心、呕吐等不良事件发生率在相同作用机制的药物中处于较低水平。</w:t>
            </w:r>
          </w:p>
          <w:p w14:paraId="1630CA43">
            <w:pPr>
              <w:numPr>
                <w:ilvl w:val="0"/>
                <w:numId w:val="1"/>
              </w:numPr>
              <w:spacing w:before="156" w:beforeLines="50" w:line="360" w:lineRule="auto"/>
              <w:ind w:left="425" w:leftChars="0" w:firstLine="1" w:firstLineChars="0"/>
              <w:rPr>
                <w:rFonts w:hint="eastAsia"/>
                <w:b/>
                <w:sz w:val="24"/>
                <w:highlight w:val="none"/>
              </w:rPr>
            </w:pPr>
            <w:r>
              <w:rPr>
                <w:rFonts w:hint="default"/>
                <w:b/>
                <w:sz w:val="24"/>
                <w:highlight w:val="none"/>
                <w:lang w:val="en-US" w:eastAsia="zh-CN"/>
              </w:rPr>
              <w:t>公司</w:t>
            </w:r>
            <w:r>
              <w:rPr>
                <w:rFonts w:hint="eastAsia"/>
                <w:b/>
                <w:sz w:val="24"/>
                <w:highlight w:val="none"/>
                <w:lang w:val="en-US" w:eastAsia="zh-CN"/>
              </w:rPr>
              <w:t>的</w:t>
            </w:r>
            <w:r>
              <w:rPr>
                <w:rFonts w:hint="default"/>
                <w:b/>
                <w:sz w:val="24"/>
                <w:highlight w:val="none"/>
                <w:lang w:val="en-US" w:eastAsia="zh-CN"/>
              </w:rPr>
              <w:t>多肽药物</w:t>
            </w:r>
            <w:r>
              <w:rPr>
                <w:rFonts w:hint="eastAsia"/>
                <w:b/>
                <w:sz w:val="24"/>
                <w:highlight w:val="none"/>
                <w:lang w:val="en-US" w:eastAsia="zh-CN"/>
              </w:rPr>
              <w:t>研发是自主进行的吗？未来是否有平台优势？</w:t>
            </w:r>
          </w:p>
          <w:p w14:paraId="46384AA3">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sz w:val="24"/>
                <w:lang w:val="en-US" w:eastAsia="zh-CN"/>
              </w:rPr>
            </w:pPr>
            <w:r>
              <w:rPr>
                <w:rFonts w:hint="eastAsia"/>
                <w:b w:val="0"/>
                <w:bCs/>
                <w:sz w:val="24"/>
                <w:highlight w:val="none"/>
                <w:lang w:val="en-US" w:eastAsia="zh-CN"/>
              </w:rPr>
              <w:t>公司已经建立了iCVETide®多肽新药发现技术平台，专注深入挖掘类肽创新药，掌握多肽偶联PDC药物的靶向多肽序列、连接子类别以及连接位点等关键技术，实现较高难度的多肽类分子与靶蛋白模拟对接的计算机辅助药物分子设计CADD与大规模化合物库的计算机虚拟筛选，并开展多肽分子与靶蛋白的精确动力学模拟和分子对接实验。在过去多年的研发过程中，已经形成了一系列呈梯队的管线布局，目前已经有2个品种3个适应症到了临床开发阶段，即</w:t>
            </w:r>
            <w:r>
              <w:rPr>
                <w:rFonts w:hint="default"/>
                <w:sz w:val="24"/>
                <w:lang w:val="en-US" w:eastAsia="zh-CN"/>
              </w:rPr>
              <w:t>STC007注射液</w:t>
            </w:r>
            <w:r>
              <w:rPr>
                <w:rFonts w:hint="eastAsia"/>
                <w:sz w:val="24"/>
                <w:lang w:val="en-US" w:eastAsia="zh-CN"/>
              </w:rPr>
              <w:t>的手术后镇痛适应症已经完成二期临床试验，近期公司披露了STC007注射液治疗腹部手术后的中、重度疼痛的二期临床试验数据，根据数据结果，该临床试验达成预期目标。STC007注射液治疗</w:t>
            </w:r>
            <w:r>
              <w:rPr>
                <w:rFonts w:hint="default"/>
                <w:sz w:val="24"/>
                <w:lang w:val="en-US" w:eastAsia="zh-CN"/>
              </w:rPr>
              <w:t>尿毒症瘙痒</w:t>
            </w:r>
            <w:r>
              <w:rPr>
                <w:rFonts w:hint="eastAsia"/>
                <w:sz w:val="24"/>
                <w:lang w:val="en-US" w:eastAsia="zh-CN"/>
              </w:rPr>
              <w:t>的适应症也</w:t>
            </w:r>
            <w:r>
              <w:rPr>
                <w:rFonts w:hint="default"/>
                <w:sz w:val="24"/>
                <w:lang w:val="en-US" w:eastAsia="zh-CN"/>
              </w:rPr>
              <w:t>已进入二期临床试验阶段，</w:t>
            </w:r>
            <w:r>
              <w:rPr>
                <w:rFonts w:hint="eastAsia"/>
                <w:sz w:val="24"/>
                <w:lang w:val="en-US" w:eastAsia="zh-CN"/>
              </w:rPr>
              <w:t>同时</w:t>
            </w:r>
            <w:r>
              <w:rPr>
                <w:rFonts w:hint="default"/>
                <w:sz w:val="24"/>
                <w:lang w:val="en-US" w:eastAsia="zh-CN"/>
              </w:rPr>
              <w:t>STC008注射液已进入一期临床试验阶段，其主要适应症为治疗晚期实体瘤相关的肿瘤恶液质，其他管线在临床前研究不同阶段，进展顺利</w:t>
            </w:r>
            <w:r>
              <w:rPr>
                <w:rFonts w:hint="eastAsia"/>
                <w:sz w:val="24"/>
                <w:lang w:val="en-US" w:eastAsia="zh-CN"/>
              </w:rPr>
              <w:t>。</w:t>
            </w:r>
          </w:p>
          <w:p w14:paraId="37707B2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 w:val="0"/>
                <w:bCs/>
                <w:sz w:val="24"/>
                <w:highlight w:val="none"/>
                <w:lang w:val="en-US" w:eastAsia="zh-CN"/>
              </w:rPr>
            </w:pPr>
            <w:r>
              <w:rPr>
                <w:rFonts w:hint="eastAsia"/>
                <w:b w:val="0"/>
                <w:bCs/>
                <w:sz w:val="24"/>
                <w:highlight w:val="none"/>
                <w:lang w:val="en-US" w:eastAsia="zh-CN"/>
              </w:rPr>
              <w:t>在此基础上，公司与华为云携手合作，开发基于盘古大模型的AI多肽分子发现平台。借助人工智能辅助药物发现（AIDD）技术，进一步整合iCVETideTM在分子发现与优化方面的能力，建立基于庞大多肽类肽数据库的亲和力模型、条件生成模型、力场模型等，药物发现技术平台将大幅提升分子发现与优化能力，为多肽药物设计提供更精准的理论支持。人工智能的赋能将加速公司多肽和多肽偶联创新药物的研发进度，提升研发效率、节约开发成本，更进一步地促进公司在多肽领域开发出具有全球领先意义的创新药物分子。</w:t>
            </w:r>
          </w:p>
          <w:p w14:paraId="4326E310">
            <w:pPr>
              <w:numPr>
                <w:ilvl w:val="0"/>
                <w:numId w:val="1"/>
              </w:numPr>
              <w:spacing w:before="156" w:beforeLines="50" w:line="360" w:lineRule="auto"/>
              <w:ind w:left="425" w:leftChars="0" w:firstLine="1" w:firstLineChars="0"/>
              <w:rPr>
                <w:rFonts w:hint="eastAsia"/>
                <w:b/>
                <w:sz w:val="24"/>
                <w:highlight w:val="none"/>
              </w:rPr>
            </w:pPr>
            <w:r>
              <w:rPr>
                <w:rFonts w:hint="default"/>
                <w:b/>
                <w:sz w:val="24"/>
                <w:highlight w:val="none"/>
                <w:lang w:val="en-US" w:eastAsia="zh-CN"/>
              </w:rPr>
              <w:t>公司</w:t>
            </w:r>
            <w:r>
              <w:rPr>
                <w:rFonts w:hint="eastAsia"/>
                <w:b/>
                <w:sz w:val="24"/>
                <w:highlight w:val="none"/>
                <w:lang w:val="en-US" w:eastAsia="zh-CN"/>
              </w:rPr>
              <w:t>在小核酸药物也有布局？</w:t>
            </w:r>
          </w:p>
          <w:p w14:paraId="2F2798E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b w:val="0"/>
                <w:bCs/>
                <w:sz w:val="24"/>
                <w:highlight w:val="none"/>
                <w:lang w:val="en-US" w:eastAsia="zh-CN"/>
              </w:rPr>
            </w:pPr>
            <w:r>
              <w:rPr>
                <w:rFonts w:hint="eastAsia"/>
                <w:b w:val="0"/>
                <w:bCs/>
                <w:sz w:val="24"/>
                <w:highlight w:val="none"/>
                <w:lang w:val="en-US" w:eastAsia="zh-CN"/>
              </w:rPr>
              <w:t>公司通过合作与自主并行的模式建立小核酸药物研发平台，致力于解决小核酸药物在体内稳定性、靶向性及生物利用度等方面的挑战。通过创新的载药系统设计，公司能够有效提高小核酸药物的递送效率和治疗效果，为小核酸药物的临床应用奠定了坚实基础。目前，公司已经有数条小核酸及AOC药物在研，涉及降血压、减肥增肌、AD、降血脂等多个治疗领域。</w:t>
            </w:r>
          </w:p>
        </w:tc>
      </w:tr>
      <w:tr w14:paraId="4A63DE4C">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eastAsia"/>
                <w:bCs/>
                <w:iCs/>
                <w:sz w:val="24"/>
                <w:szCs w:val="24"/>
                <w:lang w:val="en-US" w:eastAsia="zh-CN"/>
              </w:rPr>
              <w:t>5</w:t>
            </w:r>
            <w:r>
              <w:rPr>
                <w:rFonts w:hint="default" w:ascii="Times New Roman" w:hAnsi="Times New Roman"/>
                <w:bCs/>
                <w:iCs/>
                <w:sz w:val="24"/>
                <w:szCs w:val="24"/>
              </w:rPr>
              <w:t>年</w:t>
            </w:r>
            <w:r>
              <w:rPr>
                <w:rFonts w:hint="eastAsia"/>
                <w:bCs/>
                <w:iCs/>
                <w:sz w:val="24"/>
                <w:szCs w:val="24"/>
                <w:lang w:val="en-US" w:eastAsia="zh-CN"/>
              </w:rPr>
              <w:t>7</w:t>
            </w:r>
            <w:r>
              <w:rPr>
                <w:rFonts w:hint="default" w:ascii="Times New Roman" w:hAnsi="Times New Roman"/>
                <w:bCs/>
                <w:iCs/>
                <w:sz w:val="24"/>
                <w:szCs w:val="24"/>
              </w:rPr>
              <w:t>月</w:t>
            </w:r>
            <w:r>
              <w:rPr>
                <w:rFonts w:hint="eastAsia"/>
                <w:bCs/>
                <w:iCs/>
                <w:sz w:val="24"/>
                <w:szCs w:val="24"/>
                <w:lang w:val="en-US" w:eastAsia="zh-CN"/>
              </w:rPr>
              <w:t>21</w:t>
            </w:r>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3353"/>
    <w:multiLevelType w:val="singleLevel"/>
    <w:tmpl w:val="FFFD3353"/>
    <w:lvl w:ilvl="0" w:tentative="0">
      <w:start w:val="1"/>
      <w:numFmt w:val="decimal"/>
      <w:lvlText w:val="%1."/>
      <w:lvlJc w:val="left"/>
      <w:pPr>
        <w:tabs>
          <w:tab w:val="left" w:pos="425"/>
        </w:tabs>
        <w:ind w:left="425" w:leftChars="0" w:firstLine="1"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ADF7FF3"/>
    <w:rsid w:val="5C2F0412"/>
    <w:rsid w:val="7BF5BCA2"/>
    <w:rsid w:val="AB8F5DCA"/>
    <w:rsid w:val="DFEDA011"/>
    <w:rsid w:val="F6FF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9">
    <w:name w:val="批注文字 字符"/>
    <w:basedOn w:val="6"/>
    <w:link w:val="2"/>
    <w:qFormat/>
    <w:uiPriority w:val="0"/>
    <w:rPr>
      <w:kern w:val="2"/>
      <w:sz w:val="21"/>
    </w:rPr>
  </w:style>
  <w:style w:type="character" w:customStyle="1" w:styleId="10">
    <w:name w:val="批注主题 字符"/>
    <w:basedOn w:val="9"/>
    <w:link w:val="4"/>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2475</Words>
  <Characters>2686</Characters>
  <Lines>18</Lines>
  <Paragraphs>5</Paragraphs>
  <TotalTime>129</TotalTime>
  <ScaleCrop>false</ScaleCrop>
  <LinksUpToDate>false</LinksUpToDate>
  <CharactersWithSpaces>2759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2024-09-28T14:32:00Z</dcterms:created>
  <dc:creator>杨贵娇</dc:creator>
  <cp:lastModifiedBy>Anne马也</cp:lastModifiedBy>
  <dcterms:modified xsi:type="dcterms:W3CDTF">2025-07-22T15:34:54Z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6C50DA1D0F464CF3850B58D3366B7706_13</vt:lpwstr>
  </property>
  <property fmtid="{D5CDD505-2E9C-101B-9397-08002B2CF9AE}" pid="4" name="KSOTemplateDocerSaveRecord">
    <vt:lpwstr>eyJoZGlkIjoiZTM2MTRlOTE5NzU3Y2FhZmJjMTA4ODAwNjMyZWVhZDciLCJ1c2VySWQiOiIzOTQyNDEyNzQifQ==</vt:lpwstr>
  </property>
</Properties>
</file>