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D4F10">
      <w:pPr>
        <w:spacing w:before="156" w:beforeLines="50" w:after="156" w:afterLines="50" w:line="400" w:lineRule="exact"/>
        <w:rPr>
          <w:bCs/>
          <w:iCs/>
          <w:color w:val="000000"/>
          <w:sz w:val="24"/>
        </w:rPr>
      </w:pPr>
      <w:r>
        <w:rPr>
          <w:bCs/>
          <w:iCs/>
          <w:color w:val="000000"/>
          <w:sz w:val="24"/>
        </w:rPr>
        <w:t>证券代码：688343                                   证券简称：云天励飞</w:t>
      </w:r>
    </w:p>
    <w:p w14:paraId="5C5EE2EA">
      <w:pPr>
        <w:spacing w:before="156" w:beforeLines="50" w:after="156" w:afterLines="50" w:line="400" w:lineRule="exact"/>
        <w:ind w:firstLine="761"/>
        <w:jc w:val="center"/>
        <w:rPr>
          <w:b/>
          <w:bCs/>
          <w:iCs/>
          <w:color w:val="000000"/>
          <w:sz w:val="32"/>
          <w:szCs w:val="32"/>
        </w:rPr>
      </w:pPr>
      <w:r>
        <w:rPr>
          <w:b/>
          <w:bCs/>
          <w:iCs/>
          <w:color w:val="000000"/>
          <w:sz w:val="32"/>
          <w:szCs w:val="32"/>
        </w:rPr>
        <w:t>深圳云天励飞技术股份有限公司</w:t>
      </w:r>
    </w:p>
    <w:p w14:paraId="3F341D80">
      <w:pPr>
        <w:spacing w:before="156" w:beforeLines="50" w:after="156" w:afterLines="50" w:line="400" w:lineRule="exact"/>
        <w:ind w:firstLine="761"/>
        <w:jc w:val="center"/>
        <w:rPr>
          <w:b/>
          <w:bCs/>
          <w:iCs/>
          <w:color w:val="000000"/>
          <w:sz w:val="32"/>
          <w:szCs w:val="32"/>
        </w:rPr>
      </w:pPr>
      <w:r>
        <w:rPr>
          <w:b/>
          <w:bCs/>
          <w:iCs/>
          <w:color w:val="000000"/>
          <w:sz w:val="32"/>
          <w:szCs w:val="32"/>
        </w:rPr>
        <w:t>投资者关系活动记录表</w:t>
      </w:r>
    </w:p>
    <w:p w14:paraId="4D5C7FF5">
      <w:pPr>
        <w:spacing w:before="156" w:beforeLines="50" w:after="156" w:afterLines="50" w:line="400" w:lineRule="exact"/>
        <w:ind w:firstLine="761"/>
        <w:jc w:val="center"/>
        <w:rPr>
          <w:b/>
          <w:bCs/>
          <w:iCs/>
          <w:color w:val="000000"/>
          <w:sz w:val="32"/>
          <w:szCs w:val="32"/>
        </w:rPr>
      </w:pPr>
      <w:r>
        <w:rPr>
          <w:b/>
          <w:bCs/>
          <w:iCs/>
          <w:color w:val="000000"/>
          <w:sz w:val="32"/>
          <w:szCs w:val="32"/>
        </w:rPr>
        <w:t>(2025年07月</w:t>
      </w:r>
      <w:r>
        <w:rPr>
          <w:rFonts w:hint="eastAsia"/>
          <w:b/>
          <w:bCs/>
          <w:iCs/>
          <w:color w:val="000000"/>
          <w:sz w:val="32"/>
          <w:szCs w:val="32"/>
        </w:rPr>
        <w:t>2</w:t>
      </w:r>
      <w:r>
        <w:rPr>
          <w:b/>
          <w:bCs/>
          <w:iCs/>
          <w:color w:val="000000"/>
          <w:sz w:val="32"/>
          <w:szCs w:val="32"/>
        </w:rPr>
        <w:t>3</w:t>
      </w:r>
      <w:r>
        <w:rPr>
          <w:rFonts w:hint="eastAsia"/>
          <w:b/>
          <w:bCs/>
          <w:iCs/>
          <w:color w:val="000000"/>
          <w:sz w:val="32"/>
          <w:szCs w:val="32"/>
          <w:lang w:val="en-US" w:eastAsia="zh-CN"/>
        </w:rPr>
        <w:t>日</w:t>
      </w:r>
      <w:r>
        <w:rPr>
          <w:b/>
          <w:bCs/>
          <w:iCs/>
          <w:color w:val="000000"/>
          <w:sz w:val="32"/>
          <w:szCs w:val="32"/>
        </w:rPr>
        <w:t>-</w:t>
      </w:r>
      <w:r>
        <w:rPr>
          <w:rFonts w:hint="eastAsia"/>
          <w:b/>
          <w:bCs/>
          <w:iCs/>
          <w:color w:val="000000"/>
          <w:sz w:val="32"/>
          <w:szCs w:val="32"/>
          <w:lang w:val="en-US" w:eastAsia="zh-CN"/>
        </w:rPr>
        <w:t>2025年07月</w:t>
      </w:r>
      <w:r>
        <w:rPr>
          <w:b/>
          <w:bCs/>
          <w:iCs/>
          <w:color w:val="000000"/>
          <w:sz w:val="32"/>
          <w:szCs w:val="32"/>
        </w:rPr>
        <w:t>25日)</w:t>
      </w:r>
    </w:p>
    <w:p w14:paraId="70A5A647">
      <w:pPr>
        <w:spacing w:line="400" w:lineRule="exact"/>
        <w:ind w:firstLine="569"/>
        <w:jc w:val="right"/>
        <w:rPr>
          <w:bCs/>
          <w:iCs/>
          <w:color w:val="000000"/>
          <w:sz w:val="24"/>
        </w:rPr>
      </w:pPr>
      <w:r>
        <w:rPr>
          <w:bCs/>
          <w:iCs/>
          <w:color w:val="000000"/>
          <w:sz w:val="24"/>
        </w:rPr>
        <w:t xml:space="preserve">                                              编号：2025-</w:t>
      </w:r>
      <w:r>
        <w:rPr>
          <w:bCs/>
          <w:iCs/>
          <w:sz w:val="24"/>
        </w:rPr>
        <w:t>012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6434"/>
      </w:tblGrid>
      <w:tr w14:paraId="5E4E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tcPr>
          <w:p w14:paraId="1DE8EE8D">
            <w:pPr>
              <w:spacing w:line="480" w:lineRule="atLeast"/>
              <w:ind w:firstLine="0"/>
              <w:rPr>
                <w:bCs/>
                <w:iCs/>
                <w:color w:val="000000"/>
                <w:sz w:val="24"/>
              </w:rPr>
            </w:pPr>
            <w:r>
              <w:rPr>
                <w:bCs/>
                <w:iCs/>
                <w:color w:val="000000"/>
                <w:sz w:val="24"/>
              </w:rPr>
              <w:t>投资者关系活动类别</w:t>
            </w:r>
          </w:p>
        </w:tc>
        <w:tc>
          <w:tcPr>
            <w:tcW w:w="6434" w:type="dxa"/>
            <w:tcBorders>
              <w:top w:val="single" w:color="auto" w:sz="4" w:space="0"/>
              <w:left w:val="single" w:color="auto" w:sz="4" w:space="0"/>
              <w:bottom w:val="single" w:color="auto" w:sz="4" w:space="0"/>
              <w:right w:val="single" w:color="auto" w:sz="4" w:space="0"/>
            </w:tcBorders>
            <w:shd w:val="clear" w:color="auto" w:fill="auto"/>
          </w:tcPr>
          <w:p w14:paraId="0C145B56">
            <w:pPr>
              <w:spacing w:line="480" w:lineRule="atLeast"/>
              <w:ind w:firstLine="0"/>
              <w:rPr>
                <w:bCs/>
                <w:iCs/>
                <w:color w:val="000000"/>
                <w:sz w:val="24"/>
              </w:rPr>
            </w:pPr>
            <w:r>
              <w:rPr>
                <w:bCs/>
                <w:iCs/>
                <w:color w:val="000000"/>
                <w:sz w:val="24"/>
              </w:rPr>
              <w:t>√</w:t>
            </w:r>
            <w:r>
              <w:rPr>
                <w:sz w:val="24"/>
              </w:rPr>
              <w:t xml:space="preserve">特定对象调研        </w:t>
            </w:r>
            <w:r>
              <w:rPr>
                <w:bCs/>
                <w:iCs/>
                <w:color w:val="000000"/>
                <w:sz w:val="24"/>
              </w:rPr>
              <w:t>□</w:t>
            </w:r>
            <w:r>
              <w:rPr>
                <w:sz w:val="24"/>
              </w:rPr>
              <w:t>分析师会议</w:t>
            </w:r>
          </w:p>
          <w:p w14:paraId="0400A9FE">
            <w:pPr>
              <w:spacing w:line="480" w:lineRule="atLeast"/>
              <w:ind w:firstLine="0"/>
              <w:rPr>
                <w:bCs/>
                <w:iCs/>
                <w:color w:val="000000"/>
                <w:sz w:val="24"/>
              </w:rPr>
            </w:pPr>
            <w:r>
              <w:rPr>
                <w:bCs/>
                <w:iCs/>
                <w:color w:val="000000"/>
                <w:sz w:val="24"/>
              </w:rPr>
              <w:t>□</w:t>
            </w:r>
            <w:r>
              <w:rPr>
                <w:sz w:val="24"/>
              </w:rPr>
              <w:t xml:space="preserve">媒体采访            </w:t>
            </w:r>
            <w:r>
              <w:rPr>
                <w:bCs/>
                <w:iCs/>
                <w:color w:val="000000"/>
                <w:sz w:val="24"/>
              </w:rPr>
              <w:t>□</w:t>
            </w:r>
            <w:r>
              <w:rPr>
                <w:sz w:val="24"/>
              </w:rPr>
              <w:t>业绩说明会</w:t>
            </w:r>
          </w:p>
          <w:p w14:paraId="28862E25">
            <w:pPr>
              <w:spacing w:line="480" w:lineRule="atLeast"/>
              <w:ind w:firstLine="0"/>
              <w:rPr>
                <w:bCs/>
                <w:iCs/>
                <w:color w:val="000000"/>
                <w:sz w:val="24"/>
              </w:rPr>
            </w:pPr>
            <w:r>
              <w:rPr>
                <w:bCs/>
                <w:iCs/>
                <w:color w:val="000000"/>
                <w:sz w:val="24"/>
              </w:rPr>
              <w:t>□</w:t>
            </w:r>
            <w:r>
              <w:rPr>
                <w:sz w:val="24"/>
              </w:rPr>
              <w:t xml:space="preserve">新闻发布会          </w:t>
            </w:r>
            <w:r>
              <w:rPr>
                <w:bCs/>
                <w:iCs/>
                <w:color w:val="000000"/>
                <w:sz w:val="24"/>
              </w:rPr>
              <w:t>□</w:t>
            </w:r>
            <w:r>
              <w:rPr>
                <w:sz w:val="24"/>
              </w:rPr>
              <w:t>路演活动</w:t>
            </w:r>
          </w:p>
          <w:p w14:paraId="3EA5161C">
            <w:pPr>
              <w:spacing w:line="480" w:lineRule="atLeast"/>
              <w:ind w:firstLine="0"/>
              <w:rPr>
                <w:bCs/>
                <w:iCs/>
                <w:color w:val="000000"/>
                <w:sz w:val="24"/>
              </w:rPr>
            </w:pPr>
            <w:r>
              <w:rPr>
                <w:bCs/>
                <w:iCs/>
                <w:color w:val="000000"/>
                <w:sz w:val="24"/>
              </w:rPr>
              <w:t>□</w:t>
            </w:r>
            <w:r>
              <w:rPr>
                <w:sz w:val="24"/>
              </w:rPr>
              <w:t>现场参观</w:t>
            </w:r>
            <w:r>
              <w:rPr>
                <w:bCs/>
                <w:iCs/>
                <w:color w:val="000000"/>
                <w:sz w:val="24"/>
              </w:rPr>
              <w:tab/>
            </w:r>
            <w:r>
              <w:rPr>
                <w:bCs/>
                <w:iCs/>
                <w:color w:val="000000"/>
                <w:sz w:val="24"/>
              </w:rPr>
              <w:t xml:space="preserve">           □</w:t>
            </w:r>
            <w:r>
              <w:rPr>
                <w:sz w:val="24"/>
              </w:rPr>
              <w:t>其他</w:t>
            </w:r>
          </w:p>
        </w:tc>
      </w:tr>
      <w:tr w14:paraId="36BF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tcPr>
          <w:p w14:paraId="745895F2">
            <w:pPr>
              <w:spacing w:line="480" w:lineRule="atLeast"/>
              <w:ind w:firstLine="0"/>
              <w:rPr>
                <w:bCs/>
                <w:iCs/>
                <w:color w:val="000000"/>
                <w:sz w:val="24"/>
              </w:rPr>
            </w:pPr>
            <w:r>
              <w:rPr>
                <w:bCs/>
                <w:iCs/>
                <w:color w:val="000000"/>
                <w:sz w:val="24"/>
              </w:rPr>
              <w:t>参与单位名称及人员姓名</w:t>
            </w:r>
          </w:p>
        </w:tc>
        <w:tc>
          <w:tcPr>
            <w:tcW w:w="6434" w:type="dxa"/>
            <w:tcBorders>
              <w:top w:val="single" w:color="auto" w:sz="4" w:space="0"/>
              <w:left w:val="single" w:color="auto" w:sz="4" w:space="0"/>
              <w:bottom w:val="single" w:color="auto" w:sz="4" w:space="0"/>
              <w:right w:val="single" w:color="auto" w:sz="4" w:space="0"/>
            </w:tcBorders>
            <w:shd w:val="clear" w:color="auto" w:fill="auto"/>
          </w:tcPr>
          <w:p w14:paraId="057D6605">
            <w:pPr>
              <w:spacing w:line="360" w:lineRule="auto"/>
              <w:rPr>
                <w:rFonts w:hint="eastAsia" w:eastAsia="宋体"/>
                <w:lang w:eastAsia="zh-CN"/>
              </w:rPr>
            </w:pPr>
            <w:r>
              <w:rPr>
                <w:rFonts w:hint="default"/>
                <w:bCs/>
                <w:iCs/>
                <w:color w:val="000000"/>
                <w:sz w:val="24"/>
              </w:rPr>
              <w:t>华夏基金、汇添富基金、华安基金、东兴基金、中信建投基金、诺安基金、诺德基金、宝盈基金、平安基金、长信基金、中邮基金、中金基金、国联基金、国寿安保基金、建信养老、新华资产、长江养老、阳光资产、信泰人寿、中金公司、银河自营、申万宏源固收、国联证券自营、创金合信基金、博道基金、北京宏道投资、方正富邦基金、明世伙伴基金、北京方圆金鼎投资、华夏久盈、国新投资、天九投资、宏利基金、润晖投资、锡创投、国盛证券、国联民生证券3</w:t>
            </w:r>
            <w:r>
              <w:rPr>
                <w:bCs/>
                <w:iCs/>
                <w:color w:val="000000"/>
                <w:sz w:val="24"/>
              </w:rPr>
              <w:t>7</w:t>
            </w:r>
            <w:r>
              <w:rPr>
                <w:rFonts w:hint="default"/>
                <w:bCs/>
                <w:iCs/>
                <w:color w:val="000000"/>
                <w:sz w:val="24"/>
              </w:rPr>
              <w:t>家机构</w:t>
            </w:r>
            <w:r>
              <w:rPr>
                <w:rFonts w:hint="eastAsia"/>
                <w:bCs/>
                <w:iCs/>
                <w:color w:val="000000"/>
                <w:sz w:val="24"/>
                <w:lang w:val="en-US" w:eastAsia="zh-CN"/>
              </w:rPr>
              <w:t>的代表，</w:t>
            </w:r>
            <w:r>
              <w:rPr>
                <w:rFonts w:hint="default"/>
                <w:bCs/>
                <w:iCs/>
                <w:color w:val="000000"/>
                <w:sz w:val="24"/>
              </w:rPr>
              <w:t>共计4</w:t>
            </w:r>
            <w:r>
              <w:rPr>
                <w:bCs/>
                <w:iCs/>
                <w:color w:val="000000"/>
                <w:sz w:val="24"/>
              </w:rPr>
              <w:t>0</w:t>
            </w:r>
            <w:r>
              <w:rPr>
                <w:rFonts w:hint="default"/>
                <w:bCs/>
                <w:iCs/>
                <w:color w:val="000000"/>
                <w:sz w:val="24"/>
              </w:rPr>
              <w:t>人</w:t>
            </w:r>
            <w:r>
              <w:rPr>
                <w:rFonts w:hint="eastAsia"/>
                <w:bCs/>
                <w:iCs/>
                <w:color w:val="000000"/>
                <w:sz w:val="24"/>
                <w:lang w:eastAsia="zh-CN"/>
              </w:rPr>
              <w:t>。</w:t>
            </w:r>
          </w:p>
        </w:tc>
      </w:tr>
      <w:tr w14:paraId="64F9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tcPr>
          <w:p w14:paraId="6BA1EDFC">
            <w:pPr>
              <w:spacing w:line="480" w:lineRule="atLeast"/>
              <w:ind w:firstLine="0"/>
              <w:rPr>
                <w:bCs/>
                <w:iCs/>
                <w:color w:val="000000"/>
                <w:sz w:val="24"/>
              </w:rPr>
            </w:pPr>
            <w:r>
              <w:rPr>
                <w:bCs/>
                <w:iCs/>
                <w:color w:val="000000"/>
                <w:sz w:val="24"/>
              </w:rPr>
              <w:t>时间</w:t>
            </w:r>
          </w:p>
        </w:tc>
        <w:tc>
          <w:tcPr>
            <w:tcW w:w="6434" w:type="dxa"/>
            <w:tcBorders>
              <w:top w:val="single" w:color="auto" w:sz="4" w:space="0"/>
              <w:left w:val="single" w:color="auto" w:sz="4" w:space="0"/>
              <w:bottom w:val="single" w:color="auto" w:sz="4" w:space="0"/>
              <w:right w:val="single" w:color="auto" w:sz="4" w:space="0"/>
            </w:tcBorders>
            <w:shd w:val="clear" w:color="auto" w:fill="auto"/>
          </w:tcPr>
          <w:p w14:paraId="3E33D183">
            <w:pPr>
              <w:spacing w:line="560" w:lineRule="exact"/>
              <w:ind w:firstLine="0"/>
              <w:jc w:val="left"/>
              <w:rPr>
                <w:color w:val="000000"/>
                <w:sz w:val="24"/>
              </w:rPr>
            </w:pPr>
            <w:r>
              <w:rPr>
                <w:color w:val="000000"/>
                <w:sz w:val="24"/>
              </w:rPr>
              <w:t>2025年07月</w:t>
            </w:r>
            <w:r>
              <w:rPr>
                <w:rFonts w:hint="eastAsia"/>
                <w:color w:val="000000"/>
                <w:sz w:val="24"/>
              </w:rPr>
              <w:t>2</w:t>
            </w:r>
            <w:r>
              <w:rPr>
                <w:color w:val="000000"/>
                <w:sz w:val="24"/>
              </w:rPr>
              <w:t xml:space="preserve">3 - </w:t>
            </w:r>
            <w:r>
              <w:rPr>
                <w:rFonts w:hint="eastAsia"/>
                <w:color w:val="000000"/>
                <w:sz w:val="24"/>
              </w:rPr>
              <w:t>2</w:t>
            </w:r>
            <w:r>
              <w:rPr>
                <w:color w:val="000000"/>
                <w:sz w:val="24"/>
              </w:rPr>
              <w:t>5日</w:t>
            </w:r>
          </w:p>
        </w:tc>
      </w:tr>
      <w:tr w14:paraId="5F8A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tcPr>
          <w:p w14:paraId="4C8773E5">
            <w:pPr>
              <w:spacing w:line="480" w:lineRule="atLeast"/>
              <w:ind w:firstLine="0"/>
              <w:rPr>
                <w:bCs/>
                <w:iCs/>
                <w:color w:val="000000"/>
                <w:sz w:val="24"/>
              </w:rPr>
            </w:pPr>
            <w:r>
              <w:rPr>
                <w:bCs/>
                <w:iCs/>
                <w:color w:val="000000"/>
                <w:sz w:val="24"/>
              </w:rPr>
              <w:t>地点</w:t>
            </w:r>
          </w:p>
        </w:tc>
        <w:tc>
          <w:tcPr>
            <w:tcW w:w="6434" w:type="dxa"/>
            <w:tcBorders>
              <w:top w:val="single" w:color="auto" w:sz="4" w:space="0"/>
              <w:left w:val="single" w:color="auto" w:sz="4" w:space="0"/>
              <w:bottom w:val="single" w:color="auto" w:sz="4" w:space="0"/>
              <w:right w:val="single" w:color="auto" w:sz="4" w:space="0"/>
            </w:tcBorders>
            <w:shd w:val="clear" w:color="auto" w:fill="auto"/>
          </w:tcPr>
          <w:p w14:paraId="0375F6D4">
            <w:pPr>
              <w:spacing w:line="480" w:lineRule="atLeast"/>
              <w:ind w:firstLine="0"/>
              <w:rPr>
                <w:bCs/>
                <w:iCs/>
                <w:color w:val="000000"/>
                <w:sz w:val="24"/>
              </w:rPr>
            </w:pPr>
            <w:r>
              <w:rPr>
                <w:color w:val="000000"/>
                <w:sz w:val="24"/>
              </w:rPr>
              <w:t>线下：外部其他场所</w:t>
            </w:r>
          </w:p>
        </w:tc>
      </w:tr>
      <w:tr w14:paraId="1535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tcPr>
          <w:p w14:paraId="6EB1F628">
            <w:pPr>
              <w:spacing w:line="480" w:lineRule="atLeast"/>
              <w:ind w:firstLine="0"/>
              <w:rPr>
                <w:bCs/>
                <w:iCs/>
                <w:color w:val="000000"/>
                <w:sz w:val="24"/>
              </w:rPr>
            </w:pPr>
            <w:r>
              <w:rPr>
                <w:bCs/>
                <w:iCs/>
                <w:color w:val="000000"/>
                <w:sz w:val="24"/>
              </w:rPr>
              <w:t>上市公司接待人员姓名</w:t>
            </w:r>
          </w:p>
        </w:tc>
        <w:tc>
          <w:tcPr>
            <w:tcW w:w="6434" w:type="dxa"/>
            <w:tcBorders>
              <w:top w:val="single" w:color="auto" w:sz="4" w:space="0"/>
              <w:left w:val="single" w:color="auto" w:sz="4" w:space="0"/>
              <w:bottom w:val="single" w:color="auto" w:sz="4" w:space="0"/>
              <w:right w:val="single" w:color="auto" w:sz="4" w:space="0"/>
            </w:tcBorders>
            <w:shd w:val="clear" w:color="auto" w:fill="auto"/>
            <w:vAlign w:val="center"/>
          </w:tcPr>
          <w:p w14:paraId="3C3D42BC">
            <w:pPr>
              <w:ind w:firstLine="0"/>
              <w:rPr>
                <w:sz w:val="24"/>
              </w:rPr>
            </w:pPr>
            <w:r>
              <w:rPr>
                <w:rFonts w:hint="eastAsia"/>
                <w:sz w:val="24"/>
              </w:rPr>
              <w:t>投资总监：韩暘先生</w:t>
            </w:r>
          </w:p>
        </w:tc>
      </w:tr>
      <w:tr w14:paraId="3A52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24BA06C">
            <w:pPr>
              <w:spacing w:line="480" w:lineRule="atLeast"/>
              <w:ind w:firstLine="0"/>
              <w:rPr>
                <w:bCs/>
                <w:iCs/>
                <w:color w:val="000000"/>
                <w:sz w:val="24"/>
              </w:rPr>
            </w:pPr>
            <w:r>
              <w:rPr>
                <w:bCs/>
                <w:iCs/>
                <w:color w:val="000000"/>
                <w:sz w:val="24"/>
              </w:rPr>
              <w:t>投资者关系活动主要内容介绍</w:t>
            </w:r>
          </w:p>
          <w:p w14:paraId="3A5634EA">
            <w:pPr>
              <w:spacing w:line="480" w:lineRule="atLeast"/>
              <w:ind w:firstLine="0"/>
              <w:rPr>
                <w:bCs/>
                <w:iCs/>
                <w:color w:val="000000"/>
                <w:sz w:val="24"/>
              </w:rPr>
            </w:pPr>
          </w:p>
        </w:tc>
        <w:tc>
          <w:tcPr>
            <w:tcW w:w="6434" w:type="dxa"/>
            <w:tcBorders>
              <w:top w:val="single" w:color="auto" w:sz="4" w:space="0"/>
              <w:left w:val="single" w:color="auto" w:sz="4" w:space="0"/>
              <w:bottom w:val="single" w:color="auto" w:sz="4" w:space="0"/>
              <w:right w:val="single" w:color="auto" w:sz="4" w:space="0"/>
            </w:tcBorders>
            <w:shd w:val="clear" w:color="auto" w:fill="auto"/>
          </w:tcPr>
          <w:p w14:paraId="3CF01B9A">
            <w:pPr>
              <w:spacing w:line="360" w:lineRule="auto"/>
              <w:ind w:firstLine="0" w:firstLineChars="0"/>
              <w:rPr>
                <w:b/>
                <w:sz w:val="24"/>
              </w:rPr>
            </w:pPr>
            <w:r>
              <w:rPr>
                <w:b/>
                <w:sz w:val="24"/>
              </w:rPr>
              <w:t xml:space="preserve">一、公司情况介绍 </w:t>
            </w:r>
          </w:p>
          <w:p w14:paraId="3CF01B9A">
            <w:pPr>
              <w:spacing w:line="360" w:lineRule="auto"/>
              <w:ind w:firstLine="0" w:firstLineChars="0"/>
              <w:rPr>
                <w:b/>
                <w:sz w:val="24"/>
              </w:rPr>
            </w:pPr>
            <w:r>
              <w:rPr>
                <w:b/>
                <w:sz w:val="24"/>
              </w:rPr>
              <w:t>二、Q&amp;A</w:t>
            </w:r>
          </w:p>
          <w:p w14:paraId="66C6CA21">
            <w:pPr>
              <w:spacing w:line="360" w:lineRule="auto"/>
              <w:ind w:firstLine="482" w:firstLineChars="200"/>
            </w:pPr>
            <w:r>
              <w:rPr>
                <w:rFonts w:hint="eastAsia"/>
                <w:b/>
                <w:sz w:val="24"/>
              </w:rPr>
              <w:t>1</w:t>
            </w:r>
            <w:r>
              <w:rPr>
                <w:b/>
                <w:sz w:val="24"/>
              </w:rPr>
              <w:t>、请</w:t>
            </w:r>
            <w:r>
              <w:rPr>
                <w:rFonts w:hint="eastAsia"/>
                <w:b/>
                <w:sz w:val="24"/>
              </w:rPr>
              <w:t>介绍一下公司正处于商业化进程中的</w:t>
            </w:r>
            <w:r>
              <w:rPr>
                <w:b/>
                <w:sz w:val="24"/>
              </w:rPr>
              <w:t>Deep Edge10系列芯片</w:t>
            </w:r>
            <w:r>
              <w:rPr>
                <w:rFonts w:hint="eastAsia"/>
                <w:b/>
                <w:sz w:val="24"/>
              </w:rPr>
              <w:t>的情况。</w:t>
            </w:r>
          </w:p>
          <w:p w14:paraId="3CF01B9A">
            <w:pPr>
              <w:spacing w:line="360" w:lineRule="auto"/>
              <w:ind w:firstLine="480" w:firstLineChars="200"/>
            </w:pPr>
            <w:r>
              <w:rPr>
                <w:sz w:val="24"/>
              </w:rPr>
              <w:t>答：DeepEdge10</w:t>
            </w:r>
            <w:r>
              <w:rPr>
                <w:rFonts w:hint="eastAsia"/>
                <w:sz w:val="24"/>
              </w:rPr>
              <w:t>系列芯片是</w:t>
            </w:r>
            <w:r>
              <w:rPr>
                <w:sz w:val="24"/>
              </w:rPr>
              <w:t>基于公司</w:t>
            </w:r>
            <w:r>
              <w:rPr>
                <w:rFonts w:hint="eastAsia"/>
                <w:sz w:val="24"/>
                <w:lang w:val="en-US" w:eastAsia="zh-CN"/>
              </w:rPr>
              <w:t>自研</w:t>
            </w:r>
            <w:r>
              <w:rPr>
                <w:sz w:val="24"/>
              </w:rPr>
              <w:t>的神经网络处理器（NNP400）架构，</w:t>
            </w:r>
            <w:r>
              <w:rPr>
                <w:sz w:val="24"/>
                <w:highlight w:val="none"/>
              </w:rPr>
              <w:t>自主研发</w:t>
            </w:r>
            <w:r>
              <w:rPr>
                <w:rFonts w:hint="eastAsia"/>
                <w:sz w:val="24"/>
                <w:highlight w:val="none"/>
              </w:rPr>
              <w:t>的</w:t>
            </w:r>
            <w:r>
              <w:rPr>
                <w:sz w:val="24"/>
                <w:highlight w:val="none"/>
              </w:rPr>
              <w:t>高性能AI</w:t>
            </w:r>
            <w:r>
              <w:rPr>
                <w:rFonts w:hint="eastAsia"/>
                <w:sz w:val="24"/>
                <w:highlight w:val="none"/>
              </w:rPr>
              <w:t>推理</w:t>
            </w:r>
            <w:r>
              <w:rPr>
                <w:sz w:val="24"/>
                <w:highlight w:val="none"/>
              </w:rPr>
              <w:t>芯片</w:t>
            </w:r>
            <w:r>
              <w:rPr>
                <w:rFonts w:hint="eastAsia"/>
                <w:sz w:val="24"/>
                <w:highlight w:val="none"/>
              </w:rPr>
              <w:t>，</w:t>
            </w:r>
            <w:r>
              <w:rPr>
                <w:sz w:val="24"/>
              </w:rPr>
              <w:t>采用国产14nm Chiplet工艺，内含国产RISC-V核。</w:t>
            </w:r>
            <w:r>
              <w:rPr>
                <w:rFonts w:hint="eastAsia"/>
                <w:sz w:val="24"/>
              </w:rPr>
              <w:t>DeepEdge</w:t>
            </w:r>
            <w:r>
              <w:rPr>
                <w:sz w:val="24"/>
              </w:rPr>
              <w:t>10</w:t>
            </w:r>
            <w:r>
              <w:rPr>
                <w:rFonts w:hint="eastAsia"/>
                <w:sz w:val="24"/>
              </w:rPr>
              <w:t>系列芯片采用创新的算力积木架构，可扩展性强，</w:t>
            </w:r>
            <w:r>
              <w:rPr>
                <w:sz w:val="24"/>
              </w:rPr>
              <w:t>覆盖8T-256T算力需求</w:t>
            </w:r>
            <w:r>
              <w:rPr>
                <w:rFonts w:hint="eastAsia"/>
                <w:sz w:val="24"/>
              </w:rPr>
              <w:t xml:space="preserve">。 </w:t>
            </w:r>
            <w:r>
              <w:rPr>
                <w:sz w:val="24"/>
              </w:rPr>
              <w:t>针对各类应用场景，公司已开发出DeepEdge10C、DeepEdge10 标准版、DeepEdge10Max 和DeepEdge200 四款芯片。目前DeepEdge10系列芯片已完成Deep Seek R1系列模型、Flash MLA适配，可支持包括Transformer模型、BEV模型、CV大模型、LLM大模型等各类不同架构的主流模型</w:t>
            </w:r>
            <w:r>
              <w:rPr>
                <w:rFonts w:hint="eastAsia"/>
                <w:sz w:val="24"/>
              </w:rPr>
              <w:t>，</w:t>
            </w:r>
            <w:r>
              <w:rPr>
                <w:sz w:val="24"/>
              </w:rPr>
              <w:t>并在机器人、边缘网关、服务器等领域实现商业化应用，为深空探测实验室的自主可控星载计算提供支撑。未来，云天励飞将持续加大研发力度，推动芯片在国产化领域取得更大突破，为国产AI生态建设贡献更多力量。</w:t>
            </w:r>
          </w:p>
          <w:p w14:paraId="414CDE11">
            <w:pPr>
              <w:spacing w:line="360" w:lineRule="auto"/>
              <w:ind w:firstLine="482" w:firstLineChars="200"/>
              <w:rPr>
                <w:color w:val="FF0000"/>
              </w:rPr>
            </w:pPr>
            <w:r>
              <w:rPr>
                <w:rFonts w:hint="eastAsia"/>
                <w:b/>
                <w:sz w:val="24"/>
                <w:lang w:val="en-US" w:eastAsia="zh-CN"/>
              </w:rPr>
              <w:t>2</w:t>
            </w:r>
            <w:r>
              <w:rPr>
                <w:b/>
                <w:sz w:val="24"/>
              </w:rPr>
              <w:t>、请</w:t>
            </w:r>
            <w:r>
              <w:rPr>
                <w:rFonts w:hint="eastAsia"/>
                <w:b/>
                <w:sz w:val="24"/>
              </w:rPr>
              <w:t>介绍下公司</w:t>
            </w:r>
            <w:r>
              <w:rPr>
                <w:b/>
                <w:sz w:val="24"/>
              </w:rPr>
              <w:t>消费级业务</w:t>
            </w:r>
            <w:r>
              <w:rPr>
                <w:rFonts w:hint="eastAsia"/>
                <w:b/>
                <w:sz w:val="24"/>
              </w:rPr>
              <w:t>及最新进展。</w:t>
            </w:r>
          </w:p>
          <w:p w14:paraId="7A0C814E">
            <w:pPr>
              <w:spacing w:line="360" w:lineRule="auto"/>
              <w:ind w:firstLine="480" w:firstLineChars="200"/>
              <w:rPr>
                <w:sz w:val="24"/>
              </w:rPr>
            </w:pPr>
            <w:r>
              <w:rPr>
                <w:sz w:val="24"/>
              </w:rPr>
              <w:t>答：公司于2024年正式启动消费级业务战略，夯实边缘AI发展战略。公司成立全资子公司噜咔博士，独立运营儿童益智领域业务，明确以“技术驱动儿童成长”为核心定位，致力于成为AI儿童智能硬件第一品牌。公司投入研发两款AI硬件产品：AI拍学机与AI毛绒玩具</w:t>
            </w:r>
            <w:r>
              <w:rPr>
                <w:rFonts w:hint="eastAsia"/>
                <w:sz w:val="24"/>
              </w:rPr>
              <w:t>，</w:t>
            </w:r>
            <w:r>
              <w:rPr>
                <w:sz w:val="24"/>
              </w:rPr>
              <w:t>均搭载自主研发的“云天天书”多模态大模型，利用多模态能力，提升了产品体验和趣味性，增强了产品的差异化竞争力</w:t>
            </w:r>
            <w:r>
              <w:rPr>
                <w:rFonts w:hint="eastAsia"/>
                <w:sz w:val="24"/>
              </w:rPr>
              <w:t>。</w:t>
            </w:r>
          </w:p>
          <w:p w14:paraId="7B1026C2">
            <w:pPr>
              <w:spacing w:line="360" w:lineRule="auto"/>
              <w:ind w:firstLine="480" w:firstLineChars="200"/>
              <w:rPr>
                <w:strike/>
                <w:sz w:val="24"/>
              </w:rPr>
            </w:pPr>
            <w:r>
              <w:rPr>
                <w:sz w:val="24"/>
              </w:rPr>
              <w:t>AI拍学机融合多模态识别技术，实现“拍摄-识别-科普”闭环，针对儿童群体提供场景化知识交互；AI毛绒玩具集成多模态大模型、情绪互动反馈系统，通过语音、图像等多模态信息触发人机互动反馈，实现对儿童群体的趣味性成长陪</w:t>
            </w:r>
            <w:r>
              <w:rPr>
                <w:sz w:val="24"/>
                <w:highlight w:val="none"/>
              </w:rPr>
              <w:t>伴。AI</w:t>
            </w:r>
            <w:r>
              <w:rPr>
                <w:rFonts w:hint="eastAsia"/>
                <w:sz w:val="24"/>
                <w:highlight w:val="none"/>
              </w:rPr>
              <w:t>拍学机作为品类开创者，在多个互联网平台实现热销，全渠道累计销量突破5万台。</w:t>
            </w:r>
          </w:p>
          <w:p w14:paraId="3CF01B9A">
            <w:pPr>
              <w:spacing w:line="360" w:lineRule="auto"/>
              <w:ind w:firstLine="480" w:firstLineChars="200"/>
            </w:pPr>
            <w:r>
              <w:rPr>
                <w:rFonts w:hint="eastAsia"/>
                <w:sz w:val="24"/>
              </w:rPr>
              <w:t>此外，</w:t>
            </w:r>
            <w:r>
              <w:rPr>
                <w:sz w:val="24"/>
              </w:rPr>
              <w:t>公司通过收购岍丞技术并深度整合其硬件能力，促进公司自研AI大模型的应用推广，赋能智能设备，进而丰富公司AIoT产品矩阵，通过自主研发、品牌合作等方式推动智能眼镜等可穿戴设备在行业和个人消费等领域的应用。公司将推出多款消费级产品，建立“线上+线下”全渠道营销体系；启动“噜咔博士”品牌IP化运营，通过内容共创强化用户心智和品牌传播力；继续深化技术迭代与成本优化，持续丰富产品序列，形成差异化竞争壁垒；探索“硬件+订阅制内容”商业模式；拓展海外市场，开发面向海外市场的多语言版本系列产品。公司消费级业务将以“技术创新+场景深耕”双轮驱动，持续拓展智能硬件新品类，构建“硬件+内容+服务”生态闭环。</w:t>
            </w:r>
          </w:p>
        </w:tc>
      </w:tr>
      <w:tr w14:paraId="1012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2386140">
            <w:pPr>
              <w:spacing w:line="480" w:lineRule="atLeast"/>
              <w:ind w:firstLine="569"/>
              <w:rPr>
                <w:bCs/>
                <w:iCs/>
                <w:color w:val="000000"/>
                <w:sz w:val="24"/>
              </w:rPr>
            </w:pPr>
            <w:r>
              <w:rPr>
                <w:bCs/>
                <w:iCs/>
                <w:color w:val="000000"/>
                <w:sz w:val="24"/>
              </w:rPr>
              <w:t>附件清单</w:t>
            </w:r>
          </w:p>
        </w:tc>
        <w:tc>
          <w:tcPr>
            <w:tcW w:w="6434" w:type="dxa"/>
            <w:tcBorders>
              <w:top w:val="single" w:color="auto" w:sz="4" w:space="0"/>
              <w:left w:val="single" w:color="auto" w:sz="4" w:space="0"/>
              <w:bottom w:val="single" w:color="auto" w:sz="4" w:space="0"/>
              <w:right w:val="single" w:color="auto" w:sz="4" w:space="0"/>
            </w:tcBorders>
            <w:shd w:val="clear" w:color="auto" w:fill="auto"/>
          </w:tcPr>
          <w:p w14:paraId="17F794C4">
            <w:pPr>
              <w:spacing w:line="480" w:lineRule="atLeast"/>
              <w:ind w:firstLine="569"/>
              <w:rPr>
                <w:bCs/>
                <w:iCs/>
                <w:color w:val="000000"/>
                <w:sz w:val="24"/>
              </w:rPr>
            </w:pPr>
            <w:r>
              <w:rPr>
                <w:bCs/>
                <w:iCs/>
                <w:color w:val="000000"/>
                <w:sz w:val="24"/>
              </w:rPr>
              <w:t>无</w:t>
            </w:r>
          </w:p>
        </w:tc>
      </w:tr>
    </w:tbl>
    <w:p w14:paraId="57613A92"/>
    <w:sectPr>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iZmU2YWZhNDAzYjJjMTgyNzQ3NGMzOTI4ODQwNGEifQ=="/>
  </w:docVars>
  <w:rsids>
    <w:rsidRoot w:val="00DB361F"/>
    <w:rsid w:val="00005DB8"/>
    <w:rsid w:val="000248C2"/>
    <w:rsid w:val="0003065D"/>
    <w:rsid w:val="000D6315"/>
    <w:rsid w:val="00100484"/>
    <w:rsid w:val="00107A0B"/>
    <w:rsid w:val="00115842"/>
    <w:rsid w:val="00123A01"/>
    <w:rsid w:val="001B4380"/>
    <w:rsid w:val="001C5BA8"/>
    <w:rsid w:val="00205F0C"/>
    <w:rsid w:val="0021234A"/>
    <w:rsid w:val="00240F97"/>
    <w:rsid w:val="0027476E"/>
    <w:rsid w:val="002B086A"/>
    <w:rsid w:val="002C0D62"/>
    <w:rsid w:val="002D69DF"/>
    <w:rsid w:val="00304730"/>
    <w:rsid w:val="003238A9"/>
    <w:rsid w:val="00487889"/>
    <w:rsid w:val="004E0A03"/>
    <w:rsid w:val="00512E7C"/>
    <w:rsid w:val="00552C5F"/>
    <w:rsid w:val="00564FEE"/>
    <w:rsid w:val="00574245"/>
    <w:rsid w:val="00607023"/>
    <w:rsid w:val="006360AA"/>
    <w:rsid w:val="006955E2"/>
    <w:rsid w:val="006C42AF"/>
    <w:rsid w:val="00732033"/>
    <w:rsid w:val="007502A8"/>
    <w:rsid w:val="00781BC0"/>
    <w:rsid w:val="00797167"/>
    <w:rsid w:val="007C302D"/>
    <w:rsid w:val="007D4DB1"/>
    <w:rsid w:val="00833998"/>
    <w:rsid w:val="0085049D"/>
    <w:rsid w:val="0087485F"/>
    <w:rsid w:val="008F013D"/>
    <w:rsid w:val="008F07CA"/>
    <w:rsid w:val="009271A0"/>
    <w:rsid w:val="00976C13"/>
    <w:rsid w:val="00986C92"/>
    <w:rsid w:val="00996CC7"/>
    <w:rsid w:val="009D06DD"/>
    <w:rsid w:val="00A110AC"/>
    <w:rsid w:val="00A46050"/>
    <w:rsid w:val="00A46C1A"/>
    <w:rsid w:val="00A91CFD"/>
    <w:rsid w:val="00AA04B3"/>
    <w:rsid w:val="00B0234E"/>
    <w:rsid w:val="00B054FF"/>
    <w:rsid w:val="00B07E37"/>
    <w:rsid w:val="00B51AC9"/>
    <w:rsid w:val="00BE36BA"/>
    <w:rsid w:val="00C23F1E"/>
    <w:rsid w:val="00C4201E"/>
    <w:rsid w:val="00C72F91"/>
    <w:rsid w:val="00CA62B8"/>
    <w:rsid w:val="00CE2ACA"/>
    <w:rsid w:val="00D213D5"/>
    <w:rsid w:val="00D44F22"/>
    <w:rsid w:val="00D5509C"/>
    <w:rsid w:val="00D7032E"/>
    <w:rsid w:val="00D97C05"/>
    <w:rsid w:val="00DB361F"/>
    <w:rsid w:val="00DC5BA5"/>
    <w:rsid w:val="00DD0C39"/>
    <w:rsid w:val="00DE34A3"/>
    <w:rsid w:val="00DE5217"/>
    <w:rsid w:val="00E62194"/>
    <w:rsid w:val="00EC46D1"/>
    <w:rsid w:val="00EE5BF7"/>
    <w:rsid w:val="00F00C5D"/>
    <w:rsid w:val="00F11A0C"/>
    <w:rsid w:val="00F268B1"/>
    <w:rsid w:val="04D375D7"/>
    <w:rsid w:val="062E0F1B"/>
    <w:rsid w:val="06A83220"/>
    <w:rsid w:val="16864FC3"/>
    <w:rsid w:val="17E11EA2"/>
    <w:rsid w:val="18893D8F"/>
    <w:rsid w:val="2AEA4B61"/>
    <w:rsid w:val="2E1F3B68"/>
    <w:rsid w:val="30FA7AC8"/>
    <w:rsid w:val="31E56082"/>
    <w:rsid w:val="33705E1F"/>
    <w:rsid w:val="39F350B4"/>
    <w:rsid w:val="3ADD1FEC"/>
    <w:rsid w:val="3BBC42F8"/>
    <w:rsid w:val="3E2B12C1"/>
    <w:rsid w:val="419450A2"/>
    <w:rsid w:val="43B810F6"/>
    <w:rsid w:val="4EF97456"/>
    <w:rsid w:val="4F166F97"/>
    <w:rsid w:val="56A612C8"/>
    <w:rsid w:val="621647BA"/>
    <w:rsid w:val="63FE731D"/>
    <w:rsid w:val="66F531E4"/>
    <w:rsid w:val="688018A5"/>
    <w:rsid w:val="724539F8"/>
    <w:rsid w:val="73740A39"/>
    <w:rsid w:val="790A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Table Paragraph"/>
    <w:basedOn w:val="1"/>
    <w:autoRedefine/>
    <w:qFormat/>
    <w:uiPriority w:val="1"/>
    <w:rPr>
      <w:rFonts w:ascii="Calibri" w:hAnsi="Calibri"/>
    </w:rPr>
  </w:style>
  <w:style w:type="character" w:customStyle="1" w:styleId="8">
    <w:name w:val="页眉 字符"/>
    <w:basedOn w:val="6"/>
    <w:link w:val="3"/>
    <w:autoRedefine/>
    <w:qFormat/>
    <w:uiPriority w:val="99"/>
    <w:rPr>
      <w:rFonts w:ascii="Times New Roman" w:hAnsi="Times New Roman" w:eastAsia="宋体" w:cs="Times New Roman"/>
      <w:sz w:val="18"/>
      <w:szCs w:val="18"/>
    </w:rPr>
  </w:style>
  <w:style w:type="character" w:customStyle="1" w:styleId="9">
    <w:name w:val="页脚 字符"/>
    <w:basedOn w:val="6"/>
    <w:link w:val="2"/>
    <w:autoRedefine/>
    <w:qFormat/>
    <w:uiPriority w:val="99"/>
    <w:rPr>
      <w:rFonts w:ascii="Times New Roman" w:hAnsi="Times New Roman" w:eastAsia="宋体" w:cs="Times New Roman"/>
      <w:sz w:val="18"/>
      <w:szCs w:val="18"/>
    </w:rPr>
  </w:style>
  <w:style w:type="paragraph" w:customStyle="1" w:styleId="1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1828</Words>
  <Characters>2033</Characters>
  <Lines>15</Lines>
  <Paragraphs>4</Paragraphs>
  <TotalTime>449</TotalTime>
  <ScaleCrop>false</ScaleCrop>
  <LinksUpToDate>false</LinksUpToDate>
  <CharactersWithSpaces>2170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2023-05-23T09:59:00Z</dcterms:created>
  <dc:creator>skd004</dc:creator>
  <cp:lastModifiedBy>Hannie</cp:lastModifiedBy>
  <dcterms:modified xsi:type="dcterms:W3CDTF">2025-07-29T09:27:46Z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6E781CF9306E4AFCA094582B113EE0FB_13</vt:lpwstr>
  </property>
  <property fmtid="{D5CDD505-2E9C-101B-9397-08002B2CF9AE}" pid="4" name="KSOTemplateDocerSaveRecord">
    <vt:lpwstr>eyJoZGlkIjoiYzg4ZGVhNjYzNmVhYTMyMjIyMGY1ZmZhZmM5OGYwMTMiLCJ1c2VySWQiOiIxMTQ0MzUyMzA4In0=</vt:lpwstr>
  </property>
</Properties>
</file>