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A66EF">
      <w:pPr>
        <w:rPr>
          <w:rFonts w:ascii="Times New Roman" w:hAnsi="Times New Roman" w:eastAsia="宋体" w:cs="Times New Roman"/>
          <w:b/>
          <w:iCs/>
          <w:color w:val="000000"/>
          <w:sz w:val="24"/>
          <w:szCs w:val="24"/>
        </w:rPr>
      </w:pPr>
      <w:r>
        <w:rPr>
          <w:rFonts w:hint="eastAsia" w:ascii="Times New Roman" w:hAnsi="Times New Roman" w:eastAsia="宋体" w:cs="Times New Roman"/>
          <w:b/>
          <w:iCs/>
          <w:color w:val="000000"/>
          <w:sz w:val="24"/>
          <w:szCs w:val="24"/>
        </w:rPr>
        <w:t>证券代码：688307                                   证券简称：中润光学</w:t>
      </w:r>
    </w:p>
    <w:p w14:paraId="757B966B">
      <w:pPr>
        <w:spacing w:before="156" w:beforeLines="50" w:after="156" w:afterLines="50" w:line="400" w:lineRule="exact"/>
        <w:jc w:val="center"/>
        <w:rPr>
          <w:rFonts w:ascii="Times New Roman" w:hAnsi="Times New Roman" w:eastAsia="宋体" w:cs="Times New Roman"/>
          <w:b/>
          <w:bCs/>
          <w:iCs/>
          <w:color w:val="000000"/>
          <w:sz w:val="32"/>
          <w:szCs w:val="32"/>
        </w:rPr>
      </w:pPr>
    </w:p>
    <w:p w14:paraId="21467E89">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嘉兴中润光学科技股份有限公司</w:t>
      </w:r>
    </w:p>
    <w:p w14:paraId="28711B52">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投资者关系活动记录表</w:t>
      </w:r>
    </w:p>
    <w:p w14:paraId="1631F28E">
      <w:pPr>
        <w:spacing w:line="400" w:lineRule="exact"/>
        <w:rPr>
          <w:rFonts w:hint="eastAsia" w:ascii="Times New Roman" w:hAnsi="Times New Roman" w:eastAsia="宋体" w:cstheme="minorEastAsia"/>
          <w:bCs/>
          <w:iCs/>
          <w:color w:val="000000"/>
          <w:sz w:val="24"/>
          <w:szCs w:val="24"/>
          <w:lang w:val="en-US" w:eastAsia="zh-CN"/>
        </w:rPr>
      </w:pPr>
      <w:r>
        <w:rPr>
          <w:rFonts w:hint="eastAsia" w:ascii="Times New Roman" w:hAnsi="Times New Roman" w:eastAsia="宋体" w:cs="Times New Roman"/>
          <w:bCs/>
          <w:iCs/>
          <w:color w:val="000000"/>
          <w:sz w:val="24"/>
          <w:szCs w:val="24"/>
        </w:rPr>
        <w:t xml:space="preserve">     </w:t>
      </w:r>
      <w:r>
        <w:rPr>
          <w:rFonts w:hint="eastAsia" w:ascii="Times New Roman" w:hAnsi="Times New Roman" w:eastAsia="宋体" w:cstheme="minorEastAsia"/>
          <w:bCs/>
          <w:iCs/>
          <w:color w:val="000000"/>
          <w:szCs w:val="21"/>
        </w:rPr>
        <w:t xml:space="preserve">                                                          </w:t>
      </w:r>
      <w:r>
        <w:rPr>
          <w:rFonts w:hint="eastAsia" w:ascii="Times New Roman" w:hAnsi="Times New Roman" w:eastAsia="宋体" w:cstheme="minorEastAsia"/>
          <w:bCs/>
          <w:iCs/>
          <w:color w:val="000000"/>
          <w:sz w:val="24"/>
          <w:szCs w:val="24"/>
        </w:rPr>
        <w:t>编号：202</w:t>
      </w:r>
      <w:r>
        <w:rPr>
          <w:rFonts w:ascii="Times New Roman" w:hAnsi="Times New Roman" w:eastAsia="宋体" w:cstheme="minorEastAsia"/>
          <w:bCs/>
          <w:iCs/>
          <w:color w:val="000000"/>
          <w:sz w:val="24"/>
          <w:szCs w:val="24"/>
        </w:rPr>
        <w:t>5</w:t>
      </w:r>
      <w:r>
        <w:rPr>
          <w:rFonts w:hint="eastAsia" w:ascii="Times New Roman" w:hAnsi="Times New Roman" w:eastAsia="宋体" w:cstheme="minorEastAsia"/>
          <w:bCs/>
          <w:iCs/>
          <w:color w:val="000000"/>
          <w:sz w:val="24"/>
          <w:szCs w:val="24"/>
        </w:rPr>
        <w:t>-00</w:t>
      </w:r>
      <w:r>
        <w:rPr>
          <w:rFonts w:hint="eastAsia" w:ascii="Times New Roman" w:hAnsi="Times New Roman" w:eastAsia="宋体" w:cstheme="minorEastAsia"/>
          <w:bCs/>
          <w:iCs/>
          <w:color w:val="000000"/>
          <w:sz w:val="24"/>
          <w:szCs w:val="24"/>
          <w:lang w:val="en-US" w:eastAsia="zh-CN"/>
        </w:rPr>
        <w:t>8</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819"/>
      </w:tblGrid>
      <w:tr w14:paraId="4760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1532FC4B">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w:t>
            </w:r>
          </w:p>
          <w:p w14:paraId="60058064">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活动类别</w:t>
            </w:r>
          </w:p>
          <w:p w14:paraId="4E1B708B">
            <w:pPr>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0DB953C6">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sym w:font="Wingdings 2" w:char="0052"/>
            </w:r>
            <w:r>
              <w:rPr>
                <w:rFonts w:hint="eastAsia" w:ascii="Times New Roman" w:hAnsi="Times New Roman" w:eastAsia="宋体" w:cstheme="minorEastAsia"/>
                <w:kern w:val="0"/>
                <w:szCs w:val="21"/>
              </w:rPr>
              <w:t xml:space="preserve">特定对象调研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分析师会议</w:t>
            </w:r>
          </w:p>
          <w:p w14:paraId="19CF8D27">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媒体采访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业绩说明会</w:t>
            </w:r>
          </w:p>
          <w:p w14:paraId="4A66C9D0">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新闻发布会          </w:t>
            </w:r>
            <w:r>
              <w:rPr>
                <w:rFonts w:hint="eastAsia" w:ascii="Segoe UI Symbol" w:hAnsi="Segoe UI Symbol" w:eastAsia="宋体" w:cs="Segoe UI Symbol"/>
                <w:kern w:val="0"/>
                <w:szCs w:val="21"/>
                <w:lang w:eastAsia="zh-CN"/>
              </w:rPr>
              <w:t>☑</w:t>
            </w:r>
            <w:r>
              <w:rPr>
                <w:rFonts w:hint="eastAsia" w:ascii="Times New Roman" w:hAnsi="Times New Roman" w:eastAsia="宋体" w:cstheme="minorEastAsia"/>
                <w:kern w:val="0"/>
                <w:szCs w:val="21"/>
              </w:rPr>
              <w:t>路演活动</w:t>
            </w:r>
          </w:p>
          <w:p w14:paraId="645916B0">
            <w:pPr>
              <w:tabs>
                <w:tab w:val="left" w:pos="3045"/>
                <w:tab w:val="center" w:pos="3199"/>
              </w:tabs>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现场参观</w:t>
            </w:r>
            <w:r>
              <w:rPr>
                <w:rFonts w:hint="eastAsia" w:ascii="Times New Roman" w:hAnsi="Times New Roman" w:eastAsia="宋体" w:cstheme="minorEastAsia"/>
                <w:bCs/>
                <w:iCs/>
                <w:color w:val="000000"/>
                <w:kern w:val="0"/>
                <w:szCs w:val="21"/>
              </w:rPr>
              <w:tab/>
            </w:r>
          </w:p>
          <w:p w14:paraId="48C84DE1">
            <w:pPr>
              <w:tabs>
                <w:tab w:val="center" w:pos="3199"/>
              </w:tabs>
              <w:spacing w:line="480" w:lineRule="atLeast"/>
              <w:rPr>
                <w:rFonts w:ascii="Times New Roman" w:hAnsi="Times New Roman" w:eastAsia="宋体" w:cstheme="minorEastAsia"/>
                <w:bCs/>
                <w:iCs/>
                <w:color w:val="000000"/>
                <w:kern w:val="0"/>
                <w:szCs w:val="21"/>
              </w:rPr>
            </w:pPr>
            <w:r>
              <w:rPr>
                <w:rFonts w:hint="eastAsia" w:ascii="Segoe UI Symbol" w:hAnsi="Segoe UI Symbol" w:eastAsia="宋体" w:cs="Segoe UI Symbol"/>
                <w:kern w:val="0"/>
                <w:szCs w:val="21"/>
                <w:lang w:eastAsia="zh-CN"/>
              </w:rPr>
              <w:t>□</w:t>
            </w:r>
            <w:r>
              <w:rPr>
                <w:rFonts w:hint="eastAsia" w:ascii="Times New Roman" w:hAnsi="Times New Roman" w:eastAsia="宋体" w:cstheme="minorEastAsia"/>
                <w:kern w:val="0"/>
                <w:szCs w:val="21"/>
              </w:rPr>
              <w:t>其他</w:t>
            </w:r>
          </w:p>
        </w:tc>
      </w:tr>
      <w:tr w14:paraId="25C6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FD348DD">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参与单位</w:t>
            </w:r>
          </w:p>
          <w:p w14:paraId="479F364E">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名称</w:t>
            </w:r>
          </w:p>
        </w:tc>
        <w:tc>
          <w:tcPr>
            <w:tcW w:w="6819" w:type="dxa"/>
            <w:tcBorders>
              <w:top w:val="single" w:color="auto" w:sz="4" w:space="0"/>
              <w:left w:val="single" w:color="auto" w:sz="4" w:space="0"/>
              <w:bottom w:val="single" w:color="auto" w:sz="4" w:space="0"/>
              <w:right w:val="single" w:color="auto" w:sz="4" w:space="0"/>
            </w:tcBorders>
            <w:vAlign w:val="center"/>
          </w:tcPr>
          <w:p w14:paraId="41F31704">
            <w:pPr>
              <w:spacing w:line="360" w:lineRule="auto"/>
              <w:rPr>
                <w:rFonts w:hint="default"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lang w:val="en-US" w:eastAsia="zh-CN"/>
              </w:rPr>
              <w:t>平安养老、平安资管、永赢基金、中信保诚基金、国海富兰克林基金、诺安基金、汇添富基金、浦银安盛基金、太平养</w:t>
            </w:r>
            <w:bookmarkStart w:id="0" w:name="_GoBack"/>
            <w:bookmarkEnd w:id="0"/>
            <w:r>
              <w:rPr>
                <w:rFonts w:hint="eastAsia" w:ascii="Times New Roman" w:hAnsi="Times New Roman" w:eastAsia="宋体" w:cstheme="minorEastAsia"/>
                <w:bCs/>
                <w:iCs/>
                <w:color w:val="000000"/>
                <w:kern w:val="0"/>
                <w:szCs w:val="21"/>
                <w:lang w:val="en-US" w:eastAsia="zh-CN"/>
              </w:rPr>
              <w:t>老、国富基金、国联民生、中邮保险、亘曦资产、中银资管</w:t>
            </w:r>
          </w:p>
        </w:tc>
      </w:tr>
      <w:tr w14:paraId="3341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7FE983E">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时间</w:t>
            </w:r>
          </w:p>
        </w:tc>
        <w:tc>
          <w:tcPr>
            <w:tcW w:w="6819" w:type="dxa"/>
            <w:tcBorders>
              <w:top w:val="single" w:color="auto" w:sz="4" w:space="0"/>
              <w:left w:val="single" w:color="auto" w:sz="4" w:space="0"/>
              <w:bottom w:val="single" w:color="auto" w:sz="4" w:space="0"/>
              <w:right w:val="single" w:color="auto" w:sz="4" w:space="0"/>
            </w:tcBorders>
            <w:vAlign w:val="center"/>
          </w:tcPr>
          <w:p w14:paraId="5D236E0B">
            <w:pPr>
              <w:spacing w:line="360" w:lineRule="auto"/>
              <w:rPr>
                <w:rFonts w:hint="default"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rPr>
              <w:t>202</w:t>
            </w:r>
            <w:r>
              <w:rPr>
                <w:rFonts w:ascii="Times New Roman" w:hAnsi="Times New Roman" w:eastAsia="宋体" w:cstheme="minorEastAsia"/>
                <w:bCs/>
                <w:iCs/>
                <w:color w:val="000000"/>
                <w:kern w:val="0"/>
                <w:szCs w:val="21"/>
              </w:rPr>
              <w:t>5</w:t>
            </w:r>
            <w:r>
              <w:rPr>
                <w:rFonts w:hint="eastAsia" w:ascii="Times New Roman" w:hAnsi="Times New Roman" w:eastAsia="宋体" w:cstheme="minorEastAsia"/>
                <w:bCs/>
                <w:iCs/>
                <w:color w:val="000000"/>
                <w:kern w:val="0"/>
                <w:szCs w:val="21"/>
              </w:rPr>
              <w:t>年</w:t>
            </w:r>
            <w:r>
              <w:rPr>
                <w:rFonts w:hint="eastAsia" w:ascii="Times New Roman" w:hAnsi="Times New Roman" w:eastAsia="宋体" w:cstheme="minorEastAsia"/>
                <w:bCs/>
                <w:iCs/>
                <w:color w:val="000000"/>
                <w:kern w:val="0"/>
                <w:szCs w:val="21"/>
                <w:lang w:val="en-US" w:eastAsia="zh-CN"/>
              </w:rPr>
              <w:t>7</w:t>
            </w:r>
            <w:r>
              <w:rPr>
                <w:rFonts w:hint="eastAsia" w:ascii="Times New Roman" w:hAnsi="Times New Roman" w:eastAsia="宋体" w:cstheme="minorEastAsia"/>
                <w:bCs/>
                <w:iCs/>
                <w:color w:val="000000"/>
                <w:kern w:val="0"/>
                <w:szCs w:val="21"/>
              </w:rPr>
              <w:t>月2</w:t>
            </w:r>
            <w:r>
              <w:rPr>
                <w:rFonts w:hint="eastAsia" w:ascii="Times New Roman" w:hAnsi="Times New Roman" w:eastAsia="宋体" w:cstheme="minorEastAsia"/>
                <w:bCs/>
                <w:iCs/>
                <w:color w:val="000000"/>
                <w:kern w:val="0"/>
                <w:szCs w:val="21"/>
                <w:lang w:val="en-US" w:eastAsia="zh-CN"/>
              </w:rPr>
              <w:t>9</w:t>
            </w:r>
            <w:r>
              <w:rPr>
                <w:rFonts w:hint="eastAsia" w:ascii="Times New Roman" w:hAnsi="Times New Roman" w:eastAsia="宋体" w:cstheme="minorEastAsia"/>
                <w:bCs/>
                <w:iCs/>
                <w:color w:val="000000"/>
                <w:kern w:val="0"/>
                <w:szCs w:val="21"/>
              </w:rPr>
              <w:t>日</w:t>
            </w:r>
            <w:r>
              <w:rPr>
                <w:rFonts w:hint="eastAsia" w:ascii="Times New Roman" w:hAnsi="Times New Roman" w:eastAsia="宋体" w:cstheme="minorEastAsia"/>
                <w:bCs/>
                <w:iCs/>
                <w:color w:val="000000"/>
                <w:kern w:val="0"/>
                <w:szCs w:val="21"/>
                <w:lang w:val="en-US" w:eastAsia="zh-CN"/>
              </w:rPr>
              <w:t>-2025年7月31日</w:t>
            </w:r>
          </w:p>
        </w:tc>
      </w:tr>
      <w:tr w14:paraId="72C2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515591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地点</w:t>
            </w:r>
          </w:p>
        </w:tc>
        <w:tc>
          <w:tcPr>
            <w:tcW w:w="6819" w:type="dxa"/>
            <w:tcBorders>
              <w:top w:val="single" w:color="auto" w:sz="4" w:space="0"/>
              <w:left w:val="single" w:color="auto" w:sz="4" w:space="0"/>
              <w:bottom w:val="single" w:color="auto" w:sz="4" w:space="0"/>
              <w:right w:val="single" w:color="auto" w:sz="4" w:space="0"/>
            </w:tcBorders>
            <w:vAlign w:val="center"/>
          </w:tcPr>
          <w:p w14:paraId="4F07A145">
            <w:pPr>
              <w:spacing w:line="360" w:lineRule="auto"/>
              <w:rPr>
                <w:rFonts w:hint="default"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lang w:val="en-US" w:eastAsia="zh-CN"/>
              </w:rPr>
              <w:t>上海浦东新区及公司会议室</w:t>
            </w:r>
          </w:p>
        </w:tc>
      </w:tr>
      <w:tr w14:paraId="08BB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3168710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上市公司接待</w:t>
            </w:r>
          </w:p>
          <w:p w14:paraId="0EC4C1EF">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人员姓名</w:t>
            </w:r>
          </w:p>
        </w:tc>
        <w:tc>
          <w:tcPr>
            <w:tcW w:w="6819" w:type="dxa"/>
            <w:tcBorders>
              <w:top w:val="single" w:color="auto" w:sz="4" w:space="0"/>
              <w:left w:val="single" w:color="auto" w:sz="4" w:space="0"/>
              <w:bottom w:val="single" w:color="auto" w:sz="4" w:space="0"/>
              <w:right w:val="single" w:color="auto" w:sz="4" w:space="0"/>
            </w:tcBorders>
            <w:vAlign w:val="center"/>
          </w:tcPr>
          <w:p w14:paraId="2D509DA1">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公司董事、董事会秘书、副总经理张杰，证券事务代表沈丽燕</w:t>
            </w:r>
          </w:p>
        </w:tc>
      </w:tr>
      <w:tr w14:paraId="79EF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2F31C6B1">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投资者关系活动主要内容介绍</w:t>
            </w:r>
          </w:p>
          <w:p w14:paraId="23A0302C">
            <w:pPr>
              <w:spacing w:line="480" w:lineRule="atLeast"/>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0B7C2F35">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ind w:leftChars="0"/>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一、投资者问答</w:t>
            </w:r>
          </w:p>
          <w:p w14:paraId="17A714BA">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rPr>
            </w:pPr>
            <w:r>
              <w:rPr>
                <w:rFonts w:hint="eastAsia" w:ascii="Times New Roman" w:hAnsi="Times New Roman" w:eastAsia="宋体" w:cstheme="minorEastAsia"/>
                <w:b/>
                <w:bCs/>
                <w:iCs/>
                <w:color w:val="000000"/>
                <w:kern w:val="0"/>
                <w:szCs w:val="21"/>
              </w:rPr>
              <w:t>1、</w:t>
            </w:r>
            <w:r>
              <w:rPr>
                <w:rFonts w:hint="eastAsia" w:ascii="Times New Roman" w:hAnsi="Times New Roman" w:eastAsia="宋体" w:cstheme="minorEastAsia"/>
                <w:b/>
                <w:bCs/>
                <w:iCs/>
                <w:color w:val="000000"/>
                <w:kern w:val="0"/>
                <w:szCs w:val="21"/>
                <w:lang w:val="en-US" w:eastAsia="zh-CN"/>
              </w:rPr>
              <w:t>日本木下光学研究所主要是做什么业务</w:t>
            </w:r>
            <w:r>
              <w:rPr>
                <w:rFonts w:hint="eastAsia" w:ascii="Times New Roman" w:hAnsi="Times New Roman" w:eastAsia="宋体" w:cstheme="minorEastAsia"/>
                <w:b/>
                <w:bCs/>
                <w:iCs/>
                <w:color w:val="000000"/>
                <w:kern w:val="0"/>
                <w:szCs w:val="21"/>
              </w:rPr>
              <w:t>？</w:t>
            </w:r>
          </w:p>
          <w:p w14:paraId="248034F2">
            <w:pPr>
              <w:pStyle w:val="14"/>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木下光学从事高精密光学元件及高端镜头的设计、试制业务，具有40余年光学镜头开发经验，具备工业检测用镜头、半导体检测仪器用光学镜头、医疗检测仪器用镜头、物镜、目镜、扩束镜、电影镜头、投影镜头、单反镜头等多领域镜头设计开发能力；木下光学能</w:t>
            </w:r>
            <w:r>
              <w:rPr>
                <w:rFonts w:hint="eastAsia" w:ascii="Times New Roman" w:hAnsi="Times New Roman" w:eastAsia="宋体" w:cstheme="minorEastAsia"/>
                <w:bCs/>
                <w:iCs/>
                <w:color w:val="000000"/>
                <w:kern w:val="0"/>
                <w:szCs w:val="21"/>
                <w:lang w:val="en-US" w:eastAsia="zh-CN"/>
              </w:rPr>
              <w:t>为公司</w:t>
            </w:r>
            <w:r>
              <w:rPr>
                <w:rFonts w:hint="eastAsia" w:ascii="Times New Roman" w:hAnsi="Times New Roman" w:eastAsia="宋体" w:cstheme="minorEastAsia"/>
                <w:bCs/>
                <w:iCs/>
                <w:color w:val="000000"/>
                <w:kern w:val="0"/>
                <w:szCs w:val="21"/>
              </w:rPr>
              <w:t>提供设计技术支持，对新项目、新产品设计开发过程中的技术瓶颈、难点进行指导。</w:t>
            </w:r>
          </w:p>
          <w:p w14:paraId="785A202A">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rPr>
            </w:pPr>
            <w:r>
              <w:rPr>
                <w:rFonts w:hint="eastAsia" w:ascii="Times New Roman" w:hAnsi="Times New Roman" w:eastAsia="宋体" w:cstheme="minorEastAsia"/>
                <w:b/>
                <w:bCs/>
                <w:iCs/>
                <w:color w:val="000000"/>
                <w:kern w:val="0"/>
                <w:szCs w:val="21"/>
                <w:lang w:val="en-US" w:eastAsia="zh-CN"/>
              </w:rPr>
              <w:t>2、公司目前涉及的领域较多，主要有哪些具体的产品应用</w:t>
            </w:r>
            <w:r>
              <w:rPr>
                <w:rFonts w:hint="eastAsia" w:ascii="Times New Roman" w:hAnsi="Times New Roman" w:eastAsia="宋体" w:cstheme="minorEastAsia"/>
                <w:b/>
                <w:bCs/>
                <w:iCs/>
                <w:color w:val="000000"/>
                <w:kern w:val="0"/>
                <w:szCs w:val="21"/>
              </w:rPr>
              <w:t>？</w:t>
            </w:r>
          </w:p>
          <w:p w14:paraId="2B2A612C">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heme="minorEastAsia"/>
                <w:bCs/>
                <w:iCs/>
                <w:color w:val="000000"/>
                <w:kern w:val="0"/>
                <w:szCs w:val="21"/>
              </w:rPr>
            </w:pPr>
            <w:r>
              <w:rPr>
                <w:rFonts w:ascii="Times New Roman" w:hAnsi="Times New Roman" w:eastAsia="宋体" w:cstheme="minorEastAsia"/>
                <w:bCs/>
                <w:iCs/>
                <w:color w:val="000000"/>
                <w:kern w:val="0"/>
                <w:szCs w:val="21"/>
              </w:rPr>
              <w:t>答：</w:t>
            </w:r>
            <w:r>
              <w:rPr>
                <w:rFonts w:hint="eastAsia" w:ascii="Times New Roman" w:hAnsi="Times New Roman" w:eastAsia="宋体" w:cstheme="minorEastAsia"/>
                <w:bCs/>
                <w:iCs/>
                <w:color w:val="000000"/>
                <w:kern w:val="0"/>
                <w:szCs w:val="21"/>
                <w:lang w:val="en-US" w:eastAsia="zh-CN"/>
              </w:rPr>
              <w:t>公司</w:t>
            </w:r>
            <w:r>
              <w:rPr>
                <w:rFonts w:hint="eastAsia" w:ascii="Times New Roman" w:hAnsi="Times New Roman" w:eastAsia="宋体" w:cstheme="minorEastAsia"/>
                <w:bCs/>
                <w:iCs/>
                <w:color w:val="000000"/>
                <w:kern w:val="0"/>
                <w:szCs w:val="21"/>
              </w:rPr>
              <w:t>除了在</w:t>
            </w:r>
            <w:r>
              <w:rPr>
                <w:rFonts w:hint="eastAsia" w:ascii="Times New Roman" w:hAnsi="Times New Roman" w:eastAsia="宋体" w:cstheme="minorEastAsia"/>
                <w:bCs/>
                <w:iCs/>
                <w:color w:val="000000"/>
                <w:kern w:val="0"/>
                <w:szCs w:val="21"/>
                <w:lang w:val="en-US" w:eastAsia="zh-CN"/>
              </w:rPr>
              <w:t>智慧监控及感知领域</w:t>
            </w:r>
            <w:r>
              <w:rPr>
                <w:rFonts w:hint="eastAsia" w:ascii="Times New Roman" w:hAnsi="Times New Roman" w:eastAsia="宋体" w:cstheme="minorEastAsia"/>
                <w:bCs/>
                <w:iCs/>
                <w:color w:val="000000"/>
                <w:kern w:val="0"/>
                <w:szCs w:val="21"/>
              </w:rPr>
              <w:t>的应用，</w:t>
            </w:r>
            <w:r>
              <w:rPr>
                <w:rFonts w:hint="eastAsia" w:ascii="Times New Roman" w:hAnsi="Times New Roman" w:eastAsia="宋体" w:cstheme="minorEastAsia"/>
                <w:bCs/>
                <w:iCs/>
                <w:color w:val="000000"/>
                <w:kern w:val="0"/>
                <w:szCs w:val="21"/>
                <w:lang w:val="en-US" w:eastAsia="zh-CN"/>
              </w:rPr>
              <w:t>还涉及到智能检测及识别、视频通讯机交互、高清拍摄及显示等应用领域，产品可应用于</w:t>
            </w:r>
            <w:r>
              <w:rPr>
                <w:rFonts w:hint="eastAsia" w:ascii="Times New Roman" w:hAnsi="Times New Roman" w:eastAsia="宋体" w:cstheme="minorEastAsia"/>
                <w:bCs/>
                <w:iCs/>
                <w:color w:val="000000"/>
                <w:kern w:val="0"/>
                <w:szCs w:val="21"/>
              </w:rPr>
              <w:t>无人机、视频会议、投影显示</w:t>
            </w:r>
            <w:r>
              <w:rPr>
                <w:rFonts w:hint="eastAsia" w:ascii="Times New Roman" w:hAnsi="Times New Roman" w:eastAsia="宋体" w:cstheme="minorEastAsia"/>
                <w:bCs/>
                <w:iCs/>
                <w:color w:val="000000"/>
                <w:kern w:val="0"/>
                <w:szCs w:val="21"/>
                <w:lang w:val="en-US" w:eastAsia="zh-CN"/>
              </w:rPr>
              <w:t>等产品，</w:t>
            </w:r>
            <w:r>
              <w:rPr>
                <w:rFonts w:hint="eastAsia" w:ascii="Times New Roman" w:hAnsi="Times New Roman" w:eastAsia="宋体" w:cstheme="minorEastAsia"/>
                <w:bCs/>
                <w:iCs/>
                <w:color w:val="000000"/>
                <w:kern w:val="0"/>
                <w:szCs w:val="21"/>
              </w:rPr>
              <w:t>智能门铃</w:t>
            </w:r>
            <w:r>
              <w:rPr>
                <w:rFonts w:hint="eastAsia" w:ascii="Times New Roman" w:hAnsi="Times New Roman" w:eastAsia="宋体" w:cstheme="minorEastAsia"/>
                <w:bCs/>
                <w:iCs/>
                <w:color w:val="000000"/>
                <w:kern w:val="0"/>
                <w:szCs w:val="21"/>
                <w:lang w:val="en-US" w:eastAsia="zh-CN"/>
              </w:rPr>
              <w:t>及</w:t>
            </w:r>
            <w:r>
              <w:rPr>
                <w:rFonts w:hint="eastAsia" w:ascii="Times New Roman" w:hAnsi="Times New Roman" w:eastAsia="宋体" w:cstheme="minorEastAsia"/>
                <w:bCs/>
                <w:iCs/>
                <w:color w:val="000000"/>
                <w:kern w:val="0"/>
                <w:szCs w:val="21"/>
              </w:rPr>
              <w:t>扫地机器人等智能家居</w:t>
            </w:r>
            <w:r>
              <w:rPr>
                <w:rFonts w:hint="eastAsia" w:ascii="Times New Roman" w:hAnsi="Times New Roman" w:eastAsia="宋体" w:cstheme="minorEastAsia"/>
                <w:bCs/>
                <w:iCs/>
                <w:color w:val="000000"/>
                <w:kern w:val="0"/>
                <w:szCs w:val="21"/>
                <w:lang w:val="en-US" w:eastAsia="zh-CN"/>
              </w:rPr>
              <w:t>产品</w:t>
            </w:r>
            <w:r>
              <w:rPr>
                <w:rFonts w:hint="eastAsia" w:ascii="Times New Roman" w:hAnsi="Times New Roman" w:eastAsia="宋体" w:cstheme="minorEastAsia"/>
                <w:bCs/>
                <w:iCs/>
                <w:color w:val="000000"/>
                <w:kern w:val="0"/>
                <w:szCs w:val="21"/>
              </w:rPr>
              <w:t>，智能手表、行车记录仪、直播相机等AIOT类产品，并且</w:t>
            </w:r>
            <w:r>
              <w:rPr>
                <w:rFonts w:hint="eastAsia" w:ascii="Times New Roman" w:hAnsi="Times New Roman" w:eastAsia="宋体" w:cstheme="minorEastAsia"/>
                <w:bCs/>
                <w:iCs/>
                <w:color w:val="000000"/>
                <w:kern w:val="0"/>
                <w:szCs w:val="21"/>
                <w:lang w:val="en-US" w:eastAsia="zh-CN"/>
              </w:rPr>
              <w:t>已经</w:t>
            </w:r>
            <w:r>
              <w:rPr>
                <w:rFonts w:hint="eastAsia" w:ascii="Times New Roman" w:hAnsi="Times New Roman" w:eastAsia="宋体" w:cstheme="minorEastAsia"/>
                <w:bCs/>
                <w:iCs/>
                <w:color w:val="000000"/>
                <w:kern w:val="0"/>
                <w:szCs w:val="21"/>
              </w:rPr>
              <w:t>在智能驾驶、工业检测等领域逐步开发并深入布局相关产品。</w:t>
            </w:r>
          </w:p>
          <w:p w14:paraId="38B4DC58">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3、公司安防领域业务占公司营收的比重？</w:t>
            </w:r>
          </w:p>
          <w:p w14:paraId="50AA8461">
            <w:pPr>
              <w:pStyle w:val="14"/>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jc w:val="left"/>
              <w:textAlignment w:val="auto"/>
              <w:rPr>
                <w:rFonts w:hint="eastAsia"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近些年随着公司新兴领域的业务拓展及产品起量，公司安防领域业务占公司营收的比重逐年降低；公司前五大客户中安防领域客户的集中度也在逐年降低。但是安防领域业务的绝对值仍然保持稳定的增长，一方面，公司的超长焦、大倍率变焦镜头在边防海防、高铁沿线、江河沿岸等智慧安防监控项目中有较好的应用空间；另一方面，公司逐步开发并量产了IPC、ITS等产品，进一步完善了公司安防类产品线。</w:t>
            </w:r>
          </w:p>
          <w:p w14:paraId="1276C995">
            <w:pPr>
              <w:pStyle w:val="14"/>
              <w:keepNext w:val="0"/>
              <w:keepLines w:val="0"/>
              <w:pageBreakBefore w:val="0"/>
              <w:widowControl/>
              <w:numPr>
                <w:ilvl w:val="0"/>
                <w:numId w:val="1"/>
              </w:numPr>
              <w:kinsoku/>
              <w:wordWrap/>
              <w:overflowPunct/>
              <w:topLinePunct w:val="0"/>
              <w:autoSpaceDE/>
              <w:autoSpaceDN/>
              <w:bidi w:val="0"/>
              <w:adjustRightInd/>
              <w:snapToGrid/>
              <w:spacing w:before="156" w:beforeLines="50" w:after="156" w:afterLines="50" w:line="240" w:lineRule="auto"/>
              <w:ind w:left="-420" w:leftChars="0" w:firstLineChars="0"/>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光学镜头产品的进入门槛是什么？</w:t>
            </w:r>
          </w:p>
          <w:p w14:paraId="76DF07BD">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default"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答：一方面，</w:t>
            </w:r>
            <w:r>
              <w:rPr>
                <w:rFonts w:hint="default" w:ascii="Times New Roman" w:hAnsi="Times New Roman" w:eastAsia="宋体" w:cstheme="minorEastAsia"/>
                <w:b w:val="0"/>
                <w:bCs w:val="0"/>
                <w:iCs/>
                <w:color w:val="000000"/>
                <w:kern w:val="0"/>
                <w:szCs w:val="21"/>
                <w:lang w:val="en-US" w:eastAsia="zh-CN"/>
              </w:rPr>
              <w:t>光学镜头设计的过程是焦距、解像力、光圈、靶面、像差、体积乃至制造成本等众多相互影响的指标间的平衡，任一指标要求的提升，均会使得光学镜头设计难度及加工难度上升。随着下游应用领域的广度和深度的拓展，非标准化需求提高了产品设计和制造的难度，公司需要在专注的技术领域进行长期积累和不断投入方能提供满足客户需求的产品</w:t>
            </w:r>
            <w:r>
              <w:rPr>
                <w:rFonts w:hint="eastAsia" w:ascii="Times New Roman" w:hAnsi="Times New Roman" w:eastAsia="宋体" w:cstheme="minorEastAsia"/>
                <w:b w:val="0"/>
                <w:bCs w:val="0"/>
                <w:iCs/>
                <w:color w:val="000000"/>
                <w:kern w:val="0"/>
                <w:szCs w:val="21"/>
                <w:lang w:val="en-US" w:eastAsia="zh-CN"/>
              </w:rPr>
              <w:t>；</w:t>
            </w:r>
            <w:r>
              <w:rPr>
                <w:rFonts w:hint="default" w:ascii="Times New Roman" w:hAnsi="Times New Roman" w:eastAsia="宋体" w:cstheme="minorEastAsia"/>
                <w:b w:val="0"/>
                <w:bCs w:val="0"/>
                <w:iCs/>
                <w:color w:val="000000"/>
                <w:kern w:val="0"/>
                <w:szCs w:val="21"/>
                <w:lang w:val="en-US" w:eastAsia="zh-CN"/>
              </w:rPr>
              <w:t>同时，在长期产品研发过程中</w:t>
            </w:r>
            <w:r>
              <w:rPr>
                <w:rFonts w:hint="eastAsia" w:ascii="Times New Roman" w:hAnsi="Times New Roman" w:eastAsia="宋体" w:cstheme="minorEastAsia"/>
                <w:b w:val="0"/>
                <w:bCs w:val="0"/>
                <w:iCs/>
                <w:color w:val="000000"/>
                <w:kern w:val="0"/>
                <w:szCs w:val="21"/>
                <w:lang w:val="en-US" w:eastAsia="zh-CN"/>
              </w:rPr>
              <w:t>需要</w:t>
            </w:r>
            <w:r>
              <w:rPr>
                <w:rFonts w:hint="default" w:ascii="Times New Roman" w:hAnsi="Times New Roman" w:eastAsia="宋体" w:cstheme="minorEastAsia"/>
                <w:b w:val="0"/>
                <w:bCs w:val="0"/>
                <w:iCs/>
                <w:color w:val="000000"/>
                <w:kern w:val="0"/>
                <w:szCs w:val="21"/>
                <w:lang w:val="en-US" w:eastAsia="zh-CN"/>
              </w:rPr>
              <w:t>建立健全设计评审体系、丰富产品数据库并不断积累设计经验值，形成技术指导应用，应用积累技术的良性循环</w:t>
            </w:r>
            <w:r>
              <w:rPr>
                <w:rFonts w:hint="eastAsia" w:ascii="Times New Roman" w:hAnsi="Times New Roman" w:eastAsia="宋体" w:cstheme="minorEastAsia"/>
                <w:b w:val="0"/>
                <w:bCs w:val="0"/>
                <w:iCs/>
                <w:color w:val="000000"/>
                <w:kern w:val="0"/>
                <w:szCs w:val="21"/>
                <w:lang w:val="en-US" w:eastAsia="zh-CN"/>
              </w:rPr>
              <w:t>；另一方面，</w:t>
            </w:r>
            <w:r>
              <w:rPr>
                <w:rFonts w:hint="default" w:ascii="Times New Roman" w:hAnsi="Times New Roman" w:eastAsia="宋体" w:cstheme="minorEastAsia"/>
                <w:b w:val="0"/>
                <w:bCs w:val="0"/>
                <w:iCs/>
                <w:color w:val="000000"/>
                <w:kern w:val="0"/>
                <w:szCs w:val="21"/>
                <w:lang w:val="en-US" w:eastAsia="zh-CN"/>
              </w:rPr>
              <w:t>镜头从设计到量产可能涉及数十次的设计变更，而工程验证、设计验证及小批量生产是链接理论设计及产业化应用的重要环节，需要全产业链的紧密沟通与协同发展。</w:t>
            </w:r>
          </w:p>
          <w:p w14:paraId="17F5AD4A">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5、公司和同行业公司光学产品的区别是什么？</w:t>
            </w:r>
          </w:p>
          <w:p w14:paraId="132BCBE5">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主要是产品的技术积累和应用领域相对侧重点不同，市场竞争格局存在差异化特征，且中低端产品的市场竞争充分。随着公司业务领域的不断丰富，产品品类也越来越多。目前，公司具备全玻、玻塑、全塑等各种镜材质及其组合的产品研制能力，形成了以大倍率变焦为优势，涵盖中小倍率变焦和定焦的全类型产品线，并已经开发出了红外热成像镜头产品。</w:t>
            </w:r>
          </w:p>
          <w:p w14:paraId="6AE017E8">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6、戴斯光电的核心产品和技术有哪些？</w:t>
            </w:r>
          </w:p>
          <w:p w14:paraId="0A39D45C">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戴斯光电的产品以精密光学元件为主，主要应用于激光应用领域的核心零部件的生产制造，实现激光的发射、传输及接收等功能，满足下游不同类型激光应用系统客户的需要。下游激光应用市场主要包括激光加工设备、光通讯器件与设备、激光测量设备、激光医疗设备等，其中激光器是激光产业的核心器件，系公司产品下游应用的重要载体。此外，公司在半导体设备检测、生物医疗设备等应用领域，也具备定制化开发复杂光学模组和光路系统并提供一体化解决方案的能力。戴斯光电与工业激光、光通讯、半导体设备、生物医疗、光学检测、自动驾驶、消费电子及前沿科研等各细分应用领域的境内外知名客户建立稳定合作关系。</w:t>
            </w:r>
          </w:p>
          <w:p w14:paraId="5F89F15F">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7、公司的无人机产品有哪些？</w:t>
            </w:r>
          </w:p>
          <w:p w14:paraId="113E04F3">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答：公司通过掌握的轻量化技术和抗振动技术，开发出了无人机用的光学镜头产品，包括变焦镜头、定焦镜头，正在开发无人机载热成像镜头。</w:t>
            </w:r>
          </w:p>
          <w:p w14:paraId="356CFF0D">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default"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8、无人机产品应用领域有哪些？</w:t>
            </w:r>
          </w:p>
          <w:p w14:paraId="15E16937">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答：公司的无人机镜头提供给大疆等整机客户应用于电力巡检、山林搜寻、河道检测、航拍等场景，还可提供部分做无人机相机模组的客户，这类客户的产品有部分在穿越机（FPV）上应用。</w:t>
            </w:r>
          </w:p>
          <w:p w14:paraId="26D0B960">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9、公司的产品应用于军工领域吗？</w:t>
            </w:r>
          </w:p>
          <w:p w14:paraId="5F641D72">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答：中润光学目前不具备军工产品的研制资质，目前暂无直接应用于军工领域的产品。</w:t>
            </w:r>
          </w:p>
          <w:p w14:paraId="28F547D2">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10、公司车载类产品有哪些？</w:t>
            </w:r>
          </w:p>
          <w:p w14:paraId="0D2D95DE">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公司已经通过汽车行业的体系认证，目前在车载方面的产品主要是车内OMS、DMS等产品，并已经完成了ADAS产品的设计开发，今后将进一步加强相关产品的客户开拓；此外，戴斯光电可为车载激光雷达提供柱面镜、楔形片等全套光学元件，进一步完善了公司在智能驾驶领域的产品线。</w:t>
            </w:r>
          </w:p>
          <w:p w14:paraId="7E424EE7">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11、戴斯光电2025年业绩预期如何？</w:t>
            </w:r>
          </w:p>
          <w:p w14:paraId="62D15C33">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戴斯光电基于对未来业绩的发展预期，给出了2025-2027年三年合计实现净利润9000万元的承诺。戴斯光电整体毛利率水平较高，未来随着规模化发展，公司将通过更加精细化的管控，进一步降低其费用率，提高盈利水平。</w:t>
            </w:r>
          </w:p>
          <w:p w14:paraId="4499EAAF">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12、公司后续是否还会推行新一轮的股票激励计划？</w:t>
            </w:r>
          </w:p>
          <w:p w14:paraId="78D5F7F1">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公司一直高度重视优秀管理团队的搭建和专业人才的培养和储备，坚持通过不断引进高端人才、扩大优秀研发团队、加强人才储备以及对骨干员工实施股权激励政策等措施，保障人力资源的可持续发展。后续新的激励计划需要结合公司未来战略、发展规划及市场情况综合考虑，如有后续新的激励计划，公司将严格按照有关法律法规的规定及时履行信息披露义务。</w:t>
            </w:r>
          </w:p>
          <w:p w14:paraId="5EB533C3">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13、公司海外业务开拓情况如何？</w:t>
            </w:r>
          </w:p>
          <w:p w14:paraId="24F70FF1">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textAlignment w:val="auto"/>
              <w:rPr>
                <w:rFonts w:hint="default"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公司非常重视海外市场的开拓，近年来海外业务持续增长，未来也将继续加强海外市场开拓。戴斯光电海外业务占比也较高，海外客户质量优异。戴斯光电在泰国设立的子公司正在建设期，待其投入生产后，将可以作为公司及戴斯光电海外生产基地，为海外客户提供服务。</w:t>
            </w:r>
          </w:p>
          <w:p w14:paraId="52FCF546">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ind w:leftChars="0"/>
              <w:textAlignment w:val="auto"/>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14、公司2025年研发费用投入情况如何？</w:t>
            </w:r>
          </w:p>
          <w:p w14:paraId="775FB17F">
            <w:pPr>
              <w:pStyle w:val="14"/>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ind w:leftChars="0"/>
              <w:textAlignment w:val="auto"/>
              <w:rPr>
                <w:rFonts w:hint="default"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答：随着公司开发产品品类和项目增加，公司研发投入将有所增加，进一步提升研发实力，为今后业务成长奠定基础。</w:t>
            </w:r>
          </w:p>
        </w:tc>
      </w:tr>
      <w:tr w14:paraId="0214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7D2620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附件清单（如有）</w:t>
            </w:r>
          </w:p>
        </w:tc>
        <w:tc>
          <w:tcPr>
            <w:tcW w:w="6819" w:type="dxa"/>
            <w:tcBorders>
              <w:top w:val="single" w:color="auto" w:sz="4" w:space="0"/>
              <w:left w:val="single" w:color="auto" w:sz="4" w:space="0"/>
              <w:bottom w:val="single" w:color="auto" w:sz="4" w:space="0"/>
              <w:right w:val="single" w:color="auto" w:sz="4" w:space="0"/>
            </w:tcBorders>
            <w:vAlign w:val="center"/>
          </w:tcPr>
          <w:p w14:paraId="5D0774B1">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无</w:t>
            </w:r>
          </w:p>
        </w:tc>
      </w:tr>
      <w:tr w14:paraId="7EA4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6AB90CBE">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日期</w:t>
            </w:r>
          </w:p>
        </w:tc>
        <w:tc>
          <w:tcPr>
            <w:tcW w:w="6819" w:type="dxa"/>
            <w:tcBorders>
              <w:top w:val="single" w:color="auto" w:sz="4" w:space="0"/>
              <w:left w:val="single" w:color="auto" w:sz="4" w:space="0"/>
              <w:bottom w:val="single" w:color="auto" w:sz="4" w:space="0"/>
              <w:right w:val="single" w:color="auto" w:sz="4" w:space="0"/>
            </w:tcBorders>
            <w:vAlign w:val="center"/>
          </w:tcPr>
          <w:p w14:paraId="582AD7C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w:t>
            </w:r>
            <w:r>
              <w:rPr>
                <w:rFonts w:ascii="Times New Roman" w:hAnsi="Times New Roman" w:eastAsia="宋体" w:cstheme="minorEastAsia"/>
                <w:bCs/>
                <w:iCs/>
                <w:color w:val="000000"/>
                <w:kern w:val="0"/>
                <w:szCs w:val="21"/>
              </w:rPr>
              <w:t>5</w:t>
            </w:r>
            <w:r>
              <w:rPr>
                <w:rFonts w:hint="eastAsia" w:ascii="Times New Roman" w:hAnsi="Times New Roman" w:eastAsia="宋体" w:cstheme="minorEastAsia"/>
                <w:bCs/>
                <w:iCs/>
                <w:color w:val="000000"/>
                <w:kern w:val="0"/>
                <w:szCs w:val="21"/>
              </w:rPr>
              <w:t>年</w:t>
            </w:r>
            <w:r>
              <w:rPr>
                <w:rFonts w:hint="eastAsia" w:ascii="Times New Roman" w:hAnsi="Times New Roman" w:eastAsia="宋体" w:cstheme="minorEastAsia"/>
                <w:bCs/>
                <w:iCs/>
                <w:color w:val="000000"/>
                <w:kern w:val="0"/>
                <w:szCs w:val="21"/>
                <w:lang w:val="en-US" w:eastAsia="zh-CN"/>
              </w:rPr>
              <w:t>7</w:t>
            </w:r>
            <w:r>
              <w:rPr>
                <w:rFonts w:hint="eastAsia" w:ascii="Times New Roman" w:hAnsi="Times New Roman" w:eastAsia="宋体" w:cstheme="minorEastAsia"/>
                <w:bCs/>
                <w:iCs/>
                <w:color w:val="000000"/>
                <w:kern w:val="0"/>
                <w:szCs w:val="21"/>
              </w:rPr>
              <w:t>月2</w:t>
            </w:r>
            <w:r>
              <w:rPr>
                <w:rFonts w:hint="eastAsia" w:ascii="Times New Roman" w:hAnsi="Times New Roman" w:eastAsia="宋体" w:cstheme="minorEastAsia"/>
                <w:bCs/>
                <w:iCs/>
                <w:color w:val="000000"/>
                <w:kern w:val="0"/>
                <w:szCs w:val="21"/>
                <w:lang w:val="en-US" w:eastAsia="zh-CN"/>
              </w:rPr>
              <w:t>9</w:t>
            </w:r>
            <w:r>
              <w:rPr>
                <w:rFonts w:hint="eastAsia" w:ascii="Times New Roman" w:hAnsi="Times New Roman" w:eastAsia="宋体" w:cstheme="minorEastAsia"/>
                <w:bCs/>
                <w:iCs/>
                <w:color w:val="000000"/>
                <w:kern w:val="0"/>
                <w:szCs w:val="21"/>
              </w:rPr>
              <w:t>日</w:t>
            </w:r>
            <w:r>
              <w:rPr>
                <w:rFonts w:hint="eastAsia" w:ascii="Times New Roman" w:hAnsi="Times New Roman" w:eastAsia="宋体" w:cstheme="minorEastAsia"/>
                <w:bCs/>
                <w:iCs/>
                <w:color w:val="000000"/>
                <w:kern w:val="0"/>
                <w:szCs w:val="21"/>
                <w:lang w:val="en-US" w:eastAsia="zh-CN"/>
              </w:rPr>
              <w:t>-2025年7月31日</w:t>
            </w:r>
          </w:p>
        </w:tc>
      </w:tr>
    </w:tbl>
    <w:p w14:paraId="0FF451FF">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D2159"/>
    <w:multiLevelType w:val="singleLevel"/>
    <w:tmpl w:val="67BD2159"/>
    <w:lvl w:ilvl="0" w:tentative="0">
      <w:start w:val="4"/>
      <w:numFmt w:val="decimal"/>
      <w:suff w:val="nothing"/>
      <w:lvlText w:val="%1、"/>
      <w:lvlJc w:val="left"/>
      <w:pPr>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6339EA"/>
    <w:rsid w:val="00003B81"/>
    <w:rsid w:val="000209A2"/>
    <w:rsid w:val="000264E4"/>
    <w:rsid w:val="0002789F"/>
    <w:rsid w:val="00083211"/>
    <w:rsid w:val="00121638"/>
    <w:rsid w:val="00145381"/>
    <w:rsid w:val="001A091F"/>
    <w:rsid w:val="001D5846"/>
    <w:rsid w:val="001D600F"/>
    <w:rsid w:val="00201726"/>
    <w:rsid w:val="0027534D"/>
    <w:rsid w:val="0029556D"/>
    <w:rsid w:val="002A2F0A"/>
    <w:rsid w:val="002B3E75"/>
    <w:rsid w:val="002B7649"/>
    <w:rsid w:val="003404A5"/>
    <w:rsid w:val="003742CE"/>
    <w:rsid w:val="003804ED"/>
    <w:rsid w:val="00394B23"/>
    <w:rsid w:val="003A2339"/>
    <w:rsid w:val="003E32C8"/>
    <w:rsid w:val="003E4EE0"/>
    <w:rsid w:val="00440A5E"/>
    <w:rsid w:val="004A06D7"/>
    <w:rsid w:val="004E04FB"/>
    <w:rsid w:val="004E2611"/>
    <w:rsid w:val="005171D8"/>
    <w:rsid w:val="00517560"/>
    <w:rsid w:val="00546AEF"/>
    <w:rsid w:val="00583667"/>
    <w:rsid w:val="006122F1"/>
    <w:rsid w:val="006339EA"/>
    <w:rsid w:val="006431E3"/>
    <w:rsid w:val="00647DE6"/>
    <w:rsid w:val="00691F8D"/>
    <w:rsid w:val="006C4B57"/>
    <w:rsid w:val="006F1B45"/>
    <w:rsid w:val="00711536"/>
    <w:rsid w:val="00711EFE"/>
    <w:rsid w:val="0072288E"/>
    <w:rsid w:val="00764D34"/>
    <w:rsid w:val="007940B7"/>
    <w:rsid w:val="007F6EB3"/>
    <w:rsid w:val="00837EBF"/>
    <w:rsid w:val="00852E88"/>
    <w:rsid w:val="00890A96"/>
    <w:rsid w:val="008A7491"/>
    <w:rsid w:val="008A7DDF"/>
    <w:rsid w:val="00902F1D"/>
    <w:rsid w:val="009168CA"/>
    <w:rsid w:val="00961130"/>
    <w:rsid w:val="00966EBC"/>
    <w:rsid w:val="0098115F"/>
    <w:rsid w:val="009878F5"/>
    <w:rsid w:val="009A6A2C"/>
    <w:rsid w:val="009B6911"/>
    <w:rsid w:val="00A73CE5"/>
    <w:rsid w:val="00AD0BA1"/>
    <w:rsid w:val="00AF2B0E"/>
    <w:rsid w:val="00B01053"/>
    <w:rsid w:val="00B13553"/>
    <w:rsid w:val="00B15CFA"/>
    <w:rsid w:val="00B27E93"/>
    <w:rsid w:val="00B63BFE"/>
    <w:rsid w:val="00B76F3B"/>
    <w:rsid w:val="00B82C8A"/>
    <w:rsid w:val="00C32618"/>
    <w:rsid w:val="00C358D4"/>
    <w:rsid w:val="00C5573B"/>
    <w:rsid w:val="00C85FE9"/>
    <w:rsid w:val="00D335FB"/>
    <w:rsid w:val="00D45D5F"/>
    <w:rsid w:val="00D559E6"/>
    <w:rsid w:val="00D57928"/>
    <w:rsid w:val="00D62189"/>
    <w:rsid w:val="00D92521"/>
    <w:rsid w:val="00D92CDE"/>
    <w:rsid w:val="00DF6376"/>
    <w:rsid w:val="00E326C3"/>
    <w:rsid w:val="00E3441C"/>
    <w:rsid w:val="00E95430"/>
    <w:rsid w:val="00E968A5"/>
    <w:rsid w:val="00EA01C4"/>
    <w:rsid w:val="00EA759C"/>
    <w:rsid w:val="00EE5965"/>
    <w:rsid w:val="00EE64F5"/>
    <w:rsid w:val="00EF46A6"/>
    <w:rsid w:val="00F0120D"/>
    <w:rsid w:val="00F34976"/>
    <w:rsid w:val="00FB5ECF"/>
    <w:rsid w:val="00FC6913"/>
    <w:rsid w:val="030952DB"/>
    <w:rsid w:val="03C3303C"/>
    <w:rsid w:val="04660532"/>
    <w:rsid w:val="050D4BEE"/>
    <w:rsid w:val="051E25B2"/>
    <w:rsid w:val="05FB7C02"/>
    <w:rsid w:val="065378F8"/>
    <w:rsid w:val="06E53B5E"/>
    <w:rsid w:val="0955056D"/>
    <w:rsid w:val="0B144023"/>
    <w:rsid w:val="0B1C3058"/>
    <w:rsid w:val="0B2D6095"/>
    <w:rsid w:val="0B991A59"/>
    <w:rsid w:val="0E2608EE"/>
    <w:rsid w:val="117D11A6"/>
    <w:rsid w:val="118947D1"/>
    <w:rsid w:val="144F7A67"/>
    <w:rsid w:val="15A53339"/>
    <w:rsid w:val="165647D5"/>
    <w:rsid w:val="17745FF2"/>
    <w:rsid w:val="1F9B4988"/>
    <w:rsid w:val="206E5042"/>
    <w:rsid w:val="20F97955"/>
    <w:rsid w:val="261E00D5"/>
    <w:rsid w:val="263B43B9"/>
    <w:rsid w:val="26834513"/>
    <w:rsid w:val="2D207178"/>
    <w:rsid w:val="2F6556A4"/>
    <w:rsid w:val="31CA0785"/>
    <w:rsid w:val="325726FF"/>
    <w:rsid w:val="34360283"/>
    <w:rsid w:val="36C30A11"/>
    <w:rsid w:val="431552FD"/>
    <w:rsid w:val="43545F3B"/>
    <w:rsid w:val="4360375E"/>
    <w:rsid w:val="46AD4193"/>
    <w:rsid w:val="48DB2925"/>
    <w:rsid w:val="4B902710"/>
    <w:rsid w:val="52B13DB7"/>
    <w:rsid w:val="557414EE"/>
    <w:rsid w:val="5A0472F0"/>
    <w:rsid w:val="5ACA2448"/>
    <w:rsid w:val="5FDD4344"/>
    <w:rsid w:val="61DC706D"/>
    <w:rsid w:val="62892229"/>
    <w:rsid w:val="643833E0"/>
    <w:rsid w:val="64A92310"/>
    <w:rsid w:val="67CC3237"/>
    <w:rsid w:val="689653A1"/>
    <w:rsid w:val="6AEE70A1"/>
    <w:rsid w:val="6DD33D6B"/>
    <w:rsid w:val="6E017336"/>
    <w:rsid w:val="6F3A473D"/>
    <w:rsid w:val="72444989"/>
    <w:rsid w:val="727B07B1"/>
    <w:rsid w:val="745875E9"/>
    <w:rsid w:val="7530130A"/>
    <w:rsid w:val="75F008FD"/>
    <w:rsid w:val="771A26C7"/>
    <w:rsid w:val="77A95005"/>
    <w:rsid w:val="7C9F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9"/>
    <w:pPr>
      <w:keepNext/>
      <w:keepLines/>
      <w:spacing w:before="260" w:after="260"/>
      <w:outlineLvl w:val="1"/>
    </w:pPr>
    <w:rPr>
      <w:rFonts w:ascii="Cambria" w:hAnsi="Cambria"/>
      <w:b/>
      <w:bCs/>
      <w:kern w:val="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16">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7"/>
    <w:semiHidden/>
    <w:qFormat/>
    <w:uiPriority w:val="99"/>
    <w:rPr>
      <w:rFonts w:asciiTheme="minorHAnsi" w:hAnsiTheme="minorHAnsi" w:eastAsiaTheme="minorEastAsia" w:cstheme="minorBidi"/>
      <w:b/>
      <w:bCs/>
      <w:kern w:val="2"/>
      <w:sz w:val="21"/>
      <w:szCs w:val="22"/>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2503</Words>
  <Characters>2572</Characters>
  <Lines>11</Lines>
  <Paragraphs>3</Paragraphs>
  <TotalTime>16</TotalTime>
  <ScaleCrop>false</ScaleCrop>
  <LinksUpToDate>false</LinksUpToDate>
  <CharactersWithSpaces>2701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2025-05-29T01:36:00Z</dcterms:created>
  <dc:creator>yun</dc:creator>
  <cp:lastModifiedBy>sly</cp:lastModifiedBy>
  <cp:lastPrinted>2023-05-30T03:18:00Z</cp:lastPrinted>
  <dcterms:modified xsi:type="dcterms:W3CDTF">2025-07-31T09:32:00Z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8206A1113CDE47A38A1057B0F733342D_13</vt:lpwstr>
  </property>
  <property fmtid="{D5CDD505-2E9C-101B-9397-08002B2CF9AE}" pid="4" name="KSOTemplateDocerSaveRecord">
    <vt:lpwstr>eyJoZGlkIjoiN2ZkN2U0NTE2ZWZjNGNkOGYwMTY5ODIwZjEyYjUxNGMiLCJ1c2VySWQiOiIxMzE5MjAwNDY4In0=</vt:lpwstr>
  </property>
</Properties>
</file>