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7F215">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w:t>
      </w:r>
      <w:r>
        <w:rPr>
          <w:bCs/>
          <w:iCs/>
          <w:color w:val="000000"/>
          <w:sz w:val="24"/>
        </w:rPr>
        <w:t xml:space="preserve">码：688510  </w:t>
      </w:r>
      <w:r>
        <w:rPr>
          <w:rFonts w:hint="eastAsia" w:ascii="宋体" w:hAnsi="宋体"/>
          <w:bCs/>
          <w:iCs/>
          <w:color w:val="000000"/>
          <w:sz w:val="24"/>
        </w:rPr>
        <w:t xml:space="preserve">                                 证券简称：航亚科技</w:t>
      </w:r>
    </w:p>
    <w:p w14:paraId="789D0C43">
      <w:pPr>
        <w:spacing w:before="156" w:beforeLines="50" w:after="156" w:afterLines="50" w:line="400" w:lineRule="exact"/>
        <w:jc w:val="center"/>
        <w:rPr>
          <w:rFonts w:ascii="黑体" w:hAnsi="黑体" w:eastAsia="黑体"/>
          <w:b/>
          <w:bCs/>
          <w:iCs/>
          <w:color w:val="000000"/>
          <w:sz w:val="32"/>
          <w:szCs w:val="32"/>
        </w:rPr>
      </w:pPr>
    </w:p>
    <w:p w14:paraId="635F0D35">
      <w:pPr>
        <w:spacing w:before="156" w:beforeLines="50" w:after="156" w:afterLines="50" w:line="400" w:lineRule="exact"/>
        <w:jc w:val="center"/>
        <w:rPr>
          <w:rFonts w:ascii="黑体" w:hAnsi="黑体" w:eastAsia="黑体"/>
          <w:b/>
          <w:bCs/>
          <w:iCs/>
          <w:color w:val="000000"/>
          <w:sz w:val="32"/>
          <w:szCs w:val="32"/>
        </w:rPr>
      </w:pPr>
      <w:r>
        <w:rPr>
          <w:rFonts w:hint="eastAsia" w:ascii="黑体" w:hAnsi="黑体" w:eastAsia="黑体"/>
          <w:b/>
          <w:bCs/>
          <w:iCs/>
          <w:color w:val="000000"/>
          <w:sz w:val="32"/>
          <w:szCs w:val="32"/>
        </w:rPr>
        <w:t>无锡航亚科技股份有限公司</w:t>
      </w:r>
    </w:p>
    <w:p w14:paraId="3BEC6FD5">
      <w:pPr>
        <w:spacing w:before="156" w:beforeLines="50" w:after="156" w:afterLines="50" w:line="400" w:lineRule="exact"/>
        <w:jc w:val="center"/>
        <w:rPr>
          <w:rFonts w:ascii="黑体" w:hAnsi="黑体" w:eastAsia="黑体"/>
          <w:b/>
          <w:bCs/>
          <w:iCs/>
          <w:color w:val="000000"/>
          <w:sz w:val="32"/>
          <w:szCs w:val="32"/>
        </w:rPr>
      </w:pPr>
      <w:r>
        <w:rPr>
          <w:rFonts w:hint="eastAsia" w:ascii="黑体" w:hAnsi="黑体" w:eastAsia="黑体"/>
          <w:b/>
          <w:bCs/>
          <w:iCs/>
          <w:color w:val="000000"/>
          <w:sz w:val="32"/>
          <w:szCs w:val="32"/>
        </w:rPr>
        <w:t>投资者关系活动记录表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14:paraId="232F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75717CC0">
            <w:pPr>
              <w:spacing w:line="480" w:lineRule="atLeast"/>
              <w:jc w:val="center"/>
              <w:rPr>
                <w:rFonts w:ascii="宋体" w:hAnsi="宋体"/>
                <w:bCs/>
                <w:iCs/>
                <w:color w:val="000000"/>
                <w:sz w:val="24"/>
              </w:rPr>
            </w:pPr>
            <w:r>
              <w:rPr>
                <w:rFonts w:hint="eastAsia" w:ascii="宋体" w:hAnsi="宋体"/>
                <w:bCs/>
                <w:iCs/>
                <w:color w:val="000000"/>
                <w:sz w:val="24"/>
              </w:rPr>
              <w:t>活动类别</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1DCBC358">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特定对象调研         </w:t>
            </w:r>
            <w:r>
              <w:rPr>
                <w:rFonts w:hint="eastAsia" w:ascii="宋体" w:hAnsi="宋体"/>
                <w:bCs/>
                <w:iCs/>
                <w:color w:val="000000"/>
                <w:sz w:val="24"/>
              </w:rPr>
              <w:t>□</w:t>
            </w:r>
            <w:r>
              <w:rPr>
                <w:rFonts w:hint="eastAsia" w:ascii="宋体" w:hAnsi="宋体"/>
                <w:sz w:val="24"/>
              </w:rPr>
              <w:t>分析师会议</w:t>
            </w:r>
          </w:p>
          <w:p w14:paraId="2D11C888">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媒体采访             </w:t>
            </w:r>
            <w:r>
              <w:rPr>
                <w:rFonts w:hint="eastAsia" w:ascii="宋体" w:hAnsi="宋体"/>
                <w:bCs/>
                <w:iCs/>
                <w:color w:val="000000"/>
                <w:sz w:val="24"/>
              </w:rPr>
              <w:t>□</w:t>
            </w:r>
            <w:r>
              <w:rPr>
                <w:rFonts w:hint="eastAsia" w:ascii="宋体" w:hAnsi="宋体"/>
                <w:sz w:val="24"/>
              </w:rPr>
              <w:t>业绩说明会</w:t>
            </w:r>
          </w:p>
          <w:p w14:paraId="1E46E0C6">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新闻发布会           </w:t>
            </w:r>
            <w:r>
              <w:rPr>
                <w:rFonts w:hint="eastAsia" w:ascii="宋体" w:hAnsi="宋体"/>
                <w:bCs/>
                <w:iCs/>
                <w:color w:val="000000"/>
                <w:sz w:val="24"/>
              </w:rPr>
              <w:t>□</w:t>
            </w:r>
            <w:r>
              <w:rPr>
                <w:rFonts w:hint="eastAsia" w:ascii="宋体" w:hAnsi="宋体"/>
                <w:sz w:val="24"/>
              </w:rPr>
              <w:t>路演活动</w:t>
            </w:r>
          </w:p>
          <w:p w14:paraId="012FD5F3">
            <w:pPr>
              <w:tabs>
                <w:tab w:val="left" w:pos="2808"/>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现场参观</w:t>
            </w:r>
            <w:r>
              <w:rPr>
                <w:rFonts w:hint="eastAsia" w:ascii="宋体" w:hAnsi="宋体"/>
                <w:bCs/>
                <w:iCs/>
                <w:color w:val="000000"/>
                <w:sz w:val="24"/>
              </w:rPr>
              <w:tab/>
            </w:r>
            <w:r>
              <w:rPr>
                <w:rFonts w:hint="eastAsia" w:ascii="宋体" w:hAnsi="宋体"/>
                <w:bCs/>
                <w:iCs/>
                <w:color w:val="000000"/>
                <w:sz w:val="24"/>
              </w:rPr>
              <w:t>□</w:t>
            </w:r>
            <w:r>
              <w:rPr>
                <w:rFonts w:hint="eastAsia" w:ascii="宋体" w:hAnsi="宋体"/>
                <w:sz w:val="24"/>
              </w:rPr>
              <w:t>其他 （</w:t>
            </w:r>
            <w:r>
              <w:rPr>
                <w:rFonts w:hint="eastAsia" w:ascii="宋体" w:hAnsi="宋体"/>
                <w:sz w:val="24"/>
                <w:u w:val="single"/>
              </w:rPr>
              <w:t>文字说明）</w:t>
            </w:r>
          </w:p>
        </w:tc>
      </w:tr>
      <w:tr w14:paraId="20BD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72466AF4">
            <w:pPr>
              <w:spacing w:line="480" w:lineRule="atLeast"/>
              <w:jc w:val="center"/>
              <w:rPr>
                <w:rFonts w:ascii="宋体" w:hAnsi="宋体"/>
                <w:bCs/>
                <w:iCs/>
                <w:color w:val="000000"/>
                <w:sz w:val="24"/>
              </w:rPr>
            </w:pPr>
            <w:r>
              <w:rPr>
                <w:rFonts w:hint="eastAsia" w:ascii="宋体" w:hAnsi="宋体"/>
                <w:bCs/>
                <w:iCs/>
                <w:color w:val="000000"/>
                <w:sz w:val="24"/>
              </w:rPr>
              <w:t>参与单位名称</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63B06B0B">
            <w:pPr>
              <w:spacing w:line="480" w:lineRule="atLeast"/>
              <w:rPr>
                <w:rFonts w:hint="eastAsia" w:ascii="宋体" w:hAnsi="宋体"/>
                <w:bCs/>
                <w:iCs/>
                <w:color w:val="000000"/>
                <w:sz w:val="24"/>
              </w:rPr>
            </w:pPr>
            <w:r>
              <w:rPr>
                <w:rFonts w:hint="eastAsia" w:ascii="宋体" w:hAnsi="宋体"/>
                <w:bCs/>
                <w:iCs/>
                <w:color w:val="000000"/>
                <w:sz w:val="24"/>
              </w:rPr>
              <w:t>博时基金</w:t>
            </w:r>
            <w:r>
              <w:rPr>
                <w:rFonts w:hint="eastAsia" w:ascii="宋体" w:hAnsi="宋体"/>
                <w:bCs/>
                <w:iCs/>
                <w:color w:val="000000"/>
                <w:sz w:val="24"/>
                <w:lang w:eastAsia="zh-CN"/>
              </w:rPr>
              <w:t>、</w:t>
            </w:r>
            <w:r>
              <w:rPr>
                <w:rFonts w:hint="eastAsia" w:ascii="宋体" w:hAnsi="宋体"/>
                <w:bCs/>
                <w:iCs/>
                <w:color w:val="000000"/>
                <w:sz w:val="24"/>
              </w:rPr>
              <w:t>重阳投资</w:t>
            </w:r>
            <w:r>
              <w:rPr>
                <w:rFonts w:hint="eastAsia" w:ascii="宋体" w:hAnsi="宋体"/>
                <w:bCs/>
                <w:iCs/>
                <w:color w:val="000000"/>
                <w:sz w:val="24"/>
                <w:lang w:eastAsia="zh-CN"/>
              </w:rPr>
              <w:t>、</w:t>
            </w:r>
            <w:r>
              <w:rPr>
                <w:rFonts w:hint="eastAsia" w:ascii="宋体" w:hAnsi="宋体"/>
                <w:bCs/>
                <w:iCs/>
                <w:color w:val="000000"/>
                <w:sz w:val="24"/>
              </w:rPr>
              <w:t>财通基金</w:t>
            </w:r>
            <w:r>
              <w:rPr>
                <w:rFonts w:hint="eastAsia" w:ascii="宋体" w:hAnsi="宋体"/>
                <w:bCs/>
                <w:iCs/>
                <w:color w:val="000000"/>
                <w:sz w:val="24"/>
                <w:lang w:eastAsia="zh-CN"/>
              </w:rPr>
              <w:t>、</w:t>
            </w:r>
            <w:r>
              <w:rPr>
                <w:rFonts w:hint="eastAsia" w:ascii="宋体" w:hAnsi="宋体"/>
                <w:bCs/>
                <w:iCs/>
                <w:color w:val="000000"/>
                <w:sz w:val="24"/>
              </w:rPr>
              <w:t>大家资产</w:t>
            </w:r>
            <w:r>
              <w:rPr>
                <w:rFonts w:hint="eastAsia" w:ascii="宋体" w:hAnsi="宋体"/>
                <w:bCs/>
                <w:iCs/>
                <w:color w:val="000000"/>
                <w:sz w:val="24"/>
                <w:lang w:eastAsia="zh-CN"/>
              </w:rPr>
              <w:t>、</w:t>
            </w:r>
            <w:r>
              <w:rPr>
                <w:rFonts w:hint="eastAsia" w:ascii="宋体" w:hAnsi="宋体"/>
                <w:bCs/>
                <w:iCs/>
                <w:color w:val="000000"/>
                <w:sz w:val="24"/>
              </w:rPr>
              <w:t>富国基金</w:t>
            </w:r>
            <w:r>
              <w:rPr>
                <w:rFonts w:hint="eastAsia" w:ascii="宋体" w:hAnsi="宋体"/>
                <w:bCs/>
                <w:iCs/>
                <w:color w:val="000000"/>
                <w:sz w:val="24"/>
                <w:lang w:eastAsia="zh-CN"/>
              </w:rPr>
              <w:t>、</w:t>
            </w:r>
            <w:r>
              <w:rPr>
                <w:rFonts w:hint="eastAsia" w:ascii="宋体" w:hAnsi="宋体"/>
                <w:bCs/>
                <w:iCs/>
                <w:color w:val="000000"/>
                <w:sz w:val="24"/>
              </w:rPr>
              <w:t>高盛资管</w:t>
            </w:r>
          </w:p>
          <w:p w14:paraId="07B3152E">
            <w:pPr>
              <w:spacing w:line="480" w:lineRule="atLeast"/>
              <w:rPr>
                <w:rFonts w:hint="eastAsia" w:ascii="宋体" w:hAnsi="宋体"/>
                <w:bCs/>
                <w:iCs/>
                <w:color w:val="000000"/>
                <w:sz w:val="24"/>
              </w:rPr>
            </w:pPr>
            <w:r>
              <w:rPr>
                <w:rFonts w:hint="eastAsia" w:ascii="宋体" w:hAnsi="宋体"/>
                <w:bCs/>
                <w:iCs/>
                <w:color w:val="000000"/>
                <w:sz w:val="24"/>
              </w:rPr>
              <w:t>高毅资产</w:t>
            </w:r>
            <w:r>
              <w:rPr>
                <w:rFonts w:hint="eastAsia" w:ascii="宋体" w:hAnsi="宋体"/>
                <w:bCs/>
                <w:iCs/>
                <w:color w:val="000000"/>
                <w:sz w:val="24"/>
                <w:lang w:eastAsia="zh-CN"/>
              </w:rPr>
              <w:t>、</w:t>
            </w:r>
            <w:r>
              <w:rPr>
                <w:rFonts w:hint="eastAsia" w:ascii="宋体" w:hAnsi="宋体"/>
                <w:bCs/>
                <w:iCs/>
                <w:color w:val="000000"/>
                <w:sz w:val="24"/>
              </w:rPr>
              <w:t>广发证券</w:t>
            </w:r>
            <w:r>
              <w:rPr>
                <w:rFonts w:hint="eastAsia" w:ascii="宋体" w:hAnsi="宋体"/>
                <w:bCs/>
                <w:iCs/>
                <w:color w:val="000000"/>
                <w:sz w:val="24"/>
                <w:lang w:eastAsia="zh-CN"/>
              </w:rPr>
              <w:t>、</w:t>
            </w:r>
            <w:r>
              <w:rPr>
                <w:rFonts w:hint="eastAsia" w:ascii="宋体" w:hAnsi="宋体"/>
                <w:bCs/>
                <w:iCs/>
                <w:color w:val="000000"/>
                <w:sz w:val="24"/>
              </w:rPr>
              <w:t>国海证券</w:t>
            </w:r>
            <w:r>
              <w:rPr>
                <w:rFonts w:hint="eastAsia" w:ascii="宋体" w:hAnsi="宋体"/>
                <w:bCs/>
                <w:iCs/>
                <w:color w:val="000000"/>
                <w:sz w:val="24"/>
                <w:lang w:eastAsia="zh-CN"/>
              </w:rPr>
              <w:t>、</w:t>
            </w:r>
            <w:r>
              <w:rPr>
                <w:rFonts w:hint="eastAsia" w:ascii="宋体" w:hAnsi="宋体"/>
                <w:bCs/>
                <w:iCs/>
                <w:color w:val="000000"/>
                <w:sz w:val="24"/>
              </w:rPr>
              <w:t>国泰海通</w:t>
            </w:r>
            <w:r>
              <w:rPr>
                <w:rFonts w:hint="eastAsia" w:ascii="宋体" w:hAnsi="宋体"/>
                <w:bCs/>
                <w:iCs/>
                <w:color w:val="000000"/>
                <w:sz w:val="24"/>
                <w:lang w:eastAsia="zh-CN"/>
              </w:rPr>
              <w:t>、</w:t>
            </w:r>
            <w:r>
              <w:rPr>
                <w:rFonts w:hint="eastAsia" w:ascii="宋体" w:hAnsi="宋体"/>
                <w:bCs/>
                <w:iCs/>
                <w:color w:val="000000"/>
                <w:sz w:val="24"/>
              </w:rPr>
              <w:t>国泰基金</w:t>
            </w:r>
            <w:r>
              <w:rPr>
                <w:rFonts w:hint="eastAsia" w:ascii="宋体" w:hAnsi="宋体"/>
                <w:bCs/>
                <w:iCs/>
                <w:color w:val="000000"/>
                <w:sz w:val="24"/>
                <w:lang w:eastAsia="zh-CN"/>
              </w:rPr>
              <w:t>、</w:t>
            </w:r>
            <w:r>
              <w:rPr>
                <w:rFonts w:hint="eastAsia" w:ascii="宋体" w:hAnsi="宋体"/>
                <w:bCs/>
                <w:iCs/>
                <w:color w:val="000000"/>
                <w:sz w:val="24"/>
              </w:rPr>
              <w:t>国泰君安</w:t>
            </w:r>
          </w:p>
          <w:p w14:paraId="642DAAA5">
            <w:pPr>
              <w:spacing w:line="480" w:lineRule="atLeast"/>
              <w:rPr>
                <w:rFonts w:hint="eastAsia" w:ascii="宋体" w:hAnsi="宋体"/>
                <w:bCs/>
                <w:iCs/>
                <w:color w:val="000000"/>
                <w:sz w:val="24"/>
              </w:rPr>
            </w:pPr>
            <w:r>
              <w:rPr>
                <w:rFonts w:hint="eastAsia" w:ascii="宋体" w:hAnsi="宋体"/>
                <w:bCs/>
                <w:iCs/>
                <w:color w:val="000000"/>
                <w:sz w:val="24"/>
              </w:rPr>
              <w:t>国信资管</w:t>
            </w:r>
            <w:r>
              <w:rPr>
                <w:rFonts w:hint="eastAsia" w:ascii="宋体" w:hAnsi="宋体"/>
                <w:bCs/>
                <w:iCs/>
                <w:color w:val="000000"/>
                <w:sz w:val="24"/>
                <w:lang w:eastAsia="zh-CN"/>
              </w:rPr>
              <w:t>、</w:t>
            </w:r>
            <w:r>
              <w:rPr>
                <w:rFonts w:hint="eastAsia" w:ascii="宋体" w:hAnsi="宋体"/>
                <w:bCs/>
                <w:iCs/>
                <w:color w:val="000000"/>
                <w:sz w:val="24"/>
              </w:rPr>
              <w:t>和谐汇一</w:t>
            </w:r>
            <w:r>
              <w:rPr>
                <w:rFonts w:hint="eastAsia" w:ascii="宋体" w:hAnsi="宋体"/>
                <w:bCs/>
                <w:iCs/>
                <w:color w:val="000000"/>
                <w:sz w:val="24"/>
                <w:lang w:eastAsia="zh-CN"/>
              </w:rPr>
              <w:t>、</w:t>
            </w:r>
            <w:r>
              <w:rPr>
                <w:rFonts w:hint="eastAsia" w:ascii="宋体" w:hAnsi="宋体"/>
                <w:bCs/>
                <w:iCs/>
                <w:color w:val="000000"/>
                <w:sz w:val="24"/>
              </w:rPr>
              <w:t>华福证券</w:t>
            </w:r>
            <w:r>
              <w:rPr>
                <w:rFonts w:hint="eastAsia" w:ascii="宋体" w:hAnsi="宋体"/>
                <w:bCs/>
                <w:iCs/>
                <w:color w:val="000000"/>
                <w:sz w:val="24"/>
                <w:lang w:eastAsia="zh-CN"/>
              </w:rPr>
              <w:t>、</w:t>
            </w:r>
            <w:r>
              <w:rPr>
                <w:rFonts w:hint="eastAsia" w:ascii="宋体" w:hAnsi="宋体"/>
                <w:bCs/>
                <w:iCs/>
                <w:color w:val="000000"/>
                <w:sz w:val="24"/>
              </w:rPr>
              <w:t>华泰证券</w:t>
            </w:r>
            <w:r>
              <w:rPr>
                <w:rFonts w:hint="eastAsia" w:ascii="宋体" w:hAnsi="宋体"/>
                <w:bCs/>
                <w:iCs/>
                <w:color w:val="000000"/>
                <w:sz w:val="24"/>
                <w:lang w:eastAsia="zh-CN"/>
              </w:rPr>
              <w:t>、</w:t>
            </w:r>
            <w:r>
              <w:rPr>
                <w:rFonts w:hint="eastAsia" w:ascii="宋体" w:hAnsi="宋体"/>
                <w:bCs/>
                <w:iCs/>
                <w:color w:val="000000"/>
                <w:sz w:val="24"/>
              </w:rPr>
              <w:t>华夏基金</w:t>
            </w:r>
            <w:r>
              <w:rPr>
                <w:rFonts w:hint="eastAsia" w:ascii="宋体" w:hAnsi="宋体"/>
                <w:bCs/>
                <w:iCs/>
                <w:color w:val="000000"/>
                <w:sz w:val="24"/>
                <w:lang w:eastAsia="zh-CN"/>
              </w:rPr>
              <w:t>、</w:t>
            </w:r>
            <w:r>
              <w:rPr>
                <w:rFonts w:hint="eastAsia" w:ascii="宋体" w:hAnsi="宋体"/>
                <w:bCs/>
                <w:iCs/>
                <w:color w:val="000000"/>
                <w:sz w:val="24"/>
              </w:rPr>
              <w:t>嘉实基金</w:t>
            </w:r>
          </w:p>
          <w:p w14:paraId="1C426C17">
            <w:pPr>
              <w:spacing w:line="480" w:lineRule="atLeast"/>
              <w:rPr>
                <w:rFonts w:hint="eastAsia" w:ascii="宋体" w:hAnsi="宋体"/>
                <w:bCs/>
                <w:iCs/>
                <w:color w:val="000000"/>
                <w:sz w:val="24"/>
              </w:rPr>
            </w:pPr>
            <w:r>
              <w:rPr>
                <w:rFonts w:hint="eastAsia" w:ascii="宋体" w:hAnsi="宋体"/>
                <w:bCs/>
                <w:iCs/>
                <w:color w:val="000000"/>
                <w:sz w:val="24"/>
              </w:rPr>
              <w:t>君成投资</w:t>
            </w:r>
            <w:r>
              <w:rPr>
                <w:rFonts w:hint="eastAsia" w:ascii="宋体" w:hAnsi="宋体"/>
                <w:bCs/>
                <w:iCs/>
                <w:color w:val="000000"/>
                <w:sz w:val="24"/>
                <w:lang w:eastAsia="zh-CN"/>
              </w:rPr>
              <w:t>、</w:t>
            </w:r>
            <w:r>
              <w:rPr>
                <w:rFonts w:hint="eastAsia" w:ascii="宋体" w:hAnsi="宋体"/>
                <w:bCs/>
                <w:iCs/>
                <w:color w:val="000000"/>
                <w:sz w:val="24"/>
              </w:rPr>
              <w:t>诺安基金</w:t>
            </w:r>
            <w:r>
              <w:rPr>
                <w:rFonts w:hint="eastAsia" w:ascii="宋体" w:hAnsi="宋体"/>
                <w:bCs/>
                <w:iCs/>
                <w:color w:val="000000"/>
                <w:sz w:val="24"/>
                <w:lang w:eastAsia="zh-CN"/>
              </w:rPr>
              <w:t>、</w:t>
            </w:r>
            <w:r>
              <w:rPr>
                <w:rFonts w:hint="eastAsia" w:ascii="宋体" w:hAnsi="宋体"/>
                <w:bCs/>
                <w:iCs/>
                <w:color w:val="000000"/>
                <w:sz w:val="24"/>
              </w:rPr>
              <w:t>磐耀资产</w:t>
            </w:r>
            <w:r>
              <w:rPr>
                <w:rFonts w:hint="eastAsia" w:ascii="宋体" w:hAnsi="宋体"/>
                <w:bCs/>
                <w:iCs/>
                <w:color w:val="000000"/>
                <w:sz w:val="24"/>
                <w:lang w:eastAsia="zh-CN"/>
              </w:rPr>
              <w:t>、</w:t>
            </w:r>
            <w:r>
              <w:rPr>
                <w:rFonts w:hint="eastAsia" w:ascii="宋体" w:hAnsi="宋体"/>
                <w:bCs/>
                <w:iCs/>
                <w:color w:val="000000"/>
                <w:sz w:val="24"/>
              </w:rPr>
              <w:t>平安基金</w:t>
            </w:r>
            <w:r>
              <w:rPr>
                <w:rFonts w:hint="eastAsia" w:ascii="宋体" w:hAnsi="宋体"/>
                <w:bCs/>
                <w:iCs/>
                <w:color w:val="000000"/>
                <w:sz w:val="24"/>
                <w:lang w:eastAsia="zh-CN"/>
              </w:rPr>
              <w:t>、</w:t>
            </w:r>
            <w:r>
              <w:rPr>
                <w:rFonts w:hint="eastAsia" w:ascii="宋体" w:hAnsi="宋体"/>
                <w:bCs/>
                <w:iCs/>
                <w:color w:val="000000"/>
                <w:sz w:val="24"/>
              </w:rPr>
              <w:t>平安养老</w:t>
            </w:r>
            <w:r>
              <w:rPr>
                <w:rFonts w:hint="eastAsia" w:ascii="宋体" w:hAnsi="宋体"/>
                <w:bCs/>
                <w:iCs/>
                <w:color w:val="000000"/>
                <w:sz w:val="24"/>
                <w:lang w:eastAsia="zh-CN"/>
              </w:rPr>
              <w:t>、</w:t>
            </w:r>
            <w:r>
              <w:rPr>
                <w:rFonts w:hint="eastAsia" w:ascii="宋体" w:hAnsi="宋体"/>
                <w:bCs/>
                <w:iCs/>
                <w:color w:val="000000"/>
                <w:sz w:val="24"/>
              </w:rPr>
              <w:t>融通基金</w:t>
            </w:r>
          </w:p>
          <w:p w14:paraId="54D37D9E">
            <w:pPr>
              <w:spacing w:line="480" w:lineRule="atLeast"/>
              <w:rPr>
                <w:rFonts w:hint="eastAsia" w:ascii="宋体" w:hAnsi="宋体"/>
                <w:bCs/>
                <w:iCs/>
                <w:color w:val="000000"/>
                <w:sz w:val="24"/>
              </w:rPr>
            </w:pPr>
            <w:r>
              <w:rPr>
                <w:rFonts w:hint="eastAsia" w:ascii="宋体" w:hAnsi="宋体"/>
                <w:bCs/>
                <w:iCs/>
                <w:color w:val="000000"/>
                <w:sz w:val="24"/>
              </w:rPr>
              <w:t>申万宏源</w:t>
            </w:r>
            <w:r>
              <w:rPr>
                <w:rFonts w:hint="eastAsia" w:ascii="宋体" w:hAnsi="宋体"/>
                <w:bCs/>
                <w:iCs/>
                <w:color w:val="000000"/>
                <w:sz w:val="24"/>
                <w:lang w:eastAsia="zh-CN"/>
              </w:rPr>
              <w:t>、</w:t>
            </w:r>
            <w:r>
              <w:rPr>
                <w:rFonts w:hint="eastAsia" w:ascii="宋体" w:hAnsi="宋体"/>
                <w:bCs/>
                <w:iCs/>
                <w:color w:val="000000"/>
                <w:sz w:val="24"/>
              </w:rPr>
              <w:t>申万资管</w:t>
            </w:r>
            <w:r>
              <w:rPr>
                <w:rFonts w:hint="eastAsia" w:ascii="宋体" w:hAnsi="宋体"/>
                <w:bCs/>
                <w:iCs/>
                <w:color w:val="000000"/>
                <w:sz w:val="24"/>
                <w:lang w:eastAsia="zh-CN"/>
              </w:rPr>
              <w:t>、</w:t>
            </w:r>
            <w:r>
              <w:rPr>
                <w:rFonts w:hint="eastAsia" w:ascii="宋体" w:hAnsi="宋体"/>
                <w:bCs/>
                <w:iCs/>
                <w:color w:val="000000"/>
                <w:sz w:val="24"/>
              </w:rPr>
              <w:t>太平资产</w:t>
            </w:r>
            <w:r>
              <w:rPr>
                <w:rFonts w:hint="eastAsia" w:ascii="宋体" w:hAnsi="宋体"/>
                <w:bCs/>
                <w:iCs/>
                <w:color w:val="000000"/>
                <w:sz w:val="24"/>
                <w:lang w:eastAsia="zh-CN"/>
              </w:rPr>
              <w:t>、</w:t>
            </w:r>
            <w:r>
              <w:rPr>
                <w:rFonts w:hint="eastAsia" w:ascii="宋体" w:hAnsi="宋体"/>
                <w:bCs/>
                <w:iCs/>
                <w:color w:val="000000"/>
                <w:sz w:val="24"/>
              </w:rPr>
              <w:t>泰康香港</w:t>
            </w:r>
            <w:r>
              <w:rPr>
                <w:rFonts w:hint="eastAsia" w:ascii="宋体" w:hAnsi="宋体"/>
                <w:bCs/>
                <w:iCs/>
                <w:color w:val="000000"/>
                <w:sz w:val="24"/>
                <w:lang w:eastAsia="zh-CN"/>
              </w:rPr>
              <w:t>、</w:t>
            </w:r>
            <w:r>
              <w:rPr>
                <w:rFonts w:hint="eastAsia" w:ascii="宋体" w:hAnsi="宋体"/>
                <w:bCs/>
                <w:iCs/>
                <w:color w:val="000000"/>
                <w:sz w:val="24"/>
              </w:rPr>
              <w:t>探骊私募</w:t>
            </w:r>
            <w:r>
              <w:rPr>
                <w:rFonts w:hint="eastAsia" w:ascii="宋体" w:hAnsi="宋体"/>
                <w:bCs/>
                <w:iCs/>
                <w:color w:val="000000"/>
                <w:sz w:val="24"/>
                <w:lang w:eastAsia="zh-CN"/>
              </w:rPr>
              <w:t>、</w:t>
            </w:r>
            <w:r>
              <w:rPr>
                <w:rFonts w:hint="eastAsia" w:ascii="宋体" w:hAnsi="宋体"/>
                <w:bCs/>
                <w:iCs/>
                <w:color w:val="000000"/>
                <w:sz w:val="24"/>
              </w:rPr>
              <w:t>西部证券</w:t>
            </w:r>
          </w:p>
          <w:p w14:paraId="56900028">
            <w:pPr>
              <w:spacing w:line="480" w:lineRule="atLeast"/>
              <w:rPr>
                <w:rFonts w:hint="eastAsia" w:ascii="宋体" w:hAnsi="宋体"/>
                <w:bCs/>
                <w:iCs/>
                <w:color w:val="000000"/>
                <w:sz w:val="24"/>
              </w:rPr>
            </w:pPr>
            <w:r>
              <w:rPr>
                <w:rFonts w:hint="eastAsia" w:ascii="宋体" w:hAnsi="宋体"/>
                <w:bCs/>
                <w:iCs/>
                <w:color w:val="000000"/>
                <w:sz w:val="24"/>
              </w:rPr>
              <w:t>信达澳亚</w:t>
            </w:r>
            <w:r>
              <w:rPr>
                <w:rFonts w:hint="eastAsia" w:ascii="宋体" w:hAnsi="宋体"/>
                <w:bCs/>
                <w:iCs/>
                <w:color w:val="000000"/>
                <w:sz w:val="24"/>
                <w:lang w:eastAsia="zh-CN"/>
              </w:rPr>
              <w:t>、</w:t>
            </w:r>
            <w:r>
              <w:rPr>
                <w:rFonts w:hint="eastAsia" w:ascii="宋体" w:hAnsi="宋体"/>
                <w:bCs/>
                <w:iCs/>
                <w:color w:val="000000"/>
                <w:sz w:val="24"/>
              </w:rPr>
              <w:t>亚太财险</w:t>
            </w:r>
            <w:r>
              <w:rPr>
                <w:rFonts w:hint="eastAsia" w:ascii="宋体" w:hAnsi="宋体"/>
                <w:bCs/>
                <w:iCs/>
                <w:color w:val="000000"/>
                <w:sz w:val="24"/>
                <w:lang w:eastAsia="zh-CN"/>
              </w:rPr>
              <w:t>、</w:t>
            </w:r>
            <w:r>
              <w:rPr>
                <w:rFonts w:hint="eastAsia" w:ascii="宋体" w:hAnsi="宋体"/>
                <w:bCs/>
                <w:iCs/>
                <w:color w:val="000000"/>
                <w:sz w:val="24"/>
              </w:rPr>
              <w:t>银河基金</w:t>
            </w:r>
            <w:r>
              <w:rPr>
                <w:rFonts w:hint="eastAsia" w:ascii="宋体" w:hAnsi="宋体"/>
                <w:bCs/>
                <w:iCs/>
                <w:color w:val="000000"/>
                <w:sz w:val="24"/>
                <w:lang w:eastAsia="zh-CN"/>
              </w:rPr>
              <w:t>、</w:t>
            </w:r>
            <w:r>
              <w:rPr>
                <w:rFonts w:hint="eastAsia" w:ascii="宋体" w:hAnsi="宋体"/>
                <w:bCs/>
                <w:iCs/>
                <w:color w:val="000000"/>
                <w:sz w:val="24"/>
              </w:rPr>
              <w:t>昱奕资管</w:t>
            </w:r>
            <w:r>
              <w:rPr>
                <w:rFonts w:hint="eastAsia" w:ascii="宋体" w:hAnsi="宋体"/>
                <w:bCs/>
                <w:iCs/>
                <w:color w:val="000000"/>
                <w:sz w:val="24"/>
                <w:lang w:eastAsia="zh-CN"/>
              </w:rPr>
              <w:t>、</w:t>
            </w:r>
            <w:r>
              <w:rPr>
                <w:rFonts w:hint="eastAsia" w:ascii="宋体" w:hAnsi="宋体"/>
                <w:bCs/>
                <w:iCs/>
                <w:color w:val="000000"/>
                <w:sz w:val="24"/>
              </w:rPr>
              <w:t>长城基金</w:t>
            </w:r>
            <w:r>
              <w:rPr>
                <w:rFonts w:hint="eastAsia" w:ascii="宋体" w:hAnsi="宋体"/>
                <w:bCs/>
                <w:iCs/>
                <w:color w:val="000000"/>
                <w:sz w:val="24"/>
                <w:lang w:eastAsia="zh-CN"/>
              </w:rPr>
              <w:t>、</w:t>
            </w:r>
            <w:r>
              <w:rPr>
                <w:rFonts w:hint="eastAsia" w:ascii="宋体" w:hAnsi="宋体"/>
                <w:bCs/>
                <w:iCs/>
                <w:color w:val="000000"/>
                <w:sz w:val="24"/>
              </w:rPr>
              <w:t>长盛基金</w:t>
            </w:r>
          </w:p>
          <w:p w14:paraId="0837B224">
            <w:pPr>
              <w:spacing w:line="480" w:lineRule="atLeast"/>
              <w:rPr>
                <w:rFonts w:hint="eastAsia" w:ascii="宋体" w:hAnsi="宋体"/>
                <w:bCs/>
                <w:iCs/>
                <w:color w:val="000000"/>
                <w:sz w:val="24"/>
              </w:rPr>
            </w:pPr>
            <w:r>
              <w:rPr>
                <w:rFonts w:hint="eastAsia" w:ascii="宋体" w:hAnsi="宋体"/>
                <w:bCs/>
                <w:iCs/>
                <w:color w:val="000000"/>
                <w:sz w:val="24"/>
              </w:rPr>
              <w:t>招商基金</w:t>
            </w:r>
            <w:r>
              <w:rPr>
                <w:rFonts w:hint="eastAsia" w:ascii="宋体" w:hAnsi="宋体"/>
                <w:bCs/>
                <w:iCs/>
                <w:color w:val="000000"/>
                <w:sz w:val="24"/>
                <w:lang w:eastAsia="zh-CN"/>
              </w:rPr>
              <w:t>、</w:t>
            </w:r>
            <w:r>
              <w:rPr>
                <w:rFonts w:hint="eastAsia" w:ascii="宋体" w:hAnsi="宋体"/>
                <w:bCs/>
                <w:iCs/>
                <w:color w:val="000000"/>
                <w:sz w:val="24"/>
              </w:rPr>
              <w:t>招商证券</w:t>
            </w:r>
            <w:r>
              <w:rPr>
                <w:rFonts w:hint="eastAsia" w:ascii="宋体" w:hAnsi="宋体"/>
                <w:bCs/>
                <w:iCs/>
                <w:color w:val="000000"/>
                <w:sz w:val="24"/>
                <w:lang w:eastAsia="zh-CN"/>
              </w:rPr>
              <w:t>、</w:t>
            </w:r>
            <w:r>
              <w:rPr>
                <w:rFonts w:hint="eastAsia" w:ascii="宋体" w:hAnsi="宋体"/>
                <w:bCs/>
                <w:iCs/>
                <w:color w:val="000000"/>
                <w:sz w:val="24"/>
              </w:rPr>
              <w:t>中航证券</w:t>
            </w:r>
            <w:r>
              <w:rPr>
                <w:rFonts w:hint="eastAsia" w:ascii="宋体" w:hAnsi="宋体"/>
                <w:bCs/>
                <w:iCs/>
                <w:color w:val="000000"/>
                <w:sz w:val="24"/>
                <w:lang w:eastAsia="zh-CN"/>
              </w:rPr>
              <w:t>、</w:t>
            </w:r>
            <w:r>
              <w:rPr>
                <w:rFonts w:hint="eastAsia" w:ascii="宋体" w:hAnsi="宋体"/>
                <w:bCs/>
                <w:iCs/>
                <w:color w:val="000000"/>
                <w:sz w:val="24"/>
              </w:rPr>
              <w:t>中略投资</w:t>
            </w:r>
            <w:r>
              <w:rPr>
                <w:rFonts w:hint="eastAsia" w:ascii="宋体" w:hAnsi="宋体"/>
                <w:bCs/>
                <w:iCs/>
                <w:color w:val="000000"/>
                <w:sz w:val="24"/>
                <w:lang w:eastAsia="zh-CN"/>
              </w:rPr>
              <w:t>、</w:t>
            </w:r>
            <w:r>
              <w:rPr>
                <w:rFonts w:hint="eastAsia" w:ascii="宋体" w:hAnsi="宋体"/>
                <w:bCs/>
                <w:iCs/>
                <w:color w:val="000000"/>
                <w:sz w:val="24"/>
              </w:rPr>
              <w:t>中信证券</w:t>
            </w:r>
            <w:r>
              <w:rPr>
                <w:rFonts w:hint="eastAsia" w:ascii="宋体" w:hAnsi="宋体"/>
                <w:bCs/>
                <w:iCs/>
                <w:color w:val="000000"/>
                <w:sz w:val="24"/>
                <w:lang w:eastAsia="zh-CN"/>
              </w:rPr>
              <w:t>、</w:t>
            </w:r>
            <w:r>
              <w:rPr>
                <w:rFonts w:hint="eastAsia" w:ascii="宋体" w:hAnsi="宋体"/>
                <w:bCs/>
                <w:iCs/>
                <w:color w:val="000000"/>
                <w:sz w:val="24"/>
              </w:rPr>
              <w:t>中邮基金</w:t>
            </w:r>
          </w:p>
          <w:p w14:paraId="0FD60654">
            <w:pPr>
              <w:spacing w:line="480" w:lineRule="atLeast"/>
              <w:rPr>
                <w:rFonts w:ascii="宋体" w:hAnsi="宋体"/>
                <w:bCs/>
                <w:iCs/>
                <w:color w:val="000000"/>
                <w:sz w:val="24"/>
              </w:rPr>
            </w:pPr>
            <w:r>
              <w:rPr>
                <w:rFonts w:hint="eastAsia" w:ascii="宋体" w:hAnsi="宋体"/>
                <w:bCs/>
                <w:iCs/>
                <w:color w:val="000000"/>
                <w:sz w:val="24"/>
              </w:rPr>
              <w:t>东兴证券</w:t>
            </w:r>
            <w:r>
              <w:rPr>
                <w:rFonts w:hint="eastAsia" w:ascii="宋体" w:hAnsi="宋体"/>
                <w:bCs/>
                <w:iCs/>
                <w:color w:val="000000"/>
                <w:sz w:val="24"/>
                <w:lang w:eastAsia="zh-CN"/>
              </w:rPr>
              <w:t>、</w:t>
            </w:r>
            <w:r>
              <w:rPr>
                <w:rFonts w:hint="eastAsia" w:ascii="宋体" w:hAnsi="宋体"/>
                <w:bCs/>
                <w:iCs/>
                <w:color w:val="000000"/>
                <w:sz w:val="24"/>
              </w:rPr>
              <w:t>国投瑞银基金</w:t>
            </w:r>
            <w:r>
              <w:rPr>
                <w:rFonts w:hint="eastAsia" w:ascii="宋体" w:hAnsi="宋体"/>
                <w:bCs/>
                <w:iCs/>
                <w:color w:val="000000"/>
                <w:sz w:val="24"/>
                <w:lang w:eastAsia="zh-CN"/>
              </w:rPr>
              <w:t>、</w:t>
            </w:r>
            <w:r>
              <w:rPr>
                <w:rFonts w:hint="eastAsia" w:ascii="宋体" w:hAnsi="宋体"/>
                <w:bCs/>
                <w:iCs/>
                <w:color w:val="000000"/>
                <w:sz w:val="24"/>
              </w:rPr>
              <w:t>汇添富基金</w:t>
            </w:r>
            <w:r>
              <w:rPr>
                <w:rFonts w:hint="eastAsia" w:ascii="宋体" w:hAnsi="宋体"/>
                <w:bCs/>
                <w:iCs/>
                <w:color w:val="000000"/>
                <w:sz w:val="24"/>
                <w:lang w:eastAsia="zh-CN"/>
              </w:rPr>
              <w:t>、</w:t>
            </w:r>
            <w:r>
              <w:rPr>
                <w:rFonts w:hint="eastAsia" w:ascii="宋体" w:hAnsi="宋体"/>
                <w:bCs/>
                <w:iCs/>
                <w:color w:val="000000"/>
                <w:sz w:val="24"/>
              </w:rPr>
              <w:t>交银施罗德基金</w:t>
            </w:r>
            <w:r>
              <w:rPr>
                <w:rFonts w:hint="eastAsia" w:ascii="宋体" w:hAnsi="宋体"/>
                <w:bCs/>
                <w:iCs/>
                <w:color w:val="000000"/>
                <w:sz w:val="24"/>
                <w:lang w:eastAsia="zh-CN"/>
              </w:rPr>
              <w:t>、</w:t>
            </w:r>
            <w:r>
              <w:rPr>
                <w:rFonts w:hint="eastAsia" w:ascii="宋体" w:hAnsi="宋体"/>
                <w:bCs/>
                <w:iCs/>
                <w:color w:val="000000"/>
                <w:sz w:val="24"/>
              </w:rPr>
              <w:t>碧云银霞投资</w:t>
            </w:r>
            <w:r>
              <w:rPr>
                <w:rFonts w:hint="eastAsia" w:ascii="宋体" w:hAnsi="宋体"/>
                <w:bCs/>
                <w:iCs/>
                <w:color w:val="000000"/>
                <w:sz w:val="24"/>
                <w:lang w:eastAsia="zh-CN"/>
              </w:rPr>
              <w:t>、</w:t>
            </w:r>
            <w:r>
              <w:rPr>
                <w:rFonts w:hint="eastAsia" w:ascii="宋体" w:hAnsi="宋体"/>
                <w:bCs/>
                <w:iCs/>
                <w:color w:val="000000"/>
                <w:sz w:val="24"/>
              </w:rPr>
              <w:t>农银汇理基金</w:t>
            </w:r>
            <w:r>
              <w:rPr>
                <w:rFonts w:hint="eastAsia" w:ascii="宋体" w:hAnsi="宋体"/>
                <w:bCs/>
                <w:iCs/>
                <w:color w:val="000000"/>
                <w:sz w:val="24"/>
                <w:lang w:eastAsia="zh-CN"/>
              </w:rPr>
              <w:t>、</w:t>
            </w:r>
            <w:r>
              <w:rPr>
                <w:rFonts w:hint="eastAsia" w:ascii="宋体" w:hAnsi="宋体"/>
                <w:bCs/>
                <w:iCs/>
                <w:color w:val="000000"/>
                <w:sz w:val="24"/>
              </w:rPr>
              <w:t>易方达基金（以上排名不分先后）</w:t>
            </w:r>
          </w:p>
        </w:tc>
      </w:tr>
      <w:tr w14:paraId="224D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21494A95">
            <w:pPr>
              <w:spacing w:line="360" w:lineRule="auto"/>
              <w:jc w:val="center"/>
              <w:rPr>
                <w:rFonts w:ascii="宋体" w:hAnsi="宋体"/>
                <w:bCs/>
                <w:iCs/>
                <w:color w:val="000000"/>
                <w:sz w:val="24"/>
              </w:rPr>
            </w:pPr>
            <w:r>
              <w:rPr>
                <w:rFonts w:hint="eastAsia" w:ascii="宋体" w:hAnsi="宋体"/>
                <w:bCs/>
                <w:iCs/>
                <w:color w:val="000000"/>
                <w:sz w:val="24"/>
              </w:rPr>
              <w:t>时间</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13BF05C8">
            <w:pPr>
              <w:spacing w:line="360" w:lineRule="auto"/>
              <w:rPr>
                <w:bCs/>
                <w:iCs/>
                <w:color w:val="000000"/>
                <w:sz w:val="24"/>
              </w:rPr>
            </w:pPr>
            <w:r>
              <w:rPr>
                <w:bCs/>
                <w:iCs/>
                <w:color w:val="000000"/>
                <w:sz w:val="24"/>
              </w:rPr>
              <w:t>202</w:t>
            </w:r>
            <w:r>
              <w:rPr>
                <w:rFonts w:hint="eastAsia"/>
                <w:bCs/>
                <w:iCs/>
                <w:color w:val="000000"/>
                <w:sz w:val="24"/>
              </w:rPr>
              <w:t>5</w:t>
            </w:r>
            <w:r>
              <w:rPr>
                <w:bCs/>
                <w:iCs/>
                <w:color w:val="000000"/>
                <w:sz w:val="24"/>
              </w:rPr>
              <w:t>年</w:t>
            </w:r>
            <w:r>
              <w:rPr>
                <w:rFonts w:hint="eastAsia"/>
                <w:bCs/>
                <w:iCs/>
                <w:color w:val="000000"/>
                <w:sz w:val="24"/>
                <w:lang w:val="en-US" w:eastAsia="zh-CN"/>
              </w:rPr>
              <w:t>7</w:t>
            </w:r>
            <w:r>
              <w:rPr>
                <w:rFonts w:hint="eastAsia"/>
                <w:bCs/>
                <w:iCs/>
                <w:color w:val="000000"/>
                <w:sz w:val="24"/>
              </w:rPr>
              <w:t>月</w:t>
            </w:r>
          </w:p>
        </w:tc>
      </w:tr>
      <w:tr w14:paraId="544A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1241ED77">
            <w:pPr>
              <w:spacing w:line="360" w:lineRule="auto"/>
              <w:jc w:val="center"/>
              <w:rPr>
                <w:rFonts w:ascii="宋体" w:hAnsi="宋体"/>
                <w:bCs/>
                <w:iCs/>
                <w:color w:val="000000"/>
                <w:sz w:val="24"/>
              </w:rPr>
            </w:pPr>
            <w:r>
              <w:rPr>
                <w:rFonts w:hint="eastAsia" w:ascii="宋体" w:hAnsi="宋体"/>
                <w:bCs/>
                <w:iCs/>
                <w:color w:val="000000"/>
                <w:sz w:val="24"/>
              </w:rPr>
              <w:t>地点</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063FAFDF">
            <w:pPr>
              <w:spacing w:line="360" w:lineRule="auto"/>
              <w:rPr>
                <w:rFonts w:ascii="宋体" w:hAnsi="宋体"/>
                <w:bCs/>
                <w:iCs/>
                <w:color w:val="000000"/>
                <w:sz w:val="24"/>
              </w:rPr>
            </w:pPr>
            <w:r>
              <w:rPr>
                <w:rFonts w:hint="eastAsia" w:ascii="宋体" w:hAnsi="宋体"/>
                <w:bCs/>
                <w:iCs/>
                <w:color w:val="000000"/>
                <w:sz w:val="24"/>
              </w:rPr>
              <w:t>公司董事会办公室</w:t>
            </w:r>
          </w:p>
        </w:tc>
      </w:tr>
      <w:tr w14:paraId="7EDE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4945A4C2">
            <w:pPr>
              <w:spacing w:line="360" w:lineRule="auto"/>
              <w:jc w:val="center"/>
              <w:rPr>
                <w:rFonts w:ascii="宋体" w:hAnsi="宋体"/>
                <w:bCs/>
                <w:iCs/>
                <w:color w:val="000000"/>
                <w:sz w:val="24"/>
              </w:rPr>
            </w:pPr>
            <w:r>
              <w:rPr>
                <w:rFonts w:hint="eastAsia" w:ascii="宋体" w:hAnsi="宋体"/>
                <w:bCs/>
                <w:iCs/>
                <w:color w:val="000000"/>
                <w:sz w:val="24"/>
              </w:rPr>
              <w:t>活动形式</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0FCE7800">
            <w:pPr>
              <w:spacing w:line="360" w:lineRule="auto"/>
              <w:rPr>
                <w:rFonts w:ascii="宋体" w:hAnsi="宋体"/>
                <w:bCs/>
                <w:iCs/>
                <w:color w:val="000000"/>
                <w:sz w:val="24"/>
              </w:rPr>
            </w:pPr>
            <w:r>
              <w:rPr>
                <w:rFonts w:hint="eastAsia" w:ascii="宋体" w:hAnsi="宋体"/>
                <w:bCs/>
                <w:iCs/>
                <w:color w:val="000000"/>
                <w:sz w:val="24"/>
              </w:rPr>
              <w:t>现场或电话会议</w:t>
            </w:r>
          </w:p>
        </w:tc>
      </w:tr>
      <w:tr w14:paraId="328A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1345252">
            <w:pPr>
              <w:spacing w:line="360" w:lineRule="auto"/>
              <w:jc w:val="center"/>
              <w:rPr>
                <w:rFonts w:ascii="宋体" w:hAnsi="宋体"/>
                <w:bCs/>
                <w:iCs/>
                <w:color w:val="000000"/>
                <w:sz w:val="24"/>
              </w:rPr>
            </w:pPr>
            <w:r>
              <w:rPr>
                <w:rFonts w:hint="eastAsia" w:ascii="宋体" w:hAnsi="宋体"/>
                <w:bCs/>
                <w:iCs/>
                <w:color w:val="000000"/>
                <w:sz w:val="24"/>
              </w:rPr>
              <w:t>接待人员</w:t>
            </w:r>
          </w:p>
        </w:tc>
        <w:tc>
          <w:tcPr>
            <w:tcW w:w="7138" w:type="dxa"/>
            <w:tcBorders>
              <w:top w:val="single" w:color="auto" w:sz="4" w:space="0"/>
              <w:left w:val="single" w:color="auto" w:sz="4" w:space="0"/>
              <w:bottom w:val="single" w:color="auto" w:sz="4" w:space="0"/>
              <w:right w:val="single" w:color="auto" w:sz="4" w:space="0"/>
            </w:tcBorders>
            <w:shd w:val="clear" w:color="auto" w:fill="auto"/>
            <w:vAlign w:val="center"/>
          </w:tcPr>
          <w:p w14:paraId="42362735">
            <w:pPr>
              <w:spacing w:line="360" w:lineRule="auto"/>
              <w:rPr>
                <w:rFonts w:ascii="宋体" w:hAnsi="宋体"/>
                <w:bCs/>
                <w:iCs/>
                <w:color w:val="000000"/>
                <w:sz w:val="24"/>
              </w:rPr>
            </w:pPr>
            <w:r>
              <w:rPr>
                <w:rFonts w:hint="eastAsia" w:ascii="宋体" w:hAnsi="宋体"/>
                <w:bCs/>
                <w:iCs/>
                <w:color w:val="000000"/>
                <w:sz w:val="24"/>
              </w:rPr>
              <w:t>董事长严奇/董事兼董事会秘书方红涛/证券事务代表李钰铃</w:t>
            </w:r>
          </w:p>
        </w:tc>
      </w:tr>
      <w:tr w14:paraId="5211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4221F6B8">
            <w:pPr>
              <w:spacing w:line="480" w:lineRule="atLeast"/>
              <w:jc w:val="center"/>
              <w:rPr>
                <w:rFonts w:ascii="宋体" w:hAnsi="宋体"/>
                <w:bCs/>
                <w:iCs/>
                <w:color w:val="000000"/>
                <w:sz w:val="24"/>
              </w:rPr>
            </w:pPr>
            <w:r>
              <w:rPr>
                <w:rFonts w:hint="eastAsia" w:ascii="宋体" w:hAnsi="宋体"/>
                <w:bCs/>
                <w:iCs/>
                <w:color w:val="000000"/>
                <w:sz w:val="24"/>
                <w:lang w:val="en-US" w:eastAsia="zh-CN"/>
              </w:rPr>
              <w:t>本次</w:t>
            </w:r>
            <w:r>
              <w:rPr>
                <w:rFonts w:hint="eastAsia" w:ascii="宋体" w:hAnsi="宋体"/>
                <w:bCs/>
                <w:iCs/>
                <w:color w:val="000000"/>
                <w:sz w:val="24"/>
              </w:rPr>
              <w:t>投资者关系活动重点内容介绍</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2BBB2C2E">
            <w:pPr>
              <w:numPr>
                <w:ilvl w:val="0"/>
                <w:numId w:val="1"/>
              </w:numPr>
              <w:spacing w:line="360" w:lineRule="auto"/>
              <w:ind w:left="420" w:leftChars="0" w:hanging="420" w:firstLineChars="0"/>
              <w:rPr>
                <w:rFonts w:hint="eastAsia"/>
                <w:b w:val="0"/>
                <w:bCs w:val="0"/>
                <w:sz w:val="24"/>
                <w:lang w:val="en-US" w:eastAsia="zh-CN"/>
              </w:rPr>
            </w:pPr>
            <w:r>
              <w:rPr>
                <w:rFonts w:hint="eastAsia"/>
                <w:b/>
                <w:bCs/>
                <w:sz w:val="24"/>
                <w:lang w:val="en-US" w:eastAsia="zh-CN"/>
              </w:rPr>
              <w:t>交流今年各版块业务发展情况：</w:t>
            </w:r>
          </w:p>
          <w:p w14:paraId="7C1CDE72">
            <w:pPr>
              <w:spacing w:line="360" w:lineRule="auto"/>
              <w:ind w:firstLine="480" w:firstLineChars="200"/>
              <w:rPr>
                <w:rFonts w:hint="eastAsia"/>
                <w:b w:val="0"/>
                <w:bCs w:val="0"/>
                <w:sz w:val="24"/>
                <w:lang w:val="en-US" w:eastAsia="zh-CN"/>
              </w:rPr>
            </w:pPr>
            <w:r>
              <w:rPr>
                <w:rFonts w:hint="eastAsia"/>
                <w:b w:val="0"/>
                <w:bCs w:val="0"/>
                <w:sz w:val="24"/>
                <w:lang w:val="en-US" w:eastAsia="zh-CN"/>
              </w:rPr>
              <w:t>公司继续做大做强主营产品，加快向产业化发展的战略转型，持续推动各产品板块实现规模化均衡发展：</w:t>
            </w:r>
          </w:p>
          <w:p w14:paraId="1FA933D7">
            <w:pPr>
              <w:spacing w:line="360" w:lineRule="auto"/>
              <w:ind w:firstLine="480" w:firstLineChars="200"/>
              <w:rPr>
                <w:rFonts w:hint="eastAsia"/>
                <w:b w:val="0"/>
                <w:bCs w:val="0"/>
                <w:sz w:val="24"/>
                <w:lang w:val="en-US" w:eastAsia="zh-CN"/>
              </w:rPr>
            </w:pPr>
            <w:r>
              <w:rPr>
                <w:rFonts w:hint="eastAsia"/>
                <w:b w:val="0"/>
                <w:bCs w:val="0"/>
                <w:sz w:val="24"/>
                <w:lang w:val="en-US" w:eastAsia="zh-CN"/>
              </w:rPr>
              <w:t>国际航空发动机业务上，国际产业链格局正在发生变化，国内航发供应链配套企业有望获得更多的业务发展机遇。公司质量、及时性等交付方面的表现获得客户认可，已导入的成熟叶片项目份额稳定，新导入的叶片项目研发进展顺利，与赛峰的合作持续从压气机叶片向四大类零部件扩张。</w:t>
            </w:r>
          </w:p>
          <w:p w14:paraId="0EEF9EB1">
            <w:pPr>
              <w:spacing w:line="360" w:lineRule="auto"/>
              <w:ind w:firstLine="480" w:firstLineChars="200"/>
              <w:rPr>
                <w:rFonts w:hint="eastAsia"/>
                <w:b w:val="0"/>
                <w:bCs w:val="0"/>
                <w:sz w:val="24"/>
                <w:lang w:val="en-US" w:eastAsia="zh-CN"/>
              </w:rPr>
            </w:pPr>
            <w:r>
              <w:rPr>
                <w:rFonts w:hint="eastAsia"/>
                <w:b w:val="0"/>
                <w:bCs w:val="0"/>
                <w:sz w:val="24"/>
                <w:lang w:val="en-US" w:eastAsia="zh-CN"/>
              </w:rPr>
              <w:t>国内航空发动机业务上，随着计划取得适航许可的时间节点的临近，国产航空发动机CJ1000的研发验证工作提速，今明两年投入台套数显著增加；因国际形势变化，防务方面的投入建设亦是势所必然，未来业务机会日渐增多，加之公司对精密机加业务的培育不断取得进步，国内发动机四大类零部件业务受益于内外部的变化有望迎来较快增长阶段。</w:t>
            </w:r>
          </w:p>
          <w:p w14:paraId="08E12B68">
            <w:pPr>
              <w:spacing w:line="360" w:lineRule="auto"/>
              <w:ind w:firstLine="480" w:firstLineChars="200"/>
              <w:rPr>
                <w:rFonts w:hint="eastAsia"/>
                <w:b w:val="0"/>
                <w:bCs w:val="0"/>
                <w:sz w:val="24"/>
                <w:lang w:val="en-US" w:eastAsia="zh-CN"/>
              </w:rPr>
            </w:pPr>
            <w:r>
              <w:rPr>
                <w:rFonts w:hint="eastAsia"/>
                <w:b w:val="0"/>
                <w:bCs w:val="0"/>
                <w:sz w:val="24"/>
                <w:lang w:val="en-US" w:eastAsia="zh-CN"/>
              </w:rPr>
              <w:t>医疗骨科关节业务上，国内医疗骨科市场需求正在逐渐好转，同时，公司持续跟踪海外骨科关节客户的需求，出口业务逐渐进入收获期，预计今年医疗骨科业务会止跌回升，为公司未来几年的业务总收入的增长做出贡献。</w:t>
            </w:r>
          </w:p>
          <w:p w14:paraId="026AEC83">
            <w:pPr>
              <w:spacing w:line="360" w:lineRule="auto"/>
              <w:ind w:firstLine="480" w:firstLineChars="200"/>
              <w:rPr>
                <w:rFonts w:hint="default"/>
                <w:b w:val="0"/>
                <w:bCs w:val="0"/>
                <w:sz w:val="24"/>
                <w:lang w:val="en-US" w:eastAsia="zh-CN"/>
              </w:rPr>
            </w:pPr>
          </w:p>
          <w:p w14:paraId="4D071851">
            <w:pPr>
              <w:numPr>
                <w:ilvl w:val="0"/>
                <w:numId w:val="1"/>
              </w:numPr>
              <w:spacing w:line="360" w:lineRule="auto"/>
              <w:ind w:left="420" w:leftChars="0" w:hanging="420" w:firstLineChars="0"/>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关税政策对公司影响如何</w:t>
            </w:r>
            <w:r>
              <w:rPr>
                <w:rFonts w:eastAsiaTheme="minorEastAsia"/>
                <w:b/>
                <w:sz w:val="24"/>
              </w:rPr>
              <w:t xml:space="preserve">？ </w:t>
            </w:r>
          </w:p>
          <w:p w14:paraId="2CE568C5">
            <w:pPr>
              <w:spacing w:line="360" w:lineRule="auto"/>
              <w:ind w:firstLine="482" w:firstLineChars="200"/>
              <w:rPr>
                <w:rFonts w:hint="eastAsia" w:eastAsiaTheme="minorEastAsia"/>
                <w:sz w:val="24"/>
                <w:lang w:eastAsia="zh-CN"/>
              </w:rPr>
            </w:pPr>
            <w:r>
              <w:rPr>
                <w:rFonts w:hint="eastAsia" w:eastAsiaTheme="minorEastAsia"/>
                <w:b/>
                <w:sz w:val="24"/>
              </w:rPr>
              <w:t>A</w:t>
            </w:r>
            <w:r>
              <w:rPr>
                <w:rFonts w:eastAsiaTheme="minorEastAsia"/>
                <w:b/>
                <w:sz w:val="24"/>
              </w:rPr>
              <w:t>:</w:t>
            </w:r>
            <w:r>
              <w:rPr>
                <w:rFonts w:hint="eastAsia"/>
              </w:rPr>
              <w:t xml:space="preserve"> </w:t>
            </w:r>
            <w:r>
              <w:rPr>
                <w:rFonts w:hint="eastAsia" w:eastAsiaTheme="minorEastAsia"/>
                <w:sz w:val="24"/>
              </w:rPr>
              <w:t>公司在美国市场主要服务于GE等长期合作伙伴，但该部分</w:t>
            </w:r>
            <w:r>
              <w:rPr>
                <w:rFonts w:hint="eastAsia" w:eastAsiaTheme="minorEastAsia"/>
                <w:sz w:val="24"/>
                <w:lang w:val="en-US" w:eastAsia="zh-CN"/>
              </w:rPr>
              <w:t>直接出口</w:t>
            </w:r>
            <w:r>
              <w:rPr>
                <w:rFonts w:hint="eastAsia" w:eastAsiaTheme="minorEastAsia"/>
                <w:sz w:val="24"/>
              </w:rPr>
              <w:t>业务占公司整体营收比例较小，贸易政策的变化对公司总体经营影响较为有限。近几年，为应对贸易政策的不确定性，公司已经并持续在经营战略方面积极做前瞻性布局，以实现国内外业务均衡发展，提高公司的抗风险能力；同时，提升技术能力是公司在复杂环境下能够长期发展和具备经营韧性的保证。我们</w:t>
            </w:r>
            <w:r>
              <w:rPr>
                <w:rFonts w:hint="eastAsia" w:eastAsiaTheme="minorEastAsia"/>
                <w:sz w:val="24"/>
                <w:lang w:val="en-US" w:eastAsia="zh-CN"/>
              </w:rPr>
              <w:t>正在</w:t>
            </w:r>
            <w:r>
              <w:rPr>
                <w:rFonts w:hint="eastAsia" w:eastAsiaTheme="minorEastAsia"/>
                <w:sz w:val="24"/>
              </w:rPr>
              <w:t>密切关注政策变化，并与客户保持紧密沟通，持续动态应对</w:t>
            </w:r>
            <w:r>
              <w:rPr>
                <w:rFonts w:hint="eastAsia" w:eastAsiaTheme="minorEastAsia"/>
                <w:sz w:val="24"/>
                <w:lang w:eastAsia="zh-CN"/>
              </w:rPr>
              <w:t>。</w:t>
            </w:r>
          </w:p>
          <w:p w14:paraId="26810692">
            <w:pPr>
              <w:spacing w:line="360" w:lineRule="auto"/>
              <w:ind w:firstLine="480" w:firstLineChars="200"/>
              <w:rPr>
                <w:rFonts w:hint="eastAsia" w:eastAsiaTheme="minorEastAsia"/>
                <w:sz w:val="24"/>
              </w:rPr>
            </w:pPr>
          </w:p>
          <w:p w14:paraId="162FC21F">
            <w:pPr>
              <w:numPr>
                <w:ilvl w:val="0"/>
                <w:numId w:val="1"/>
              </w:numPr>
              <w:spacing w:line="360" w:lineRule="auto"/>
              <w:ind w:left="420" w:leftChars="0" w:hanging="420" w:firstLineChars="0"/>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公司此前披露的华航科创减持计划，股东是基于什么考量减持，什么时候会减持结束</w:t>
            </w:r>
            <w:r>
              <w:rPr>
                <w:rFonts w:eastAsiaTheme="minorEastAsia"/>
                <w:b/>
                <w:sz w:val="24"/>
              </w:rPr>
              <w:t xml:space="preserve">？ </w:t>
            </w:r>
          </w:p>
          <w:p w14:paraId="04A53C95">
            <w:pPr>
              <w:spacing w:line="360" w:lineRule="auto"/>
              <w:ind w:firstLine="482" w:firstLineChars="200"/>
              <w:rPr>
                <w:rFonts w:hint="eastAsia" w:eastAsiaTheme="minorEastAsia"/>
                <w:sz w:val="24"/>
              </w:rPr>
            </w:pPr>
            <w:r>
              <w:rPr>
                <w:rFonts w:hint="eastAsia" w:eastAsiaTheme="minorEastAsia"/>
                <w:b/>
                <w:sz w:val="24"/>
              </w:rPr>
              <w:t>A</w:t>
            </w:r>
            <w:r>
              <w:rPr>
                <w:rFonts w:eastAsiaTheme="minorEastAsia"/>
                <w:b/>
                <w:sz w:val="24"/>
              </w:rPr>
              <w:t>:</w:t>
            </w:r>
            <w:r>
              <w:rPr>
                <w:rFonts w:hint="eastAsia"/>
              </w:rPr>
              <w:t xml:space="preserve"> </w:t>
            </w:r>
            <w:r>
              <w:rPr>
                <w:rFonts w:hint="eastAsia" w:eastAsiaTheme="minorEastAsia"/>
                <w:sz w:val="24"/>
              </w:rPr>
              <w:t>公司股东华航科创减持</w:t>
            </w:r>
            <w:r>
              <w:rPr>
                <w:rFonts w:hint="eastAsia" w:eastAsiaTheme="minorEastAsia"/>
                <w:sz w:val="24"/>
                <w:lang w:val="en-US" w:eastAsia="zh-CN"/>
              </w:rPr>
              <w:t>是基于</w:t>
            </w:r>
            <w:r>
              <w:rPr>
                <w:rFonts w:hint="eastAsia" w:eastAsiaTheme="minorEastAsia"/>
                <w:sz w:val="24"/>
              </w:rPr>
              <w:t>部分合伙人自身资金需要。根据此前披露的减持股份计划（公告编号2024-049），该股东原计划减持不超过200万股，但因市场等因素影响，实际减持约64万股。公司</w:t>
            </w:r>
            <w:r>
              <w:rPr>
                <w:rFonts w:hint="eastAsia" w:eastAsiaTheme="minorEastAsia"/>
                <w:sz w:val="24"/>
                <w:lang w:val="en-US" w:eastAsia="zh-CN"/>
              </w:rPr>
              <w:t>今年</w:t>
            </w:r>
            <w:r>
              <w:rPr>
                <w:rFonts w:hint="eastAsia" w:eastAsiaTheme="minorEastAsia"/>
                <w:sz w:val="24"/>
              </w:rPr>
              <w:t>4月29日披露其计划减持不超过120万股，为上期未实施完毕的剩余部分</w:t>
            </w:r>
            <w:r>
              <w:rPr>
                <w:rFonts w:hint="eastAsia" w:eastAsiaTheme="minorEastAsia"/>
                <w:sz w:val="24"/>
                <w:lang w:eastAsia="zh-CN"/>
              </w:rPr>
              <w:t>，</w:t>
            </w:r>
            <w:r>
              <w:rPr>
                <w:rFonts w:hint="eastAsia" w:eastAsiaTheme="minorEastAsia"/>
                <w:sz w:val="24"/>
                <w:lang w:val="en-US" w:eastAsia="zh-CN"/>
              </w:rPr>
              <w:t>此次减持期间为2025年5月26日至8月25日</w:t>
            </w:r>
            <w:r>
              <w:rPr>
                <w:rFonts w:hint="eastAsia" w:eastAsiaTheme="minorEastAsia"/>
                <w:sz w:val="24"/>
              </w:rPr>
              <w:t>。需要特别说明的是，上述减持计划实施期间，公司实际控制人严奇先生未进行任何减持，其持有的华航科创的份额不会发生变动。华航科创相关合伙人在公司创业早期为公司的发展壮大做出了重要贡献，公司尊重并理解合伙人个人的合理资金规划需求，此次减持行为属于正常的市场行为。</w:t>
            </w:r>
          </w:p>
          <w:p w14:paraId="44730B0D">
            <w:pPr>
              <w:spacing w:line="360" w:lineRule="auto"/>
              <w:ind w:firstLine="480" w:firstLineChars="200"/>
              <w:rPr>
                <w:rFonts w:hint="eastAsia" w:eastAsiaTheme="minorEastAsia"/>
                <w:sz w:val="24"/>
              </w:rPr>
            </w:pPr>
          </w:p>
          <w:p w14:paraId="758B5D22">
            <w:pPr>
              <w:numPr>
                <w:ilvl w:val="0"/>
                <w:numId w:val="1"/>
              </w:numPr>
              <w:spacing w:line="360" w:lineRule="auto"/>
              <w:ind w:left="420" w:leftChars="0" w:hanging="420" w:firstLineChars="0"/>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公司有哪些核心技术？</w:t>
            </w:r>
            <w:r>
              <w:rPr>
                <w:rFonts w:eastAsiaTheme="minorEastAsia"/>
                <w:b/>
                <w:sz w:val="24"/>
              </w:rPr>
              <w:t xml:space="preserve"> </w:t>
            </w:r>
          </w:p>
          <w:p w14:paraId="45AE6B83">
            <w:pPr>
              <w:spacing w:line="360" w:lineRule="auto"/>
              <w:ind w:firstLine="482" w:firstLineChars="200"/>
              <w:rPr>
                <w:rFonts w:hint="eastAsia" w:eastAsiaTheme="minorEastAsia"/>
                <w:sz w:val="24"/>
                <w:lang w:eastAsia="zh-CN"/>
              </w:rPr>
            </w:pPr>
            <w:r>
              <w:rPr>
                <w:rFonts w:hint="eastAsia" w:eastAsiaTheme="minorEastAsia"/>
                <w:b/>
                <w:sz w:val="24"/>
              </w:rPr>
              <w:t>A</w:t>
            </w:r>
            <w:r>
              <w:rPr>
                <w:rFonts w:eastAsiaTheme="minorEastAsia"/>
                <w:b/>
                <w:sz w:val="24"/>
              </w:rPr>
              <w:t>:</w:t>
            </w:r>
            <w:r>
              <w:rPr>
                <w:rFonts w:hint="eastAsia"/>
              </w:rPr>
              <w:t xml:space="preserve"> </w:t>
            </w:r>
            <w:r>
              <w:rPr>
                <w:rFonts w:hint="eastAsia" w:eastAsiaTheme="minorEastAsia"/>
                <w:sz w:val="24"/>
              </w:rPr>
              <w:t>公司结合多年的技术研发与项目实践经验所形成的科研成果，在精锻近净成形</w:t>
            </w:r>
            <w:r>
              <w:rPr>
                <w:rFonts w:hint="eastAsia" w:eastAsiaTheme="minorEastAsia"/>
                <w:sz w:val="24"/>
                <w:lang w:eastAsia="zh-CN"/>
              </w:rPr>
              <w:t>、</w:t>
            </w:r>
            <w:r>
              <w:rPr>
                <w:rFonts w:hint="eastAsia" w:eastAsiaTheme="minorEastAsia"/>
                <w:sz w:val="24"/>
              </w:rPr>
              <w:t>精密机加工</w:t>
            </w:r>
            <w:r>
              <w:rPr>
                <w:rFonts w:hint="eastAsia" w:eastAsiaTheme="minorEastAsia"/>
                <w:sz w:val="24"/>
                <w:lang w:val="en-US" w:eastAsia="zh-CN"/>
              </w:rPr>
              <w:t>及特种工艺三</w:t>
            </w:r>
            <w:r>
              <w:rPr>
                <w:rFonts w:hint="eastAsia" w:eastAsiaTheme="minorEastAsia"/>
                <w:sz w:val="24"/>
              </w:rPr>
              <w:t>大重点领域形成了丰富的工程技术能力</w:t>
            </w:r>
            <w:r>
              <w:rPr>
                <w:rFonts w:hint="eastAsia" w:eastAsiaTheme="minorEastAsia"/>
                <w:sz w:val="24"/>
                <w:lang w:eastAsia="zh-CN"/>
              </w:rPr>
              <w:t>：</w:t>
            </w:r>
            <w:bookmarkStart w:id="0" w:name="_GoBack"/>
            <w:bookmarkEnd w:id="0"/>
          </w:p>
          <w:p w14:paraId="5A4B0B46">
            <w:pPr>
              <w:spacing w:line="360" w:lineRule="auto"/>
              <w:ind w:firstLine="480" w:firstLineChars="200"/>
              <w:rPr>
                <w:rFonts w:hint="eastAsia" w:eastAsiaTheme="minorEastAsia"/>
                <w:sz w:val="24"/>
              </w:rPr>
            </w:pPr>
            <w:r>
              <w:rPr>
                <w:rFonts w:hint="eastAsia" w:eastAsiaTheme="minorEastAsia"/>
                <w:sz w:val="24"/>
                <w:lang w:val="en-US" w:eastAsia="zh-CN"/>
              </w:rPr>
              <w:t>在精锻近净成形和精密机加工领域，</w:t>
            </w:r>
            <w:r>
              <w:rPr>
                <w:rFonts w:hint="eastAsia" w:eastAsiaTheme="minorEastAsia"/>
                <w:sz w:val="24"/>
              </w:rPr>
              <w:t>掌握了模具逆向设计及逆向制造、叶片前后缘自适应抛修、压气机毂筒组合加工技术、复杂曲面快速测量、整体叶盘</w:t>
            </w:r>
            <w:r>
              <w:rPr>
                <w:rFonts w:hint="eastAsia" w:eastAsiaTheme="minorEastAsia"/>
                <w:sz w:val="24"/>
                <w:lang w:val="en-US" w:eastAsia="zh-CN"/>
              </w:rPr>
              <w:t>/整流器叶片分层复合数控加工技术、难变形合金盘件</w:t>
            </w:r>
            <w:r>
              <w:rPr>
                <w:rFonts w:hint="eastAsia" w:eastAsiaTheme="minorEastAsia"/>
                <w:sz w:val="24"/>
              </w:rPr>
              <w:t>榫槽精密加工技术等多项核心技术。</w:t>
            </w:r>
          </w:p>
          <w:p w14:paraId="0707AD57">
            <w:pPr>
              <w:spacing w:line="360" w:lineRule="auto"/>
              <w:ind w:firstLine="480" w:firstLineChars="200"/>
              <w:rPr>
                <w:rFonts w:hint="eastAsia" w:eastAsiaTheme="minorEastAsia"/>
                <w:sz w:val="24"/>
                <w:lang w:eastAsia="zh-CN"/>
              </w:rPr>
            </w:pPr>
            <w:r>
              <w:rPr>
                <w:rFonts w:hint="eastAsia" w:eastAsiaTheme="minorEastAsia"/>
                <w:sz w:val="24"/>
                <w:lang w:val="en-US" w:eastAsia="zh-CN"/>
              </w:rPr>
              <w:t>在特种工艺领域，</w:t>
            </w:r>
            <w:r>
              <w:rPr>
                <w:rFonts w:hint="eastAsia" w:eastAsiaTheme="minorEastAsia"/>
                <w:sz w:val="24"/>
              </w:rPr>
              <w:t>公司的热处理、化学处理、无损检测、表面强化、金属材料制造（锻造）等五大类特种工艺已取得NADCAP认证，掌握了较为完整的特种工艺体系，同时也取得了赛峰、GE航空、罗罗等客户的认证</w:t>
            </w:r>
            <w:r>
              <w:rPr>
                <w:rFonts w:hint="eastAsia" w:eastAsiaTheme="minorEastAsia"/>
                <w:sz w:val="24"/>
                <w:lang w:eastAsia="zh-CN"/>
              </w:rPr>
              <w:t>；</w:t>
            </w:r>
            <w:r>
              <w:rPr>
                <w:rFonts w:hint="eastAsia" w:eastAsiaTheme="minorEastAsia"/>
                <w:sz w:val="24"/>
              </w:rPr>
              <w:t>实验室通过国家CNAS认证</w:t>
            </w:r>
            <w:r>
              <w:rPr>
                <w:rFonts w:hint="eastAsia" w:eastAsiaTheme="minorEastAsia"/>
                <w:sz w:val="24"/>
                <w:lang w:eastAsia="zh-CN"/>
              </w:rPr>
              <w:t>；</w:t>
            </w:r>
            <w:r>
              <w:rPr>
                <w:rFonts w:hint="eastAsia" w:eastAsiaTheme="minorEastAsia"/>
                <w:sz w:val="24"/>
              </w:rPr>
              <w:t>惯性摩擦焊接</w:t>
            </w:r>
            <w:r>
              <w:rPr>
                <w:rFonts w:hint="eastAsia" w:eastAsiaTheme="minorEastAsia"/>
                <w:sz w:val="24"/>
                <w:lang w:val="en-US" w:eastAsia="zh-CN"/>
              </w:rPr>
              <w:t>技术</w:t>
            </w:r>
            <w:r>
              <w:rPr>
                <w:rFonts w:hint="eastAsia" w:eastAsiaTheme="minorEastAsia"/>
                <w:sz w:val="24"/>
              </w:rPr>
              <w:t>已完成设备和产品的双重验证</w:t>
            </w:r>
            <w:r>
              <w:rPr>
                <w:rFonts w:hint="eastAsia" w:eastAsiaTheme="minorEastAsia"/>
                <w:sz w:val="24"/>
                <w:lang w:eastAsia="zh-CN"/>
              </w:rPr>
              <w:t>。</w:t>
            </w:r>
            <w:r>
              <w:rPr>
                <w:rFonts w:hint="eastAsia" w:eastAsiaTheme="minorEastAsia"/>
                <w:sz w:val="24"/>
              </w:rPr>
              <w:t>公司特种工艺技术及管控水平已满足国际航空领域特种工艺的质量要求。</w:t>
            </w:r>
          </w:p>
          <w:p w14:paraId="666B7072">
            <w:pPr>
              <w:spacing w:line="360" w:lineRule="auto"/>
              <w:ind w:firstLine="480" w:firstLineChars="200"/>
              <w:rPr>
                <w:rFonts w:hint="eastAsia" w:eastAsiaTheme="minorEastAsia"/>
                <w:sz w:val="24"/>
              </w:rPr>
            </w:pPr>
            <w:r>
              <w:rPr>
                <w:rFonts w:hint="eastAsia" w:eastAsiaTheme="minorEastAsia"/>
                <w:sz w:val="24"/>
                <w:lang w:val="en-US" w:eastAsia="zh-CN"/>
              </w:rPr>
              <w:t>同时，公司</w:t>
            </w:r>
            <w:r>
              <w:rPr>
                <w:rFonts w:hint="eastAsia" w:eastAsiaTheme="minorEastAsia"/>
                <w:sz w:val="24"/>
              </w:rPr>
              <w:t>对于复合材料等新技术开展前瞻性规划，整合内外部资源，推动新技术的发展与应用。</w:t>
            </w:r>
          </w:p>
        </w:tc>
      </w:tr>
    </w:tbl>
    <w:p w14:paraId="46BB73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CD9AC"/>
    <w:multiLevelType w:val="singleLevel"/>
    <w:tmpl w:val="100CD9A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61F"/>
    <w:rsid w:val="00005DB8"/>
    <w:rsid w:val="00007741"/>
    <w:rsid w:val="00010028"/>
    <w:rsid w:val="000142FC"/>
    <w:rsid w:val="00021F37"/>
    <w:rsid w:val="00025BB0"/>
    <w:rsid w:val="00030EC6"/>
    <w:rsid w:val="00032A58"/>
    <w:rsid w:val="000408E8"/>
    <w:rsid w:val="00041C6D"/>
    <w:rsid w:val="0006018B"/>
    <w:rsid w:val="0006264A"/>
    <w:rsid w:val="0006715E"/>
    <w:rsid w:val="00067798"/>
    <w:rsid w:val="000732FD"/>
    <w:rsid w:val="00076BF3"/>
    <w:rsid w:val="00077BE1"/>
    <w:rsid w:val="0008353C"/>
    <w:rsid w:val="00087A80"/>
    <w:rsid w:val="00090662"/>
    <w:rsid w:val="000909BB"/>
    <w:rsid w:val="000920A4"/>
    <w:rsid w:val="000972D7"/>
    <w:rsid w:val="000A2DEC"/>
    <w:rsid w:val="000A3784"/>
    <w:rsid w:val="000A5907"/>
    <w:rsid w:val="000B0679"/>
    <w:rsid w:val="000B13A0"/>
    <w:rsid w:val="000B615A"/>
    <w:rsid w:val="000B721C"/>
    <w:rsid w:val="000C4A80"/>
    <w:rsid w:val="000C60C3"/>
    <w:rsid w:val="000D09BA"/>
    <w:rsid w:val="000E0B5D"/>
    <w:rsid w:val="000F4056"/>
    <w:rsid w:val="000F71F2"/>
    <w:rsid w:val="000F7EE4"/>
    <w:rsid w:val="00104B97"/>
    <w:rsid w:val="001160F9"/>
    <w:rsid w:val="00130302"/>
    <w:rsid w:val="00133506"/>
    <w:rsid w:val="0013459F"/>
    <w:rsid w:val="00136B87"/>
    <w:rsid w:val="00136DE2"/>
    <w:rsid w:val="001421ED"/>
    <w:rsid w:val="0015602C"/>
    <w:rsid w:val="00170A1A"/>
    <w:rsid w:val="0018094C"/>
    <w:rsid w:val="00182C28"/>
    <w:rsid w:val="00184653"/>
    <w:rsid w:val="00191551"/>
    <w:rsid w:val="00191F0E"/>
    <w:rsid w:val="0019611E"/>
    <w:rsid w:val="001A07DC"/>
    <w:rsid w:val="001A2406"/>
    <w:rsid w:val="001A443D"/>
    <w:rsid w:val="001A6805"/>
    <w:rsid w:val="001B1E03"/>
    <w:rsid w:val="001C1321"/>
    <w:rsid w:val="001D7E30"/>
    <w:rsid w:val="001E3A24"/>
    <w:rsid w:val="001E6603"/>
    <w:rsid w:val="001E7898"/>
    <w:rsid w:val="001F0614"/>
    <w:rsid w:val="00200116"/>
    <w:rsid w:val="00204712"/>
    <w:rsid w:val="00207D69"/>
    <w:rsid w:val="00210258"/>
    <w:rsid w:val="00211116"/>
    <w:rsid w:val="002116B5"/>
    <w:rsid w:val="002161F4"/>
    <w:rsid w:val="0021757C"/>
    <w:rsid w:val="00221B32"/>
    <w:rsid w:val="00222683"/>
    <w:rsid w:val="0022594C"/>
    <w:rsid w:val="0024056D"/>
    <w:rsid w:val="00243E51"/>
    <w:rsid w:val="00247FDD"/>
    <w:rsid w:val="00252ED1"/>
    <w:rsid w:val="0025321D"/>
    <w:rsid w:val="00255B4F"/>
    <w:rsid w:val="00256DE0"/>
    <w:rsid w:val="00260123"/>
    <w:rsid w:val="002601F5"/>
    <w:rsid w:val="00260AF1"/>
    <w:rsid w:val="0027315E"/>
    <w:rsid w:val="00280951"/>
    <w:rsid w:val="00283613"/>
    <w:rsid w:val="00287A52"/>
    <w:rsid w:val="002A2C8F"/>
    <w:rsid w:val="002A4E59"/>
    <w:rsid w:val="002A5FD5"/>
    <w:rsid w:val="002B07AB"/>
    <w:rsid w:val="002B29CA"/>
    <w:rsid w:val="002B378A"/>
    <w:rsid w:val="002C0713"/>
    <w:rsid w:val="002C17C7"/>
    <w:rsid w:val="002D2576"/>
    <w:rsid w:val="002D6547"/>
    <w:rsid w:val="002E0461"/>
    <w:rsid w:val="002E6275"/>
    <w:rsid w:val="002E6C08"/>
    <w:rsid w:val="002E6D62"/>
    <w:rsid w:val="002F0EA0"/>
    <w:rsid w:val="0030340C"/>
    <w:rsid w:val="0030420B"/>
    <w:rsid w:val="00304331"/>
    <w:rsid w:val="00313F4E"/>
    <w:rsid w:val="00314809"/>
    <w:rsid w:val="003312E5"/>
    <w:rsid w:val="003320A5"/>
    <w:rsid w:val="0033695F"/>
    <w:rsid w:val="003426FD"/>
    <w:rsid w:val="00343CDD"/>
    <w:rsid w:val="00353D92"/>
    <w:rsid w:val="00354749"/>
    <w:rsid w:val="0036024B"/>
    <w:rsid w:val="00366A01"/>
    <w:rsid w:val="00366B4A"/>
    <w:rsid w:val="00373C2E"/>
    <w:rsid w:val="00373CA2"/>
    <w:rsid w:val="00386D9A"/>
    <w:rsid w:val="00387A64"/>
    <w:rsid w:val="00393D67"/>
    <w:rsid w:val="003A028B"/>
    <w:rsid w:val="003B4EBF"/>
    <w:rsid w:val="003B5A8E"/>
    <w:rsid w:val="003B735E"/>
    <w:rsid w:val="003C0906"/>
    <w:rsid w:val="003D368A"/>
    <w:rsid w:val="003E2DA9"/>
    <w:rsid w:val="003E3403"/>
    <w:rsid w:val="00401107"/>
    <w:rsid w:val="00402BBE"/>
    <w:rsid w:val="00404844"/>
    <w:rsid w:val="004052CD"/>
    <w:rsid w:val="0040668A"/>
    <w:rsid w:val="00411ADF"/>
    <w:rsid w:val="00412777"/>
    <w:rsid w:val="00417D4C"/>
    <w:rsid w:val="00420730"/>
    <w:rsid w:val="00426BE0"/>
    <w:rsid w:val="00427DA8"/>
    <w:rsid w:val="00430B48"/>
    <w:rsid w:val="00432DA0"/>
    <w:rsid w:val="00444468"/>
    <w:rsid w:val="004553C0"/>
    <w:rsid w:val="00456BEA"/>
    <w:rsid w:val="00457263"/>
    <w:rsid w:val="0046348A"/>
    <w:rsid w:val="004728AF"/>
    <w:rsid w:val="004736E5"/>
    <w:rsid w:val="00475DCB"/>
    <w:rsid w:val="004776AD"/>
    <w:rsid w:val="00480EBB"/>
    <w:rsid w:val="0048508C"/>
    <w:rsid w:val="00496750"/>
    <w:rsid w:val="00497F61"/>
    <w:rsid w:val="004A26F6"/>
    <w:rsid w:val="004A3BD2"/>
    <w:rsid w:val="004B2836"/>
    <w:rsid w:val="004B2849"/>
    <w:rsid w:val="004B3BF1"/>
    <w:rsid w:val="004B55B3"/>
    <w:rsid w:val="004B7595"/>
    <w:rsid w:val="004C00B7"/>
    <w:rsid w:val="004D255C"/>
    <w:rsid w:val="004D6346"/>
    <w:rsid w:val="004E1B71"/>
    <w:rsid w:val="004F2413"/>
    <w:rsid w:val="00506FA3"/>
    <w:rsid w:val="00511353"/>
    <w:rsid w:val="00522462"/>
    <w:rsid w:val="005257E2"/>
    <w:rsid w:val="00533CC0"/>
    <w:rsid w:val="005344D8"/>
    <w:rsid w:val="0054039E"/>
    <w:rsid w:val="00543579"/>
    <w:rsid w:val="005437E4"/>
    <w:rsid w:val="00543861"/>
    <w:rsid w:val="00545125"/>
    <w:rsid w:val="00546FC2"/>
    <w:rsid w:val="005471A8"/>
    <w:rsid w:val="005502A2"/>
    <w:rsid w:val="00554570"/>
    <w:rsid w:val="00561566"/>
    <w:rsid w:val="0056166F"/>
    <w:rsid w:val="0056198C"/>
    <w:rsid w:val="00570180"/>
    <w:rsid w:val="0058351C"/>
    <w:rsid w:val="00583E66"/>
    <w:rsid w:val="00585217"/>
    <w:rsid w:val="00587D24"/>
    <w:rsid w:val="005A173B"/>
    <w:rsid w:val="005A24B1"/>
    <w:rsid w:val="005A4B3E"/>
    <w:rsid w:val="005A5476"/>
    <w:rsid w:val="005A6504"/>
    <w:rsid w:val="005A7CF2"/>
    <w:rsid w:val="005B5EA6"/>
    <w:rsid w:val="005B7AE2"/>
    <w:rsid w:val="005B7E4F"/>
    <w:rsid w:val="005C5D73"/>
    <w:rsid w:val="005D0AB7"/>
    <w:rsid w:val="005D261A"/>
    <w:rsid w:val="005D4A64"/>
    <w:rsid w:val="005D7ACE"/>
    <w:rsid w:val="005E5E3C"/>
    <w:rsid w:val="005E644C"/>
    <w:rsid w:val="005F204F"/>
    <w:rsid w:val="005F3681"/>
    <w:rsid w:val="006008AE"/>
    <w:rsid w:val="00603D34"/>
    <w:rsid w:val="006124ED"/>
    <w:rsid w:val="00613CD7"/>
    <w:rsid w:val="0061694D"/>
    <w:rsid w:val="006206DC"/>
    <w:rsid w:val="00621096"/>
    <w:rsid w:val="006228D2"/>
    <w:rsid w:val="00637817"/>
    <w:rsid w:val="006516D0"/>
    <w:rsid w:val="00660205"/>
    <w:rsid w:val="00660EE4"/>
    <w:rsid w:val="0066325D"/>
    <w:rsid w:val="0066411A"/>
    <w:rsid w:val="006672F4"/>
    <w:rsid w:val="00672BF0"/>
    <w:rsid w:val="006803C5"/>
    <w:rsid w:val="00682A23"/>
    <w:rsid w:val="006851E5"/>
    <w:rsid w:val="00687144"/>
    <w:rsid w:val="006952F3"/>
    <w:rsid w:val="00695DE2"/>
    <w:rsid w:val="006A19F7"/>
    <w:rsid w:val="006A7E11"/>
    <w:rsid w:val="006B00B8"/>
    <w:rsid w:val="006B43B8"/>
    <w:rsid w:val="006B5D64"/>
    <w:rsid w:val="006B70BE"/>
    <w:rsid w:val="006C1671"/>
    <w:rsid w:val="006C3D5F"/>
    <w:rsid w:val="006D1A6A"/>
    <w:rsid w:val="006D6BBF"/>
    <w:rsid w:val="006E073E"/>
    <w:rsid w:val="006E1C5D"/>
    <w:rsid w:val="006E4871"/>
    <w:rsid w:val="006F09AC"/>
    <w:rsid w:val="006F214E"/>
    <w:rsid w:val="006F534B"/>
    <w:rsid w:val="00706AF3"/>
    <w:rsid w:val="00710081"/>
    <w:rsid w:val="00717439"/>
    <w:rsid w:val="007217AA"/>
    <w:rsid w:val="00752000"/>
    <w:rsid w:val="0075331D"/>
    <w:rsid w:val="00753985"/>
    <w:rsid w:val="00754103"/>
    <w:rsid w:val="007545EF"/>
    <w:rsid w:val="007546B1"/>
    <w:rsid w:val="007552EA"/>
    <w:rsid w:val="00761055"/>
    <w:rsid w:val="007612CF"/>
    <w:rsid w:val="007618D3"/>
    <w:rsid w:val="00764163"/>
    <w:rsid w:val="00767760"/>
    <w:rsid w:val="00770F4F"/>
    <w:rsid w:val="00771116"/>
    <w:rsid w:val="0077431B"/>
    <w:rsid w:val="00774FB2"/>
    <w:rsid w:val="0077572D"/>
    <w:rsid w:val="007774E1"/>
    <w:rsid w:val="007931CF"/>
    <w:rsid w:val="0079430E"/>
    <w:rsid w:val="007965AF"/>
    <w:rsid w:val="007A4895"/>
    <w:rsid w:val="007B06B4"/>
    <w:rsid w:val="007C3EEF"/>
    <w:rsid w:val="007C6053"/>
    <w:rsid w:val="007D6460"/>
    <w:rsid w:val="007D6F84"/>
    <w:rsid w:val="007E0341"/>
    <w:rsid w:val="007E1953"/>
    <w:rsid w:val="007E2F5B"/>
    <w:rsid w:val="007E61B4"/>
    <w:rsid w:val="007F133F"/>
    <w:rsid w:val="007F3EBD"/>
    <w:rsid w:val="008001BD"/>
    <w:rsid w:val="0080357B"/>
    <w:rsid w:val="0080394A"/>
    <w:rsid w:val="00811884"/>
    <w:rsid w:val="0081324A"/>
    <w:rsid w:val="008228E6"/>
    <w:rsid w:val="00830B87"/>
    <w:rsid w:val="00830D18"/>
    <w:rsid w:val="00831B6F"/>
    <w:rsid w:val="0086129B"/>
    <w:rsid w:val="00865A41"/>
    <w:rsid w:val="0086618B"/>
    <w:rsid w:val="00872174"/>
    <w:rsid w:val="0087774A"/>
    <w:rsid w:val="008805E4"/>
    <w:rsid w:val="00880E92"/>
    <w:rsid w:val="00881431"/>
    <w:rsid w:val="008914AA"/>
    <w:rsid w:val="00891621"/>
    <w:rsid w:val="008929E7"/>
    <w:rsid w:val="008930F7"/>
    <w:rsid w:val="00894268"/>
    <w:rsid w:val="00895019"/>
    <w:rsid w:val="00895939"/>
    <w:rsid w:val="008A1DAD"/>
    <w:rsid w:val="008B147E"/>
    <w:rsid w:val="008B683A"/>
    <w:rsid w:val="008B6EC9"/>
    <w:rsid w:val="008C316C"/>
    <w:rsid w:val="008C3171"/>
    <w:rsid w:val="008E652A"/>
    <w:rsid w:val="008F1BA0"/>
    <w:rsid w:val="008F23B1"/>
    <w:rsid w:val="008F7538"/>
    <w:rsid w:val="008F7F8F"/>
    <w:rsid w:val="0090106C"/>
    <w:rsid w:val="009018FB"/>
    <w:rsid w:val="00917DE6"/>
    <w:rsid w:val="00921BA3"/>
    <w:rsid w:val="009324B8"/>
    <w:rsid w:val="00936F2B"/>
    <w:rsid w:val="00937FC7"/>
    <w:rsid w:val="00944ADD"/>
    <w:rsid w:val="00950823"/>
    <w:rsid w:val="009517FE"/>
    <w:rsid w:val="00957A5B"/>
    <w:rsid w:val="00957D9F"/>
    <w:rsid w:val="009606C0"/>
    <w:rsid w:val="00960FFF"/>
    <w:rsid w:val="009627BD"/>
    <w:rsid w:val="00967F9D"/>
    <w:rsid w:val="0098398A"/>
    <w:rsid w:val="009859F6"/>
    <w:rsid w:val="00987364"/>
    <w:rsid w:val="009A1D74"/>
    <w:rsid w:val="009C5ADB"/>
    <w:rsid w:val="009D37B5"/>
    <w:rsid w:val="009D5336"/>
    <w:rsid w:val="009D60B5"/>
    <w:rsid w:val="009D70C1"/>
    <w:rsid w:val="009D7899"/>
    <w:rsid w:val="00A105E0"/>
    <w:rsid w:val="00A129DD"/>
    <w:rsid w:val="00A17E87"/>
    <w:rsid w:val="00A27CA4"/>
    <w:rsid w:val="00A420D3"/>
    <w:rsid w:val="00A427C1"/>
    <w:rsid w:val="00A46038"/>
    <w:rsid w:val="00A81FAE"/>
    <w:rsid w:val="00A829F5"/>
    <w:rsid w:val="00A91E8B"/>
    <w:rsid w:val="00A92059"/>
    <w:rsid w:val="00AA31FD"/>
    <w:rsid w:val="00AA7685"/>
    <w:rsid w:val="00AB00AD"/>
    <w:rsid w:val="00AB11DA"/>
    <w:rsid w:val="00AB678C"/>
    <w:rsid w:val="00AB7394"/>
    <w:rsid w:val="00AB7A34"/>
    <w:rsid w:val="00AC08DC"/>
    <w:rsid w:val="00AC3757"/>
    <w:rsid w:val="00AC60A2"/>
    <w:rsid w:val="00AC7132"/>
    <w:rsid w:val="00AD3C1D"/>
    <w:rsid w:val="00AD6151"/>
    <w:rsid w:val="00AD675D"/>
    <w:rsid w:val="00AE4106"/>
    <w:rsid w:val="00AE5555"/>
    <w:rsid w:val="00AE5856"/>
    <w:rsid w:val="00AF1B4D"/>
    <w:rsid w:val="00AF76ED"/>
    <w:rsid w:val="00B07BB2"/>
    <w:rsid w:val="00B07FD7"/>
    <w:rsid w:val="00B13464"/>
    <w:rsid w:val="00B14627"/>
    <w:rsid w:val="00B16D36"/>
    <w:rsid w:val="00B22B29"/>
    <w:rsid w:val="00B274D5"/>
    <w:rsid w:val="00B427A3"/>
    <w:rsid w:val="00B46FDB"/>
    <w:rsid w:val="00B513F2"/>
    <w:rsid w:val="00B5258C"/>
    <w:rsid w:val="00B613A4"/>
    <w:rsid w:val="00B63874"/>
    <w:rsid w:val="00B66517"/>
    <w:rsid w:val="00B74D13"/>
    <w:rsid w:val="00B81232"/>
    <w:rsid w:val="00B85B87"/>
    <w:rsid w:val="00B87178"/>
    <w:rsid w:val="00B946DC"/>
    <w:rsid w:val="00BA3596"/>
    <w:rsid w:val="00BA4FBB"/>
    <w:rsid w:val="00BA5CD4"/>
    <w:rsid w:val="00BA5E94"/>
    <w:rsid w:val="00BA68F7"/>
    <w:rsid w:val="00BB4564"/>
    <w:rsid w:val="00BB5021"/>
    <w:rsid w:val="00BB7274"/>
    <w:rsid w:val="00BB7914"/>
    <w:rsid w:val="00BC1E0D"/>
    <w:rsid w:val="00BC54C4"/>
    <w:rsid w:val="00BC7548"/>
    <w:rsid w:val="00BD1C5E"/>
    <w:rsid w:val="00BE2D8D"/>
    <w:rsid w:val="00BE3A48"/>
    <w:rsid w:val="00BE5C47"/>
    <w:rsid w:val="00BF1B14"/>
    <w:rsid w:val="00BF360A"/>
    <w:rsid w:val="00BF3627"/>
    <w:rsid w:val="00BF4AAF"/>
    <w:rsid w:val="00BF59DB"/>
    <w:rsid w:val="00BF6C33"/>
    <w:rsid w:val="00C03BDE"/>
    <w:rsid w:val="00C10B76"/>
    <w:rsid w:val="00C11BE8"/>
    <w:rsid w:val="00C12C23"/>
    <w:rsid w:val="00C157EE"/>
    <w:rsid w:val="00C31D65"/>
    <w:rsid w:val="00C31FED"/>
    <w:rsid w:val="00C44C17"/>
    <w:rsid w:val="00C47666"/>
    <w:rsid w:val="00C53F1D"/>
    <w:rsid w:val="00C63810"/>
    <w:rsid w:val="00C6749A"/>
    <w:rsid w:val="00C677E3"/>
    <w:rsid w:val="00C80E2D"/>
    <w:rsid w:val="00C8400A"/>
    <w:rsid w:val="00C93625"/>
    <w:rsid w:val="00CA5404"/>
    <w:rsid w:val="00CB17C3"/>
    <w:rsid w:val="00CC27A3"/>
    <w:rsid w:val="00CC2C85"/>
    <w:rsid w:val="00CC3592"/>
    <w:rsid w:val="00CC7818"/>
    <w:rsid w:val="00CD08E0"/>
    <w:rsid w:val="00CD16D3"/>
    <w:rsid w:val="00CD2619"/>
    <w:rsid w:val="00CD7C88"/>
    <w:rsid w:val="00CE3BED"/>
    <w:rsid w:val="00CE4734"/>
    <w:rsid w:val="00CE5809"/>
    <w:rsid w:val="00CE6826"/>
    <w:rsid w:val="00CE6C89"/>
    <w:rsid w:val="00CE7969"/>
    <w:rsid w:val="00CF07A2"/>
    <w:rsid w:val="00D00ED2"/>
    <w:rsid w:val="00D013C5"/>
    <w:rsid w:val="00D1230D"/>
    <w:rsid w:val="00D22984"/>
    <w:rsid w:val="00D2770E"/>
    <w:rsid w:val="00D27BC4"/>
    <w:rsid w:val="00D35020"/>
    <w:rsid w:val="00D35D32"/>
    <w:rsid w:val="00D44AB2"/>
    <w:rsid w:val="00D47FF0"/>
    <w:rsid w:val="00D51EF6"/>
    <w:rsid w:val="00D64A88"/>
    <w:rsid w:val="00D64AEF"/>
    <w:rsid w:val="00D66E2B"/>
    <w:rsid w:val="00D73506"/>
    <w:rsid w:val="00D80838"/>
    <w:rsid w:val="00D86BF5"/>
    <w:rsid w:val="00D9333E"/>
    <w:rsid w:val="00D93704"/>
    <w:rsid w:val="00D93CF9"/>
    <w:rsid w:val="00D943FB"/>
    <w:rsid w:val="00D97D0A"/>
    <w:rsid w:val="00D97E10"/>
    <w:rsid w:val="00DA3CE8"/>
    <w:rsid w:val="00DA6AF4"/>
    <w:rsid w:val="00DA7CF9"/>
    <w:rsid w:val="00DB2D71"/>
    <w:rsid w:val="00DB361F"/>
    <w:rsid w:val="00DB3914"/>
    <w:rsid w:val="00DB39EC"/>
    <w:rsid w:val="00DC090C"/>
    <w:rsid w:val="00DC11D6"/>
    <w:rsid w:val="00DC3334"/>
    <w:rsid w:val="00DE1BE7"/>
    <w:rsid w:val="00DE3E03"/>
    <w:rsid w:val="00DF1A0B"/>
    <w:rsid w:val="00E25962"/>
    <w:rsid w:val="00E25BD9"/>
    <w:rsid w:val="00E317B9"/>
    <w:rsid w:val="00E34D11"/>
    <w:rsid w:val="00E5089F"/>
    <w:rsid w:val="00E50A6B"/>
    <w:rsid w:val="00E54474"/>
    <w:rsid w:val="00E55729"/>
    <w:rsid w:val="00E60A88"/>
    <w:rsid w:val="00E61B9F"/>
    <w:rsid w:val="00E640AE"/>
    <w:rsid w:val="00E746E7"/>
    <w:rsid w:val="00E82F67"/>
    <w:rsid w:val="00EB26A2"/>
    <w:rsid w:val="00EB41C2"/>
    <w:rsid w:val="00EC4198"/>
    <w:rsid w:val="00EC6137"/>
    <w:rsid w:val="00EC7125"/>
    <w:rsid w:val="00ED18A8"/>
    <w:rsid w:val="00ED246C"/>
    <w:rsid w:val="00ED2DE4"/>
    <w:rsid w:val="00ED4E45"/>
    <w:rsid w:val="00ED4EFE"/>
    <w:rsid w:val="00ED6986"/>
    <w:rsid w:val="00EE00B2"/>
    <w:rsid w:val="00EE2859"/>
    <w:rsid w:val="00EE2F51"/>
    <w:rsid w:val="00EE5386"/>
    <w:rsid w:val="00EF5D3F"/>
    <w:rsid w:val="00F05774"/>
    <w:rsid w:val="00F06389"/>
    <w:rsid w:val="00F07977"/>
    <w:rsid w:val="00F13846"/>
    <w:rsid w:val="00F21ECE"/>
    <w:rsid w:val="00F22CC4"/>
    <w:rsid w:val="00F238AB"/>
    <w:rsid w:val="00F26D0B"/>
    <w:rsid w:val="00F2738F"/>
    <w:rsid w:val="00F30073"/>
    <w:rsid w:val="00F308C5"/>
    <w:rsid w:val="00F400EF"/>
    <w:rsid w:val="00F410F6"/>
    <w:rsid w:val="00F55360"/>
    <w:rsid w:val="00F627BD"/>
    <w:rsid w:val="00F649F0"/>
    <w:rsid w:val="00F674E6"/>
    <w:rsid w:val="00F70928"/>
    <w:rsid w:val="00F7277C"/>
    <w:rsid w:val="00F87924"/>
    <w:rsid w:val="00F9620D"/>
    <w:rsid w:val="00F97E1D"/>
    <w:rsid w:val="00FA3FDF"/>
    <w:rsid w:val="00FA4407"/>
    <w:rsid w:val="00FB4361"/>
    <w:rsid w:val="00FB50CA"/>
    <w:rsid w:val="00FB571C"/>
    <w:rsid w:val="00FB7ADA"/>
    <w:rsid w:val="00FC1018"/>
    <w:rsid w:val="00FC223E"/>
    <w:rsid w:val="00FC3029"/>
    <w:rsid w:val="00FD184B"/>
    <w:rsid w:val="00FD1B22"/>
    <w:rsid w:val="00FD2F89"/>
    <w:rsid w:val="00FD399F"/>
    <w:rsid w:val="00FD5FBC"/>
    <w:rsid w:val="00FE2F29"/>
    <w:rsid w:val="00FE7E63"/>
    <w:rsid w:val="00FF248E"/>
    <w:rsid w:val="00FF44D1"/>
    <w:rsid w:val="05946B57"/>
    <w:rsid w:val="07401A6C"/>
    <w:rsid w:val="0FEC2AB1"/>
    <w:rsid w:val="11357601"/>
    <w:rsid w:val="128F1E5F"/>
    <w:rsid w:val="139D323C"/>
    <w:rsid w:val="147F4FA2"/>
    <w:rsid w:val="18185709"/>
    <w:rsid w:val="1B70142F"/>
    <w:rsid w:val="1D4056FC"/>
    <w:rsid w:val="1EC4644F"/>
    <w:rsid w:val="2DB53847"/>
    <w:rsid w:val="307B2151"/>
    <w:rsid w:val="3095556F"/>
    <w:rsid w:val="37BF3C3D"/>
    <w:rsid w:val="39E20610"/>
    <w:rsid w:val="3A0C25C8"/>
    <w:rsid w:val="3A6C781A"/>
    <w:rsid w:val="3B5F40A8"/>
    <w:rsid w:val="3BCD154B"/>
    <w:rsid w:val="4C444ED7"/>
    <w:rsid w:val="4F471CD3"/>
    <w:rsid w:val="544E765F"/>
    <w:rsid w:val="6658696F"/>
    <w:rsid w:val="6AB32F8A"/>
    <w:rsid w:val="6AE05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annotation subject"/>
    <w:basedOn w:val="2"/>
    <w:next w:val="2"/>
    <w:link w:val="18"/>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HTML 预设格式 Char"/>
    <w:basedOn w:val="9"/>
    <w:link w:val="6"/>
    <w:semiHidden/>
    <w:qFormat/>
    <w:uiPriority w:val="99"/>
    <w:rPr>
      <w:rFonts w:ascii="宋体" w:hAnsi="宋体" w:eastAsia="宋体" w:cs="宋体"/>
      <w:kern w:val="0"/>
      <w:sz w:val="24"/>
      <w:szCs w:val="24"/>
    </w:rPr>
  </w:style>
  <w:style w:type="character" w:customStyle="1" w:styleId="17">
    <w:name w:val="批注文字 Char"/>
    <w:basedOn w:val="9"/>
    <w:link w:val="2"/>
    <w:semiHidden/>
    <w:qFormat/>
    <w:uiPriority w:val="99"/>
    <w:rPr>
      <w:rFonts w:ascii="Times New Roman" w:hAnsi="Times New Roman" w:eastAsia="宋体" w:cs="Times New Roman"/>
      <w:szCs w:val="24"/>
    </w:rPr>
  </w:style>
  <w:style w:type="character" w:customStyle="1" w:styleId="18">
    <w:name w:val="批注主题 Char"/>
    <w:basedOn w:val="17"/>
    <w:link w:val="7"/>
    <w:semiHidden/>
    <w:qFormat/>
    <w:uiPriority w:val="99"/>
    <w:rPr>
      <w:rFonts w:ascii="Times New Roman" w:hAnsi="Times New Roman" w:eastAsia="宋体" w:cs="Times New Roman"/>
      <w:b/>
      <w:bCs/>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1761</Words>
  <Characters>1809</Characters>
  <Lines>14</Lines>
  <Paragraphs>3</Paragraphs>
  <TotalTime>3</TotalTime>
  <ScaleCrop>false</ScaleCrop>
  <LinksUpToDate>false</LinksUpToDate>
  <CharactersWithSpaces>1885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2025-04-01T07:23:00Z</dcterms:created>
  <dc:creator>skd004</dc:creator>
  <cp:lastModifiedBy>阿南</cp:lastModifiedBy>
  <dcterms:modified xsi:type="dcterms:W3CDTF">2025-08-01T06:23:18Z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-1369374440</vt:i4>
  </property>
  <property fmtid="{D5CDD505-2E9C-101B-9397-08002B2CF9AE}" pid="3" name="KSOProductBuildVer">
    <vt:lpwstr>2052-12.1.0.22215</vt:lpwstr>
  </property>
  <property fmtid="{D5CDD505-2E9C-101B-9397-08002B2CF9AE}" pid="4" name="ICV">
    <vt:lpwstr>F3D990FFEC41402C961217F610EB9D39_13</vt:lpwstr>
  </property>
  <property fmtid="{D5CDD505-2E9C-101B-9397-08002B2CF9AE}" pid="5" name="KSOTemplateDocerSaveRecord">
    <vt:lpwstr>eyJoZGlkIjoiYTQ5NTk2MzMzOWQxNzUwYzkwNjMyY2E2MWZlNmEyNjciLCJ1c2VySWQiOiI2NDE1NDY5NjQifQ==</vt:lpwstr>
  </property>
</Properties>
</file>