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21AB5">
      <w:pPr>
        <w:keepNext/>
        <w:keepLines/>
        <w:spacing w:before="156" w:beforeLines="50" w:after="156" w:afterLines="50" w:line="360" w:lineRule="auto"/>
        <w:jc w:val="center"/>
        <w:outlineLvl w:val="1"/>
        <w:rPr>
          <w:rFonts w:hint="eastAsia" w:ascii="宋体" w:hAnsi="宋体" w:eastAsia="宋体" w:cs="宋体"/>
          <w:b/>
          <w:bCs/>
          <w:sz w:val="36"/>
          <w:szCs w:val="36"/>
        </w:rPr>
      </w:pPr>
      <w:r>
        <w:rPr>
          <w:rFonts w:hint="eastAsia" w:ascii="宋体" w:hAnsi="宋体" w:eastAsia="宋体" w:cs="宋体"/>
          <w:b/>
          <w:bCs/>
          <w:sz w:val="36"/>
          <w:szCs w:val="36"/>
        </w:rPr>
        <w:t>昆山东威科技股份有限公司</w:t>
      </w:r>
    </w:p>
    <w:p w14:paraId="21B25562">
      <w:pPr>
        <w:keepNext/>
        <w:keepLines/>
        <w:spacing w:before="156" w:beforeLines="50" w:after="156" w:afterLines="50"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rPr>
        <w:t>投资者关系活动记录表</w:t>
      </w:r>
    </w:p>
    <w:tbl>
      <w:tblPr>
        <w:tblStyle w:val="7"/>
        <w:tblW w:w="89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212"/>
      </w:tblGrid>
      <w:tr w14:paraId="316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762" w:type="dxa"/>
            <w:shd w:val="clear" w:color="auto" w:fill="auto"/>
          </w:tcPr>
          <w:p w14:paraId="7A64926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14:paraId="4450BE81">
            <w:pPr>
              <w:spacing w:line="360" w:lineRule="auto"/>
              <w:rPr>
                <w:rFonts w:hint="eastAsia" w:ascii="宋体" w:hAnsi="宋体" w:eastAsia="宋体" w:cs="宋体"/>
                <w:b/>
                <w:bCs/>
                <w:iCs/>
                <w:sz w:val="24"/>
                <w:szCs w:val="24"/>
              </w:rPr>
            </w:pPr>
          </w:p>
        </w:tc>
        <w:tc>
          <w:tcPr>
            <w:tcW w:w="6212" w:type="dxa"/>
            <w:shd w:val="clear" w:color="auto" w:fill="auto"/>
          </w:tcPr>
          <w:p w14:paraId="7DD3DD64">
            <w:pPr>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00560AF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A3"/>
            </w:r>
            <w:r>
              <w:rPr>
                <w:rFonts w:hint="eastAsia" w:ascii="宋体" w:hAnsi="宋体" w:eastAsia="宋体" w:cs="宋体"/>
                <w:sz w:val="24"/>
                <w:szCs w:val="24"/>
              </w:rPr>
              <w:t>业绩说明会</w:t>
            </w:r>
          </w:p>
          <w:p w14:paraId="298E55BC">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14:paraId="7F9234B7">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52"/>
            </w:r>
            <w:r>
              <w:rPr>
                <w:rFonts w:hint="eastAsia" w:ascii="宋体" w:hAnsi="宋体" w:eastAsia="宋体" w:cs="宋体"/>
                <w:sz w:val="24"/>
                <w:szCs w:val="24"/>
              </w:rPr>
              <w:t xml:space="preserve">现场调研            </w:t>
            </w:r>
            <w:r>
              <w:rPr>
                <w:rFonts w:hint="eastAsia" w:ascii="宋体" w:hAnsi="宋体" w:eastAsia="宋体" w:cs="宋体"/>
                <w:bCs/>
                <w:iCs/>
                <w:sz w:val="24"/>
                <w:szCs w:val="24"/>
              </w:rPr>
              <w:sym w:font="Wingdings 2" w:char="0052"/>
            </w:r>
            <w:r>
              <w:rPr>
                <w:rFonts w:hint="eastAsia" w:ascii="宋体" w:hAnsi="宋体" w:eastAsia="宋体" w:cs="宋体"/>
                <w:sz w:val="24"/>
                <w:szCs w:val="24"/>
              </w:rPr>
              <w:t>电话会议</w:t>
            </w:r>
          </w:p>
          <w:p w14:paraId="5E92767E">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其他</w:t>
            </w:r>
          </w:p>
        </w:tc>
      </w:tr>
      <w:tr w14:paraId="731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6C024D57">
            <w:pPr>
              <w:widowControl/>
              <w:spacing w:line="360" w:lineRule="auto"/>
              <w:rPr>
                <w:rFonts w:hint="eastAsia" w:ascii="宋体" w:hAnsi="宋体" w:eastAsia="宋体" w:cs="宋体"/>
                <w:sz w:val="24"/>
                <w:szCs w:val="24"/>
              </w:rPr>
            </w:pPr>
            <w:r>
              <w:rPr>
                <w:rFonts w:hint="eastAsia" w:ascii="宋体" w:hAnsi="宋体" w:eastAsia="宋体" w:cs="宋体"/>
                <w:b/>
                <w:bCs/>
                <w:iCs/>
                <w:sz w:val="24"/>
                <w:szCs w:val="24"/>
              </w:rPr>
              <w:t>参与单位及人员名称</w:t>
            </w:r>
          </w:p>
        </w:tc>
        <w:tc>
          <w:tcPr>
            <w:tcW w:w="6212" w:type="dxa"/>
            <w:shd w:val="clear" w:color="auto" w:fill="auto"/>
          </w:tcPr>
          <w:p w14:paraId="0013C84B">
            <w:pPr>
              <w:widowControl/>
              <w:numPr>
                <w:ilvl w:val="0"/>
                <w:numId w:val="1"/>
              </w:numPr>
              <w:tabs>
                <w:tab w:val="left" w:pos="0"/>
              </w:tabs>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国金基金 范亮、广发证券 朱宇航、长城基金 付晓钦</w:t>
            </w:r>
          </w:p>
          <w:p w14:paraId="0A8C12FB">
            <w:pPr>
              <w:widowControl/>
              <w:numPr>
                <w:ilvl w:val="0"/>
                <w:numId w:val="1"/>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诺德基金 牛致远、信泰人寿 吴建明、诺安基金 黄友文、招商证券 陈之馨</w:t>
            </w:r>
          </w:p>
          <w:p w14:paraId="2BCC5A4B">
            <w:pPr>
              <w:widowControl/>
              <w:numPr>
                <w:ilvl w:val="0"/>
                <w:numId w:val="1"/>
              </w:numPr>
              <w:tabs>
                <w:tab w:val="left" w:pos="0"/>
              </w:tabs>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长江证券 李想、山合投资 王兆成、德邦基金 陈艳姚、</w:t>
            </w:r>
            <w:r>
              <w:rPr>
                <w:rFonts w:hint="default" w:ascii="宋体" w:hAnsi="宋体" w:cs="宋体"/>
                <w:sz w:val="24"/>
                <w:szCs w:val="24"/>
                <w:highlight w:val="none"/>
                <w:lang w:val="en-US" w:eastAsia="zh-CN"/>
              </w:rPr>
              <w:t>银河基金</w:t>
            </w:r>
            <w:r>
              <w:rPr>
                <w:rFonts w:hint="eastAsia" w:ascii="宋体" w:hAnsi="宋体" w:cs="宋体"/>
                <w:sz w:val="24"/>
                <w:szCs w:val="24"/>
                <w:highlight w:val="none"/>
                <w:lang w:val="en-US" w:eastAsia="zh-CN"/>
              </w:rPr>
              <w:t xml:space="preserve"> 傅鑫、建信基金 林亮宏、浙商证券 沈钱、方正证券 鲍娴颖、盘京 高凯、禧悦 邹志、国联民生证券 任汪霏、中金 丁健 鲁烁 张梓 胡炯益、浙商证券 汪成、华西证券 贾国瑞、国泰海通资管 郭新宇 马铭宏、国投瑞银 贺明之、兴业证券 吴伟康 郭亚男、聚鸣投资 李经清、永赢基金 邵王、海富通 彭军、中赢国际证券 陶波、保银投资 胡智翔、广发证券 范方舟、方正证券 赵璐、国金证券 陆文杰、国盛证券 查显彪、华安证券 李元晨、华福证券 朱珠 郑超君、华金证券 熊军、开源证券 刘琦、中银基金 杨雷、申万菱信基金 刘世昌、民生加银 郑爱刚 、诺安基金 黄友文、富国基金 王佳晨、东证资管 秦绪文、青骊投资 袁翔、景顺 张雪薇、嘉实基金 雍大为、富国基金 汤启、鹏华基金 胡颖、合远 林映吟、金鹰基金 洪梓超、交银基金 张明晓、国寿安保基金 宋易潞、博道基金 郭晓萱、鹏华基金 曾稳钢、长城基金 余欢、京管泰富 周晓东、招商基金 徐思文、人保资产 黄海培、招商证券 陈晗、长信 陈佳彬、聚鸣资本 李晓彤、远策投资 李超、上智管理 张翔、融通基金 张鹏、星石投资 孔嘉祥、汇添富 黄梓淇、相聚资本 Eric、易方达 姜宛悦、博时 聂广礼、太保资产 恽敏、大家资产 张浩、泓德基金 Wangky、富国基金 罗松、长城 lijh、重阳投资 张弛、新华基金 刘海彬、天弘基金 李佳明、中银基金 张欣仪、国寿安保基金 shanbin、人保 李哲超、太平洋资产 叶舒、宁银理财 DingYT、国泰基金 高崇南、汇丰晋信 韦钰、和谐健康 刘斐、陆家嘴国泰人寿 何蓉、泰康基金 金宏伟、博时基金 谢泽林、foresight fund zhulin、富国 毕天宇、胤胜资产 刘博、银华基金 王智伟、富国基金 曹文俊、国寿 LD、光大永明资产 蒋冰、华西基金 李健伟、青溪资产 张盛杰、兴全基金 吴钊华、长信 何增华、建信基金 王麟锴、中加基金 苗超、生命人寿 肖融、YukiYou 浩成资产、景順 张仲维、诺德基金 黄伟、华西基金 李宜泽、宝盈基金 张天闻、大成 郭玮羚、招商 陈西中、易方达基金 彭珂、新华基金 赵强、Dymon Asia 陈世鼎、</w:t>
            </w:r>
          </w:p>
          <w:p w14:paraId="5923775B">
            <w:pPr>
              <w:widowControl/>
              <w:numPr>
                <w:ilvl w:val="0"/>
                <w:numId w:val="0"/>
              </w:numPr>
              <w:tabs>
                <w:tab w:val="left" w:pos="0"/>
              </w:tabs>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汇添富 马翔、大家资产 张浩、中银 杨成、财通基金 张胤、中再资产 梁坤、招商信诺资管 郁琦、长盛基金 郭堃、国富人寿 刘晓彬、广发基金 王丽媛、大家资产 石泰华、红土创新基金 郑伟佳、泓德基金 于浩成、悦溪基金 陈国栋、富国基金 赵宗俊、贝莱德 Alice Yang、泰康资产 王博弘、财通基金 翁嘉敏、农银人寿 郝赜川、合众资产 时应超、慎知资产 赵宇达、博时 付伟、幸福人寿 张裕肖、博时基金 黄超杰、兴业基金 刘文婷、泰康保险 张厚喆、中银基金 李建、华泰柏瑞 钱建江、dcfund 徐雄晖、德邦基金 申屠旺、长城基金 周诗博、招商基金 阳宜洋、大家资产 周斌、金鹰基金 吴海峰、新华资产 李浪、长盛基金 侯智中、新华资产 邓小钊、博时基金 金耀、南方基金 张磊、幸福人寿 凌杰、招商基金 孙麓深、泾溪投资 方彦、首钢基金 黄建平、民生加银基金 李君海、国寿安保基金 季天华、泉果基金 张希坤、招商证券 郭倩倩、国寿安保 肖佳琪、金信基金 黄飙、华夏基金 张木、富国基金 曹晋、金信基金 谭佳俊、敦颐资产 梁世阳、西部利得基金 黄浦、招商基金 李恭敏、大成基金 杜聪、鹏华基金 马丽丽、长城财富保险资管 胡纪元、中国人寿 王晓娟、富安达 杨红、富国基金 刘生、中银基金 华旭桥、中泓汇富 余一奇、中银资管 李倩倩、中金基金 姜盼宇、景顺长城 孟棋、金信基金 曾艳、浦泓投资 彭聪、聚鸣投资 王文祥、人保资产 黄海培、农银汇理基金 魏刚、友邦保险 赵一路、金鹰基金 梁梓颖、混沌投资 王菁、南方基金  黄春逢、鹏华基金 孟昊、广发基金 曹越、汇添富 陈小扬、新华资产 姜新月、中信保诚 孙浩中、新华基金 侯淳、建信基金 何珅华、中金资管 王思宇、汇添富 刘平、国寿安保基金 闫阳、</w:t>
            </w:r>
            <w:r>
              <w:rPr>
                <w:rFonts w:hint="default" w:ascii="宋体" w:hAnsi="宋体" w:cs="宋体"/>
                <w:sz w:val="24"/>
                <w:szCs w:val="24"/>
                <w:highlight w:val="none"/>
                <w:lang w:val="en-US" w:eastAsia="zh-CN"/>
              </w:rPr>
              <w:t>银河证券</w:t>
            </w:r>
            <w:r>
              <w:rPr>
                <w:rFonts w:hint="eastAsia" w:ascii="宋体" w:hAnsi="宋体" w:cs="宋体"/>
                <w:sz w:val="24"/>
                <w:szCs w:val="24"/>
                <w:highlight w:val="none"/>
                <w:lang w:val="en-US" w:eastAsia="zh-CN"/>
              </w:rPr>
              <w:t xml:space="preserve"> 贾新龙 王霞举、中泰证券 朱柏睿、乐洵私募 袁博 杨盈、宁波宝隽 董一平、国科龙晖 姜俊峰、朗程投资 古勇平、天瑞万合 王钱维、誉辉资本 郝彪、高竹私募 李心宇、华西银峰 马行川、</w:t>
            </w:r>
            <w:r>
              <w:rPr>
                <w:rFonts w:hint="default" w:ascii="宋体" w:hAnsi="宋体" w:cs="宋体"/>
                <w:sz w:val="24"/>
                <w:szCs w:val="24"/>
                <w:highlight w:val="none"/>
                <w:lang w:val="en-US" w:eastAsia="zh-CN"/>
              </w:rPr>
              <w:t>温润投资</w:t>
            </w:r>
            <w:r>
              <w:rPr>
                <w:rFonts w:hint="eastAsia" w:ascii="宋体" w:hAnsi="宋体" w:cs="宋体"/>
                <w:sz w:val="24"/>
                <w:szCs w:val="24"/>
                <w:highlight w:val="none"/>
                <w:lang w:val="en-US" w:eastAsia="zh-CN"/>
              </w:rPr>
              <w:t xml:space="preserve"> 敖咏</w:t>
            </w:r>
          </w:p>
          <w:p w14:paraId="5BE01013">
            <w:pPr>
              <w:widowControl/>
              <w:numPr>
                <w:ilvl w:val="0"/>
                <w:numId w:val="0"/>
              </w:numPr>
              <w:tabs>
                <w:tab w:val="left" w:pos="0"/>
              </w:tabs>
              <w:spacing w:line="360" w:lineRule="auto"/>
              <w:ind w:lef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4、申万宏源证券 刘建伟</w:t>
            </w:r>
            <w:r>
              <w:rPr>
                <w:rFonts w:hint="default" w:ascii="宋体" w:hAnsi="宋体" w:cs="宋体"/>
                <w:sz w:val="24"/>
                <w:szCs w:val="24"/>
                <w:highlight w:val="none"/>
                <w:lang w:val="en-US" w:eastAsia="zh-CN"/>
              </w:rPr>
              <w:t xml:space="preserve"> </w:t>
            </w:r>
            <w:r>
              <w:rPr>
                <w:rFonts w:hint="eastAsia" w:ascii="宋体" w:hAnsi="宋体" w:cs="宋体"/>
                <w:sz w:val="24"/>
                <w:szCs w:val="24"/>
                <w:highlight w:val="none"/>
                <w:lang w:val="en-US" w:eastAsia="zh-CN"/>
              </w:rPr>
              <w:t>苏萌、星石投资 孔嘉祥、Marshall Wace 王一开、华能贵诚 郝晨光 刘耘州、</w:t>
            </w:r>
          </w:p>
          <w:p w14:paraId="60A0815F">
            <w:pPr>
              <w:widowControl/>
              <w:numPr>
                <w:ilvl w:val="0"/>
                <w:numId w:val="0"/>
              </w:numPr>
              <w:tabs>
                <w:tab w:val="left" w:pos="0"/>
              </w:tabs>
              <w:spacing w:line="360" w:lineRule="auto"/>
              <w:ind w:left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野村证券 唐建伟、华福证券 刘贤沽 罗通、上海如仪投资 徐路鹏</w:t>
            </w:r>
          </w:p>
        </w:tc>
      </w:tr>
      <w:tr w14:paraId="2B85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226659FE">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调研时间</w:t>
            </w:r>
          </w:p>
        </w:tc>
        <w:tc>
          <w:tcPr>
            <w:tcW w:w="6212" w:type="dxa"/>
            <w:shd w:val="clear" w:color="auto" w:fill="auto"/>
          </w:tcPr>
          <w:p w14:paraId="69CF4548">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2025年7月31日-2025年8月4日</w:t>
            </w:r>
          </w:p>
        </w:tc>
      </w:tr>
      <w:tr w14:paraId="78A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2F90329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会议地点</w:t>
            </w:r>
          </w:p>
        </w:tc>
        <w:tc>
          <w:tcPr>
            <w:tcW w:w="6212" w:type="dxa"/>
            <w:shd w:val="clear" w:color="auto" w:fill="auto"/>
          </w:tcPr>
          <w:p w14:paraId="0E3BFCDD">
            <w:pPr>
              <w:spacing w:line="360" w:lineRule="auto"/>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昆山公司会议室、演播厅</w:t>
            </w:r>
          </w:p>
        </w:tc>
      </w:tr>
      <w:tr w14:paraId="441D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027D271B">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6212" w:type="dxa"/>
            <w:shd w:val="clear" w:color="auto" w:fill="auto"/>
          </w:tcPr>
          <w:p w14:paraId="3A54CF6C">
            <w:pPr>
              <w:spacing w:line="360" w:lineRule="auto"/>
              <w:rPr>
                <w:rFonts w:hint="default" w:ascii="宋体" w:hAnsi="宋体" w:eastAsia="宋体" w:cs="宋体"/>
                <w:bCs/>
                <w:iCs/>
                <w:sz w:val="24"/>
                <w:szCs w:val="24"/>
                <w:highlight w:val="none"/>
                <w:lang w:val="en-US" w:eastAsia="zh-CN"/>
              </w:rPr>
            </w:pPr>
            <w:r>
              <w:rPr>
                <w:rFonts w:hint="eastAsia" w:ascii="宋体" w:hAnsi="宋体" w:cs="宋体"/>
                <w:bCs/>
                <w:iCs/>
                <w:sz w:val="24"/>
                <w:szCs w:val="24"/>
                <w:highlight w:val="none"/>
                <w:lang w:val="en-US" w:eastAsia="zh-CN"/>
              </w:rPr>
              <w:t>董事长、总经理：刘建波（第三场）</w:t>
            </w:r>
          </w:p>
          <w:p w14:paraId="51FCCA1B">
            <w:pPr>
              <w:spacing w:line="360" w:lineRule="auto"/>
              <w:rPr>
                <w:rFonts w:hint="eastAsia" w:ascii="宋体" w:hAnsi="宋体" w:eastAsia="宋体" w:cs="宋体"/>
                <w:bCs/>
                <w:iCs/>
                <w:sz w:val="24"/>
                <w:szCs w:val="24"/>
                <w:highlight w:val="none"/>
              </w:rPr>
            </w:pPr>
            <w:r>
              <w:rPr>
                <w:rFonts w:hint="eastAsia" w:ascii="宋体" w:hAnsi="宋体" w:cs="宋体"/>
                <w:bCs/>
                <w:iCs/>
                <w:sz w:val="24"/>
                <w:szCs w:val="24"/>
                <w:highlight w:val="none"/>
                <w:lang w:val="en-US" w:eastAsia="zh-CN"/>
              </w:rPr>
              <w:t>投融资总监</w:t>
            </w:r>
            <w:r>
              <w:rPr>
                <w:rFonts w:hint="eastAsia" w:ascii="宋体" w:hAnsi="宋体" w:eastAsia="宋体" w:cs="宋体"/>
                <w:bCs/>
                <w:iCs/>
                <w:sz w:val="24"/>
                <w:szCs w:val="24"/>
                <w:highlight w:val="none"/>
              </w:rPr>
              <w:t>：周湘荣</w:t>
            </w:r>
            <w:r>
              <w:rPr>
                <w:rFonts w:hint="eastAsia" w:ascii="宋体" w:hAnsi="宋体" w:cs="宋体"/>
                <w:bCs/>
                <w:iCs/>
                <w:sz w:val="24"/>
                <w:szCs w:val="24"/>
                <w:highlight w:val="none"/>
                <w:lang w:val="en-US" w:eastAsia="zh-CN"/>
              </w:rPr>
              <w:t>（第三场）</w:t>
            </w:r>
          </w:p>
          <w:p w14:paraId="030B5E88">
            <w:pPr>
              <w:spacing w:line="360" w:lineRule="auto"/>
              <w:rPr>
                <w:rFonts w:hint="default" w:ascii="宋体" w:hAnsi="宋体" w:cs="宋体"/>
                <w:bCs/>
                <w:iCs/>
                <w:sz w:val="24"/>
                <w:szCs w:val="24"/>
                <w:highlight w:val="none"/>
                <w:lang w:val="en-US" w:eastAsia="zh-CN"/>
              </w:rPr>
            </w:pPr>
            <w:r>
              <w:rPr>
                <w:rFonts w:hint="eastAsia" w:ascii="宋体" w:hAnsi="宋体" w:cs="宋体"/>
                <w:bCs/>
                <w:iCs/>
                <w:sz w:val="24"/>
                <w:szCs w:val="24"/>
                <w:highlight w:val="none"/>
                <w:lang w:val="en-US" w:eastAsia="zh-CN"/>
              </w:rPr>
              <w:t>财务总监：张祖庆（第三场）</w:t>
            </w:r>
          </w:p>
          <w:p w14:paraId="68495D12">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宋体" w:hAnsi="宋体" w:eastAsia="宋体" w:cs="宋体"/>
                <w:bCs/>
                <w:iCs/>
                <w:sz w:val="24"/>
                <w:szCs w:val="24"/>
                <w:highlight w:val="none"/>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董事会秘书：徐佩佩（第一、二、三、四场）</w:t>
            </w:r>
          </w:p>
        </w:tc>
      </w:tr>
      <w:tr w14:paraId="7D8A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762" w:type="dxa"/>
            <w:shd w:val="clear" w:color="auto" w:fill="auto"/>
            <w:vAlign w:val="center"/>
          </w:tcPr>
          <w:p w14:paraId="6A3794F1">
            <w:pPr>
              <w:spacing w:line="360" w:lineRule="auto"/>
              <w:rPr>
                <w:rFonts w:hint="eastAsia" w:asciiTheme="minorEastAsia" w:hAnsiTheme="minorEastAsia" w:eastAsiaTheme="minorEastAsia" w:cstheme="minorEastAsia"/>
                <w:b/>
                <w:bCs/>
                <w:iCs/>
                <w:sz w:val="24"/>
                <w:szCs w:val="24"/>
              </w:rPr>
            </w:pPr>
            <w:r>
              <w:rPr>
                <w:rFonts w:hint="eastAsia" w:asciiTheme="minorEastAsia" w:hAnsiTheme="minorEastAsia" w:eastAsiaTheme="minorEastAsia" w:cstheme="minorEastAsia"/>
                <w:b/>
                <w:sz w:val="24"/>
                <w:szCs w:val="24"/>
              </w:rPr>
              <w:t>投资者关系活动内容记录</w:t>
            </w:r>
          </w:p>
        </w:tc>
        <w:tc>
          <w:tcPr>
            <w:tcW w:w="6212" w:type="dxa"/>
            <w:shd w:val="clear" w:color="auto" w:fill="auto"/>
          </w:tcPr>
          <w:p w14:paraId="03F13CAB">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主要问题：</w:t>
            </w:r>
          </w:p>
          <w:p w14:paraId="07A3FA9C">
            <w:pPr>
              <w:numPr>
                <w:ilvl w:val="0"/>
                <w:numId w:val="2"/>
              </w:numPr>
              <w:autoSpaceDE w:val="0"/>
              <w:autoSpaceDN w:val="0"/>
              <w:adjustRightInd w:val="0"/>
              <w:snapToGrid w:val="0"/>
              <w:spacing w:before="50" w:after="156" w:afterLines="50" w:line="360" w:lineRule="auto"/>
              <w:ind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贵司从一个小型的电镀设备厂发展到现在，创业过程中公司比较重要的转折点是什么？贵司VCP设备国内市场占有率能达到50%以上的原因是什么？</w:t>
            </w:r>
          </w:p>
          <w:p w14:paraId="3EECA176">
            <w:pPr>
              <w:numPr>
                <w:ilvl w:val="255"/>
                <w:numId w:val="0"/>
              </w:numPr>
              <w:autoSpaceDE w:val="0"/>
              <w:autoSpaceDN w:val="0"/>
              <w:adjustRightInd w:val="0"/>
              <w:snapToGrid w:val="0"/>
              <w:spacing w:before="50" w:after="156" w:afterLines="50" w:line="360" w:lineRule="auto"/>
              <w:ind w:firstLine="480" w:firstLineChars="200"/>
              <w:rPr>
                <w:rFonts w:hint="eastAsia" w:eastAsia="宋体"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w:t>
            </w:r>
            <w:r>
              <w:rPr>
                <w:rFonts w:hint="eastAsia" w:asciiTheme="minorEastAsia" w:hAnsiTheme="minorEastAsia" w:cstheme="minorEastAsia"/>
                <w:color w:val="262626"/>
                <w:sz w:val="24"/>
                <w:szCs w:val="24"/>
                <w:shd w:val="clear" w:color="auto" w:fill="FFFFFF"/>
              </w:rPr>
              <w:t>我们这款VCP是2006年立项开始研发</w:t>
            </w:r>
            <w:r>
              <w:rPr>
                <w:rFonts w:hint="eastAsia" w:asciiTheme="minorEastAsia" w:hAnsiTheme="minorEastAsia" w:cstheme="minorEastAsia"/>
                <w:color w:val="262626"/>
                <w:sz w:val="24"/>
                <w:szCs w:val="24"/>
                <w:shd w:val="clear" w:color="auto" w:fill="FFFFFF"/>
                <w:lang w:eastAsia="zh-CN"/>
              </w:rPr>
              <w:t>，</w:t>
            </w:r>
            <w:r>
              <w:rPr>
                <w:rFonts w:hint="eastAsia" w:asciiTheme="minorEastAsia" w:hAnsiTheme="minorEastAsia" w:cstheme="minorEastAsia"/>
                <w:color w:val="262626"/>
                <w:sz w:val="24"/>
                <w:szCs w:val="24"/>
                <w:shd w:val="clear" w:color="auto" w:fill="FFFFFF"/>
              </w:rPr>
              <w:t>历经三年到2009年研发成功，2010年机缘巧合</w:t>
            </w:r>
            <w:r>
              <w:rPr>
                <w:rFonts w:hint="eastAsia" w:asciiTheme="minorEastAsia" w:hAnsiTheme="minorEastAsia" w:cstheme="minorEastAsia"/>
                <w:color w:val="262626"/>
                <w:sz w:val="24"/>
                <w:szCs w:val="24"/>
                <w:shd w:val="clear" w:color="auto" w:fill="FFFFFF"/>
                <w:lang w:val="en-US" w:eastAsia="zh-CN"/>
              </w:rPr>
              <w:t>下</w:t>
            </w:r>
            <w:r>
              <w:rPr>
                <w:rFonts w:hint="eastAsia" w:asciiTheme="minorEastAsia" w:hAnsiTheme="minorEastAsia" w:cstheme="minorEastAsia"/>
                <w:color w:val="262626"/>
                <w:sz w:val="24"/>
                <w:szCs w:val="24"/>
                <w:shd w:val="clear" w:color="auto" w:fill="FFFFFF"/>
              </w:rPr>
              <w:t>，率先应用在了苹果4</w:t>
            </w:r>
            <w:r>
              <w:rPr>
                <w:rFonts w:hint="eastAsia" w:asciiTheme="minorEastAsia" w:hAnsiTheme="minorEastAsia" w:cstheme="minorEastAsia"/>
                <w:color w:val="262626"/>
                <w:sz w:val="24"/>
                <w:szCs w:val="24"/>
                <w:shd w:val="clear" w:color="auto" w:fill="FFFFFF"/>
                <w:lang w:val="en-US" w:eastAsia="zh-CN"/>
              </w:rPr>
              <w:t>手机上</w:t>
            </w:r>
            <w:r>
              <w:rPr>
                <w:rFonts w:hint="eastAsia" w:asciiTheme="minorEastAsia" w:hAnsiTheme="minorEastAsia" w:cstheme="minorEastAsia"/>
                <w:color w:val="262626"/>
                <w:sz w:val="24"/>
                <w:szCs w:val="24"/>
                <w:shd w:val="clear" w:color="auto" w:fill="FFFFFF"/>
              </w:rPr>
              <w:t>，</w:t>
            </w:r>
            <w:r>
              <w:rPr>
                <w:rFonts w:hint="eastAsia" w:asciiTheme="minorEastAsia" w:hAnsiTheme="minorEastAsia" w:cstheme="minorEastAsia"/>
                <w:color w:val="262626"/>
                <w:sz w:val="24"/>
                <w:szCs w:val="24"/>
                <w:shd w:val="clear" w:color="auto" w:fill="FFFFFF"/>
                <w:lang w:val="en-US" w:eastAsia="zh-CN"/>
              </w:rPr>
              <w:t>这款设备有效提升了手机电路板的电镀</w:t>
            </w:r>
            <w:r>
              <w:rPr>
                <w:rFonts w:hint="eastAsia" w:asciiTheme="minorEastAsia" w:hAnsiTheme="minorEastAsia" w:cstheme="minorEastAsia"/>
                <w:color w:val="262626"/>
                <w:sz w:val="24"/>
                <w:szCs w:val="24"/>
                <w:shd w:val="clear" w:color="auto" w:fill="FFFFFF"/>
              </w:rPr>
              <w:t>良率</w:t>
            </w:r>
            <w:r>
              <w:rPr>
                <w:rFonts w:hint="eastAsia" w:asciiTheme="minorEastAsia" w:hAnsiTheme="minorEastAsia" w:cstheme="minorEastAsia"/>
                <w:color w:val="262626"/>
                <w:sz w:val="24"/>
                <w:szCs w:val="24"/>
                <w:shd w:val="clear" w:color="auto" w:fill="FFFFFF"/>
                <w:lang w:val="en-US" w:eastAsia="zh-CN"/>
              </w:rPr>
              <w:t>及</w:t>
            </w:r>
            <w:r>
              <w:rPr>
                <w:rFonts w:hint="eastAsia" w:asciiTheme="minorEastAsia" w:hAnsiTheme="minorEastAsia" w:cstheme="minorEastAsia"/>
                <w:color w:val="262626"/>
                <w:sz w:val="24"/>
                <w:szCs w:val="24"/>
                <w:shd w:val="clear" w:color="auto" w:fill="FFFFFF"/>
              </w:rPr>
              <w:t>均匀性</w:t>
            </w:r>
            <w:r>
              <w:rPr>
                <w:rFonts w:hint="eastAsia" w:asciiTheme="minorEastAsia" w:hAnsiTheme="minorEastAsia" w:cstheme="minorEastAsia"/>
                <w:color w:val="262626"/>
                <w:sz w:val="24"/>
                <w:szCs w:val="24"/>
                <w:shd w:val="clear" w:color="auto" w:fill="FFFFFF"/>
                <w:lang w:eastAsia="zh-CN"/>
              </w:rPr>
              <w:t>。</w:t>
            </w:r>
            <w:r>
              <w:rPr>
                <w:rFonts w:hint="eastAsia" w:asciiTheme="minorEastAsia" w:hAnsiTheme="minorEastAsia" w:cstheme="minorEastAsia"/>
                <w:color w:val="262626"/>
                <w:sz w:val="24"/>
                <w:szCs w:val="24"/>
                <w:shd w:val="clear" w:color="auto" w:fill="FFFFFF"/>
                <w:lang w:val="en-US" w:eastAsia="zh-CN"/>
              </w:rPr>
              <w:t>采用</w:t>
            </w:r>
            <w:r>
              <w:rPr>
                <w:rFonts w:hint="eastAsia" w:asciiTheme="minorEastAsia" w:hAnsiTheme="minorEastAsia" w:cstheme="minorEastAsia"/>
                <w:color w:val="262626"/>
                <w:sz w:val="24"/>
                <w:szCs w:val="24"/>
                <w:shd w:val="clear" w:color="auto" w:fill="FFFFFF"/>
              </w:rPr>
              <w:t>VCP设备两年节省的水、电、铜和人工等成本可以买回设备</w:t>
            </w:r>
            <w:r>
              <w:rPr>
                <w:rFonts w:hint="eastAsia" w:asciiTheme="minorEastAsia" w:hAnsiTheme="minorEastAsia" w:cstheme="minorEastAsia"/>
                <w:color w:val="262626"/>
                <w:sz w:val="24"/>
                <w:szCs w:val="24"/>
                <w:shd w:val="clear" w:color="auto" w:fill="FFFFFF"/>
                <w:lang w:eastAsia="zh-CN"/>
              </w:rPr>
              <w:t>，</w:t>
            </w:r>
            <w:r>
              <w:rPr>
                <w:rFonts w:hint="eastAsia" w:asciiTheme="minorEastAsia" w:hAnsiTheme="minorEastAsia" w:cstheme="minorEastAsia"/>
                <w:color w:val="262626"/>
                <w:sz w:val="24"/>
                <w:szCs w:val="24"/>
                <w:shd w:val="clear" w:color="auto" w:fill="FFFFFF"/>
              </w:rPr>
              <w:t>VCP</w:t>
            </w:r>
            <w:r>
              <w:rPr>
                <w:rFonts w:hint="eastAsia" w:asciiTheme="minorEastAsia" w:hAnsiTheme="minorEastAsia" w:cstheme="minorEastAsia"/>
                <w:color w:val="262626"/>
                <w:sz w:val="24"/>
                <w:szCs w:val="24"/>
                <w:shd w:val="clear" w:color="auto" w:fill="FFFFFF"/>
                <w:lang w:val="en-US" w:eastAsia="zh-CN"/>
              </w:rPr>
              <w:t>设备逐步</w:t>
            </w:r>
            <w:r>
              <w:rPr>
                <w:rFonts w:hint="eastAsia" w:asciiTheme="minorEastAsia" w:hAnsiTheme="minorEastAsia" w:cstheme="minorEastAsia"/>
                <w:color w:val="262626"/>
                <w:sz w:val="24"/>
                <w:szCs w:val="24"/>
                <w:shd w:val="clear" w:color="auto" w:fill="FFFFFF"/>
              </w:rPr>
              <w:t>替代龙门线。公司</w:t>
            </w:r>
            <w:r>
              <w:rPr>
                <w:rFonts w:hint="eastAsia" w:asciiTheme="minorEastAsia" w:hAnsiTheme="minorEastAsia" w:cstheme="minorEastAsia"/>
                <w:color w:val="262626"/>
                <w:sz w:val="24"/>
                <w:szCs w:val="24"/>
                <w:shd w:val="clear" w:color="auto" w:fill="FFFFFF"/>
                <w:lang w:eastAsia="zh-CN"/>
              </w:rPr>
              <w:t>的</w:t>
            </w:r>
            <w:r>
              <w:rPr>
                <w:rFonts w:hint="eastAsia" w:asciiTheme="minorEastAsia" w:hAnsiTheme="minorEastAsia" w:cstheme="minorEastAsia"/>
                <w:color w:val="262626"/>
                <w:sz w:val="24"/>
                <w:szCs w:val="24"/>
                <w:shd w:val="clear" w:color="auto" w:fill="FFFFFF"/>
                <w:lang w:val="en-US" w:eastAsia="zh-CN"/>
              </w:rPr>
              <w:t>这款VCP设备</w:t>
            </w:r>
            <w:r>
              <w:rPr>
                <w:rFonts w:hint="eastAsia" w:asciiTheme="minorEastAsia" w:hAnsiTheme="minorEastAsia" w:cstheme="minorEastAsia"/>
                <w:color w:val="262626"/>
                <w:sz w:val="24"/>
                <w:szCs w:val="24"/>
                <w:shd w:val="clear" w:color="auto" w:fill="FFFFFF"/>
              </w:rPr>
              <w:t>经过升级换代不断完善，成为主流的高端精密电镀设备，在均匀度、贯孔率的指标上表现良好，而且节能降耗、替代进口，广泛应用于中高端线路板的企业，出口到国外十多个国家和地区，受到国</w:t>
            </w:r>
            <w:r>
              <w:rPr>
                <w:rFonts w:hint="eastAsia" w:asciiTheme="minorEastAsia" w:hAnsiTheme="minorEastAsia" w:cstheme="minorEastAsia"/>
                <w:color w:val="262626"/>
                <w:sz w:val="24"/>
                <w:szCs w:val="24"/>
                <w:shd w:val="clear" w:color="auto" w:fill="FFFFFF"/>
                <w:lang w:val="en-US" w:eastAsia="zh-CN"/>
              </w:rPr>
              <w:t>内</w:t>
            </w:r>
            <w:r>
              <w:rPr>
                <w:rFonts w:hint="eastAsia" w:asciiTheme="minorEastAsia" w:hAnsiTheme="minorEastAsia" w:cstheme="minorEastAsia"/>
                <w:color w:val="262626"/>
                <w:sz w:val="24"/>
                <w:szCs w:val="24"/>
                <w:shd w:val="clear" w:color="auto" w:fill="FFFFFF"/>
              </w:rPr>
              <w:t>外</w:t>
            </w:r>
            <w:r>
              <w:rPr>
                <w:rFonts w:hint="eastAsia" w:asciiTheme="minorEastAsia" w:hAnsiTheme="minorEastAsia" w:cstheme="minorEastAsia"/>
                <w:color w:val="262626"/>
                <w:sz w:val="24"/>
                <w:szCs w:val="24"/>
                <w:shd w:val="clear" w:color="auto" w:fill="FFFFFF"/>
                <w:lang w:val="en-US" w:eastAsia="zh-CN"/>
              </w:rPr>
              <w:t>客户</w:t>
            </w:r>
            <w:r>
              <w:rPr>
                <w:rFonts w:hint="eastAsia" w:asciiTheme="minorEastAsia" w:hAnsiTheme="minorEastAsia" w:cstheme="minorEastAsia"/>
                <w:color w:val="262626"/>
                <w:sz w:val="24"/>
                <w:szCs w:val="24"/>
                <w:shd w:val="clear" w:color="auto" w:fill="FFFFFF"/>
              </w:rPr>
              <w:t>的认可。</w:t>
            </w:r>
            <w:r>
              <w:rPr>
                <w:rFonts w:hint="eastAsia" w:asciiTheme="minorEastAsia" w:hAnsiTheme="minorEastAsia" w:cstheme="minorEastAsia"/>
                <w:color w:val="262626"/>
                <w:sz w:val="24"/>
                <w:szCs w:val="24"/>
                <w:shd w:val="clear" w:color="auto" w:fill="FFFFFF"/>
                <w:lang w:val="en-US" w:eastAsia="zh-CN"/>
              </w:rPr>
              <w:t>谢谢！</w:t>
            </w:r>
          </w:p>
          <w:p w14:paraId="111491A7">
            <w:pPr>
              <w:numPr>
                <w:ilvl w:val="0"/>
                <w:numId w:val="2"/>
              </w:numPr>
              <w:autoSpaceDE w:val="0"/>
              <w:autoSpaceDN w:val="0"/>
              <w:adjustRightInd w:val="0"/>
              <w:snapToGrid w:val="0"/>
              <w:spacing w:before="50" w:after="156" w:afterLines="50" w:line="360" w:lineRule="auto"/>
              <w:ind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PCB扩建的景气度非常旺盛，公司觉得这个景气度到底能持续到什么时候？</w:t>
            </w:r>
          </w:p>
          <w:p w14:paraId="6EE17997">
            <w:pPr>
              <w:numPr>
                <w:ilvl w:val="255"/>
                <w:numId w:val="0"/>
              </w:numPr>
              <w:autoSpaceDE w:val="0"/>
              <w:autoSpaceDN w:val="0"/>
              <w:adjustRightInd w:val="0"/>
              <w:snapToGrid w:val="0"/>
              <w:spacing w:before="50" w:after="156" w:afterLines="50" w:line="360" w:lineRule="auto"/>
              <w:ind w:firstLine="480" w:firstLineChars="200"/>
              <w:rPr>
                <w:rFonts w:asciiTheme="minorEastAsia" w:hAnsiTheme="minorEastAsia" w:cstheme="minorEastAsia"/>
                <w:color w:val="262626"/>
                <w:sz w:val="24"/>
                <w:szCs w:val="24"/>
                <w:shd w:val="clear" w:color="auto" w:fill="FFFFFF"/>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答：得益于PCB东南亚投资潮</w:t>
            </w:r>
            <w:r>
              <w:rPr>
                <w:rFonts w:hint="eastAsia" w:asciiTheme="minorEastAsia" w:hAnsiTheme="minorEastAsia" w:cstheme="minorEastAsia"/>
                <w:color w:val="262626"/>
                <w:sz w:val="24"/>
                <w:szCs w:val="24"/>
                <w:shd w:val="clear" w:color="auto" w:fill="FFFFFF"/>
                <w:lang w:val="en-US" w:eastAsia="zh-CN"/>
              </w:rPr>
              <w:t>、</w:t>
            </w:r>
            <w:r>
              <w:rPr>
                <w:rFonts w:hint="eastAsia" w:asciiTheme="minorEastAsia" w:hAnsiTheme="minorEastAsia" w:cstheme="minorEastAsia"/>
                <w:color w:val="262626"/>
                <w:sz w:val="24"/>
                <w:szCs w:val="24"/>
                <w:shd w:val="clear" w:color="auto" w:fill="FFFFFF"/>
              </w:rPr>
              <w:t>AI智能相关的大数据存储器</w:t>
            </w:r>
            <w:r>
              <w:rPr>
                <w:rFonts w:hint="eastAsia" w:asciiTheme="minorEastAsia" w:hAnsiTheme="minorEastAsia" w:cstheme="minorEastAsia"/>
                <w:color w:val="262626"/>
                <w:sz w:val="24"/>
                <w:szCs w:val="24"/>
                <w:shd w:val="clear" w:color="auto" w:fill="FFFFFF"/>
                <w:lang w:val="en-US" w:eastAsia="zh-CN"/>
              </w:rPr>
              <w:t>等领域快速发展带来的新机遇，高端板材电镀设备需求增加，公司设备出口量增加。</w:t>
            </w:r>
            <w:r>
              <w:rPr>
                <w:rFonts w:hint="eastAsia" w:asciiTheme="minorEastAsia" w:hAnsiTheme="minorEastAsia" w:cstheme="minorEastAsia"/>
                <w:color w:val="262626"/>
                <w:sz w:val="24"/>
                <w:szCs w:val="24"/>
                <w:shd w:val="clear" w:color="auto" w:fill="FFFFFF"/>
              </w:rPr>
              <w:t>PCB板某些高端板的细分领域上增长速度还是比较快</w:t>
            </w:r>
            <w:r>
              <w:rPr>
                <w:rFonts w:hint="eastAsia" w:asciiTheme="minorEastAsia" w:hAnsiTheme="minorEastAsia" w:cstheme="minorEastAsia"/>
                <w:color w:val="262626"/>
                <w:sz w:val="24"/>
                <w:szCs w:val="24"/>
                <w:shd w:val="clear" w:color="auto" w:fill="FFFFFF"/>
                <w:lang w:eastAsia="zh-CN"/>
              </w:rPr>
              <w:t>的</w:t>
            </w:r>
            <w:r>
              <w:rPr>
                <w:rFonts w:hint="eastAsia" w:asciiTheme="minorEastAsia" w:hAnsiTheme="minorEastAsia" w:cstheme="minorEastAsia"/>
                <w:color w:val="262626"/>
                <w:sz w:val="24"/>
                <w:szCs w:val="24"/>
                <w:shd w:val="clear" w:color="auto" w:fill="FFFFFF"/>
              </w:rPr>
              <w:t>，所以对电镀设备，特别是做高端精密的PCB板的电镀设备企业来讲，</w:t>
            </w:r>
            <w:r>
              <w:rPr>
                <w:rFonts w:hint="eastAsia" w:asciiTheme="minorEastAsia" w:hAnsiTheme="minorEastAsia" w:cstheme="minorEastAsia"/>
                <w:color w:val="262626"/>
                <w:sz w:val="24"/>
                <w:szCs w:val="24"/>
                <w:shd w:val="clear" w:color="auto" w:fill="FFFFFF"/>
                <w:lang w:val="en-US" w:eastAsia="zh-CN"/>
              </w:rPr>
              <w:t>对</w:t>
            </w:r>
            <w:r>
              <w:rPr>
                <w:rFonts w:hint="eastAsia" w:asciiTheme="minorEastAsia" w:hAnsiTheme="minorEastAsia" w:cstheme="minorEastAsia"/>
                <w:color w:val="262626"/>
                <w:sz w:val="24"/>
                <w:szCs w:val="24"/>
                <w:shd w:val="clear" w:color="auto" w:fill="FFFFFF"/>
              </w:rPr>
              <w:t>增长还是保持乐观的态度。</w:t>
            </w:r>
            <w:r>
              <w:rPr>
                <w:rFonts w:hint="eastAsia" w:asciiTheme="minorEastAsia" w:hAnsiTheme="minorEastAsia" w:cstheme="minorEastAsia"/>
                <w:color w:val="262626"/>
                <w:sz w:val="24"/>
                <w:szCs w:val="24"/>
                <w:shd w:val="clear" w:color="auto" w:fill="FFFFFF"/>
                <w:lang w:val="en-US" w:eastAsia="zh-CN"/>
              </w:rPr>
              <w:t>谢谢！</w:t>
            </w:r>
          </w:p>
          <w:p w14:paraId="22A5D777">
            <w:pPr>
              <w:numPr>
                <w:ilvl w:val="0"/>
                <w:numId w:val="2"/>
              </w:numPr>
              <w:autoSpaceDE w:val="0"/>
              <w:autoSpaceDN w:val="0"/>
              <w:adjustRightInd w:val="0"/>
              <w:snapToGrid w:val="0"/>
              <w:spacing w:before="50" w:after="156" w:afterLines="50" w:line="360" w:lineRule="auto"/>
              <w:ind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贵司玻璃基板设备已开始有出货，请分享一下，玻璃基板相关的一些情况。</w:t>
            </w:r>
          </w:p>
          <w:p w14:paraId="36FC441C">
            <w:pPr>
              <w:numPr>
                <w:ilvl w:val="255"/>
                <w:numId w:val="0"/>
              </w:numPr>
              <w:autoSpaceDE w:val="0"/>
              <w:autoSpaceDN w:val="0"/>
              <w:adjustRightInd w:val="0"/>
              <w:snapToGrid w:val="0"/>
              <w:spacing w:before="50" w:after="156" w:afterLines="50" w:line="360" w:lineRule="auto"/>
              <w:ind w:firstLine="480" w:firstLineChars="200"/>
              <w:rPr>
                <w:rFonts w:hint="eastAsia"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这是一个很好的发展方向，公司已给客户提供了相关设备，取得效果还是不错的，这家客户已率先拿到了下游客户的认证，这一点非常有意义。目前找公司咨询或者讨论玻璃基板的客户有几十家，但能做到像上述客户这种程度的在中国还是凤毛麟角，电镀环节已基本上都解决了，但还有一些其他环节需要提升优化。</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公司看好玻璃基板未来发展趋势，并已为行业的爆发做好准备</w:t>
            </w:r>
            <w:r>
              <w:rPr>
                <w:rFonts w:hint="eastAsia" w:asciiTheme="minorEastAsia" w:hAnsiTheme="minorEastAsia" w:cstheme="minorEastAsia"/>
                <w:color w:val="262626"/>
                <w:sz w:val="24"/>
                <w:szCs w:val="24"/>
                <w:shd w:val="clear" w:color="auto" w:fill="FFFFFF"/>
                <w:lang w:val="en-US" w:eastAsia="zh-CN"/>
              </w:rPr>
              <w:t>。谢谢！</w:t>
            </w:r>
          </w:p>
          <w:p w14:paraId="07CCB9BE">
            <w:pPr>
              <w:numPr>
                <w:ilvl w:val="0"/>
                <w:numId w:val="2"/>
              </w:numPr>
              <w:autoSpaceDE w:val="0"/>
              <w:autoSpaceDN w:val="0"/>
              <w:adjustRightInd w:val="0"/>
              <w:snapToGrid w:val="0"/>
              <w:spacing w:before="50" w:after="156" w:afterLines="50" w:line="360" w:lineRule="auto"/>
              <w:ind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我们看到下游PCB这一轮的扩产，HDI等高端产品占比增加。这种类型的变化对电镀这个环节的设备上，包括价值量等有什么样的一些影响？</w:t>
            </w:r>
          </w:p>
          <w:p w14:paraId="78EF42F0">
            <w:pPr>
              <w:numPr>
                <w:ilvl w:val="255"/>
                <w:numId w:val="0"/>
              </w:numPr>
              <w:autoSpaceDE w:val="0"/>
              <w:autoSpaceDN w:val="0"/>
              <w:adjustRightInd w:val="0"/>
              <w:snapToGrid w:val="0"/>
              <w:spacing w:before="50" w:after="156" w:afterLines="50" w:line="360" w:lineRule="auto"/>
              <w:ind w:firstLine="480" w:firstLineChars="200"/>
              <w:rPr>
                <w:rFonts w:hint="eastAsia"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PCB板从过去的低层数到高层数，从普通板到HDI这种高端产品的占比的增加，最近这两年跟十多年前比较，客户对设备品质、性能提出了更高的要求。比如客户要求电路板受到多次热冲击之后电阻不能发生变化；还有一些厚板需要用脉冲设备来提升孔里面的电镀品质，这些都是促使更换设备或者是升级设备的原因，总之电镀设备的生产效率、品质等各方面都会有所提升，电镀设备的价值量也会相应提升。谢谢！</w:t>
            </w:r>
          </w:p>
          <w:p w14:paraId="7BAD1D6F">
            <w:pPr>
              <w:numPr>
                <w:ilvl w:val="0"/>
                <w:numId w:val="2"/>
              </w:numPr>
              <w:autoSpaceDE w:val="0"/>
              <w:autoSpaceDN w:val="0"/>
              <w:adjustRightInd w:val="0"/>
              <w:snapToGrid w:val="0"/>
              <w:spacing w:before="50" w:after="156" w:afterLines="50" w:line="360" w:lineRule="auto"/>
              <w:ind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脉冲式的设备，包括MSAP的新的设备，针对这种比较高端的主板电镀设备，相对于传统的我们VCP的设备的利润率，大概是一个什么样的一个变化？</w:t>
            </w:r>
          </w:p>
          <w:p w14:paraId="2D421CD9">
            <w:pPr>
              <w:numPr>
                <w:ilvl w:val="255"/>
                <w:numId w:val="0"/>
              </w:numPr>
              <w:autoSpaceDE w:val="0"/>
              <w:autoSpaceDN w:val="0"/>
              <w:adjustRightInd w:val="0"/>
              <w:snapToGrid w:val="0"/>
              <w:spacing w:before="50" w:after="156" w:afterLines="50" w:line="360" w:lineRule="auto"/>
              <w:ind w:firstLine="480" w:firstLineChars="200"/>
              <w:rPr>
                <w:rFonts w:hint="default"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答：利润率会略高一点，大概在40%左右，如果大规模量产的话，利润率有望更高一些。谢谢！</w:t>
            </w:r>
          </w:p>
          <w:p w14:paraId="3BEA3838">
            <w:pPr>
              <w:numPr>
                <w:ilvl w:val="0"/>
                <w:numId w:val="2"/>
              </w:numPr>
              <w:autoSpaceDE w:val="0"/>
              <w:autoSpaceDN w:val="0"/>
              <w:adjustRightInd w:val="0"/>
              <w:snapToGrid w:val="0"/>
              <w:spacing w:before="50" w:after="156" w:afterLines="50" w:line="360" w:lineRule="auto"/>
              <w:ind w:left="0" w:leftChars="0"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这个PCP电镀设备，从客户给公司下订单到确收大概要多长周期？</w:t>
            </w:r>
          </w:p>
          <w:p w14:paraId="369304ED">
            <w:pPr>
              <w:numPr>
                <w:ilvl w:val="255"/>
                <w:numId w:val="0"/>
              </w:numPr>
              <w:autoSpaceDE w:val="0"/>
              <w:autoSpaceDN w:val="0"/>
              <w:adjustRightInd w:val="0"/>
              <w:snapToGrid w:val="0"/>
              <w:spacing w:before="50" w:after="156" w:afterLines="50" w:line="360" w:lineRule="auto"/>
              <w:ind w:firstLine="480" w:firstLineChars="200"/>
              <w:rPr>
                <w:rFonts w:hint="eastAsia" w:eastAsia="宋体"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平均是6到9个月，确收周期主要根据客户的订单量来看，如果是小一点的订单，从签单开始，三个月时间制造，一个月安装调试，还有两个月左右时间的试生产，一般在六个月就可以确认收入。如果订单量比较大或者客户场地有限制的话有可能会延长到1年至1年半。谢谢！</w:t>
            </w:r>
          </w:p>
          <w:p w14:paraId="16A82145">
            <w:pPr>
              <w:numPr>
                <w:ilvl w:val="255"/>
                <w:numId w:val="0"/>
              </w:numPr>
              <w:autoSpaceDE w:val="0"/>
              <w:autoSpaceDN w:val="0"/>
              <w:adjustRightInd w:val="0"/>
              <w:snapToGrid w:val="0"/>
              <w:spacing w:before="50" w:after="156" w:afterLines="50" w:line="360" w:lineRule="auto"/>
              <w:ind w:firstLine="480" w:firstLineChars="200"/>
              <w:rPr>
                <w:rFonts w:hint="default" w:asciiTheme="minorEastAsia" w:hAnsiTheme="minorEastAsia" w:cstheme="minorEastAsia"/>
                <w:color w:val="262626"/>
                <w:sz w:val="24"/>
                <w:szCs w:val="24"/>
                <w:shd w:val="clear" w:color="auto" w:fill="FFFFFF"/>
                <w:lang w:val="en-US" w:eastAsia="zh-CN"/>
              </w:rPr>
            </w:pPr>
          </w:p>
          <w:p w14:paraId="1F08CA62">
            <w:pPr>
              <w:numPr>
                <w:ilvl w:val="0"/>
                <w:numId w:val="2"/>
              </w:numPr>
              <w:autoSpaceDE w:val="0"/>
              <w:autoSpaceDN w:val="0"/>
              <w:adjustRightInd w:val="0"/>
              <w:snapToGrid w:val="0"/>
              <w:spacing w:before="50" w:after="156" w:afterLines="50" w:line="360" w:lineRule="auto"/>
              <w:ind w:left="0" w:leftChars="0" w:firstLine="482" w:firstLineChars="200"/>
              <w:rPr>
                <w:rFonts w:hint="default"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下游PCB板厂扩产，客户会在投产之前多久给公司下设备订单？</w:t>
            </w:r>
          </w:p>
          <w:p w14:paraId="34296ECA">
            <w:pPr>
              <w:numPr>
                <w:ilvl w:val="255"/>
                <w:numId w:val="0"/>
              </w:numPr>
              <w:autoSpaceDE w:val="0"/>
              <w:autoSpaceDN w:val="0"/>
              <w:adjustRightInd w:val="0"/>
              <w:snapToGrid w:val="0"/>
              <w:spacing w:before="50" w:after="156" w:afterLines="50" w:line="360" w:lineRule="auto"/>
              <w:ind w:firstLine="480" w:firstLineChars="200"/>
              <w:rPr>
                <w:rFonts w:hint="eastAsia"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平均八个月。假设建个新厂，简单推算一下公司设备制造大概需要3个月，大部分新厂水电或者是其他的基础设施建设并不完善，可能还需要等待1-3个月客户进行基础设施的完善，这都属于正常。设备装好后再调试，一般需要2个月，这样算八个月时间还是要的。谢谢！</w:t>
            </w:r>
          </w:p>
          <w:p w14:paraId="26CA5FC1">
            <w:pPr>
              <w:numPr>
                <w:ilvl w:val="0"/>
                <w:numId w:val="2"/>
              </w:numPr>
              <w:autoSpaceDE w:val="0"/>
              <w:autoSpaceDN w:val="0"/>
              <w:adjustRightInd w:val="0"/>
              <w:snapToGrid w:val="0"/>
              <w:spacing w:before="50" w:after="156" w:afterLines="50" w:line="360" w:lineRule="auto"/>
              <w:ind w:left="0" w:leftChars="0"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整个PCP制程要求越来越高了，那我们做电镀设备需要的无尘室吗？</w:t>
            </w:r>
          </w:p>
          <w:p w14:paraId="0330C987">
            <w:pPr>
              <w:numPr>
                <w:ilvl w:val="255"/>
                <w:numId w:val="0"/>
              </w:numPr>
              <w:autoSpaceDE w:val="0"/>
              <w:autoSpaceDN w:val="0"/>
              <w:adjustRightInd w:val="0"/>
              <w:snapToGrid w:val="0"/>
              <w:spacing w:before="50" w:after="156" w:afterLines="50" w:line="360" w:lineRule="auto"/>
              <w:ind w:firstLine="480" w:firstLineChars="200"/>
              <w:rPr>
                <w:rFonts w:hint="eastAsia"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到目前为止，我们有遇到的载板或者玻璃基载板设备会安装在净化车间里面，千级或者万级无尘室，普通PCB不需要，偶尔有些要求高的HDI板也会用但占比不大。公司制造设备不需要无尘室，如果客户需要将设备放到无尘室里，我们会在出厂之前做清洁处理。谢谢！</w:t>
            </w:r>
          </w:p>
          <w:p w14:paraId="0F3CAB20">
            <w:pPr>
              <w:numPr>
                <w:ilvl w:val="0"/>
                <w:numId w:val="2"/>
              </w:numPr>
              <w:autoSpaceDE w:val="0"/>
              <w:autoSpaceDN w:val="0"/>
              <w:adjustRightInd w:val="0"/>
              <w:snapToGrid w:val="0"/>
              <w:spacing w:before="50" w:after="156" w:afterLines="50" w:line="360" w:lineRule="auto"/>
              <w:ind w:left="0" w:leftChars="0"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公司产能有瓶颈吗？</w:t>
            </w:r>
          </w:p>
          <w:p w14:paraId="1B32129A">
            <w:pPr>
              <w:numPr>
                <w:ilvl w:val="255"/>
                <w:numId w:val="0"/>
              </w:numPr>
              <w:autoSpaceDE w:val="0"/>
              <w:autoSpaceDN w:val="0"/>
              <w:adjustRightInd w:val="0"/>
              <w:snapToGrid w:val="0"/>
              <w:spacing w:before="50" w:after="156" w:afterLines="50" w:line="360" w:lineRule="auto"/>
              <w:ind w:firstLine="480" w:firstLineChars="200"/>
              <w:rPr>
                <w:rFonts w:hint="eastAsia"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答、公司目前有四百多亩土地，有将近20万平方的建筑厂房，整个集团一共有六家公司，一个母公司，五个子公司。按照目前的情况，</w:t>
            </w:r>
            <w:bookmarkStart w:id="0" w:name="_GoBack"/>
            <w:bookmarkEnd w:id="0"/>
            <w:r>
              <w:rPr>
                <w:rFonts w:hint="eastAsia" w:asciiTheme="minorEastAsia" w:hAnsiTheme="minorEastAsia" w:cstheme="minorEastAsia"/>
                <w:color w:val="262626"/>
                <w:sz w:val="24"/>
                <w:szCs w:val="24"/>
                <w:shd w:val="clear" w:color="auto" w:fill="FFFFFF"/>
                <w:lang w:val="en-US" w:eastAsia="zh-CN"/>
              </w:rPr>
              <w:t>设备生产是比较快的，但收入确认会相对滞后一些，主要原因是运输、安装、调试、验收过程所需时间较长，尤其发到东南亚的设备运输时间更长。因此对于公司来说生产制造没有瓶颈，但是制造以外流程需要较长的时间。谢谢！</w:t>
            </w:r>
          </w:p>
          <w:p w14:paraId="55BD475B">
            <w:pPr>
              <w:numPr>
                <w:ilvl w:val="0"/>
                <w:numId w:val="2"/>
              </w:numPr>
              <w:autoSpaceDE w:val="0"/>
              <w:autoSpaceDN w:val="0"/>
              <w:adjustRightInd w:val="0"/>
              <w:snapToGrid w:val="0"/>
              <w:spacing w:before="50" w:after="156" w:afterLines="50" w:line="360" w:lineRule="auto"/>
              <w:ind w:left="0" w:leftChars="0"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今年以来订单情况怎么样？然后跟去年相比增长的情况如何？</w:t>
            </w:r>
          </w:p>
          <w:p w14:paraId="47A5CE27">
            <w:pPr>
              <w:numPr>
                <w:ilvl w:val="255"/>
                <w:numId w:val="0"/>
              </w:numPr>
              <w:autoSpaceDE w:val="0"/>
              <w:autoSpaceDN w:val="0"/>
              <w:adjustRightInd w:val="0"/>
              <w:snapToGrid w:val="0"/>
              <w:spacing w:before="50" w:after="156" w:afterLines="50" w:line="360" w:lineRule="auto"/>
              <w:ind w:firstLine="480" w:firstLineChars="200"/>
              <w:rPr>
                <w:rFonts w:hint="default"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答、今年上半年签单量保持了良好态势，上半年公司垂直连续电镀设备订单金额同比增长超过100%。公司各项经营工作按既定计划稳步推进，为全年业绩提供有力支撑。谢谢！</w:t>
            </w:r>
          </w:p>
        </w:tc>
      </w:tr>
      <w:tr w14:paraId="1127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vAlign w:val="center"/>
          </w:tcPr>
          <w:p w14:paraId="6D969F2C">
            <w:pPr>
              <w:spacing w:line="360" w:lineRule="auto"/>
              <w:rPr>
                <w:rFonts w:hint="eastAsia" w:ascii="宋体" w:hAnsi="宋体" w:eastAsia="宋体" w:cs="宋体"/>
                <w:b/>
                <w:bCs/>
                <w:iCs/>
                <w:sz w:val="24"/>
                <w:szCs w:val="24"/>
                <w:lang w:eastAsia="zh-CN"/>
              </w:rPr>
            </w:pPr>
          </w:p>
        </w:tc>
        <w:tc>
          <w:tcPr>
            <w:tcW w:w="6212" w:type="dxa"/>
            <w:shd w:val="clear" w:color="auto" w:fill="auto"/>
          </w:tcPr>
          <w:p w14:paraId="110E4CE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14:paraId="4661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762" w:type="dxa"/>
            <w:shd w:val="clear" w:color="auto" w:fill="auto"/>
            <w:vAlign w:val="center"/>
          </w:tcPr>
          <w:p w14:paraId="04636D40">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6212" w:type="dxa"/>
            <w:shd w:val="clear" w:color="auto" w:fill="auto"/>
            <w:vAlign w:val="center"/>
          </w:tcPr>
          <w:p w14:paraId="17FC1D5E">
            <w:pPr>
              <w:spacing w:line="360" w:lineRule="auto"/>
              <w:rPr>
                <w:rFonts w:hint="default" w:ascii="宋体" w:hAnsi="宋体" w:eastAsia="宋体" w:cs="宋体"/>
                <w:iCs/>
                <w:sz w:val="24"/>
                <w:szCs w:val="24"/>
                <w:lang w:val="en-US" w:eastAsia="zh-CN"/>
              </w:rPr>
            </w:pPr>
            <w:r>
              <w:rPr>
                <w:rFonts w:hint="eastAsia" w:ascii="宋体" w:hAnsi="宋体" w:cs="宋体"/>
                <w:sz w:val="24"/>
                <w:highlight w:val="none"/>
                <w:lang w:val="en-US" w:eastAsia="zh-CN"/>
              </w:rPr>
              <w:t>2025年8月4日</w:t>
            </w:r>
          </w:p>
        </w:tc>
      </w:tr>
    </w:tbl>
    <w:p w14:paraId="092D0186">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23024"/>
    <w:multiLevelType w:val="singleLevel"/>
    <w:tmpl w:val="B5123024"/>
    <w:lvl w:ilvl="0" w:tentative="0">
      <w:start w:val="1"/>
      <w:numFmt w:val="decimal"/>
      <w:suff w:val="nothing"/>
      <w:lvlText w:val="%1、"/>
      <w:lvlJc w:val="left"/>
    </w:lvl>
  </w:abstractNum>
  <w:abstractNum w:abstractNumId="1">
    <w:nsid w:val="E6BE0E32"/>
    <w:multiLevelType w:val="singleLevel"/>
    <w:tmpl w:val="E6BE0E3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hNjEzNGE5ZmU2Mjk5ZDUyZTkxMWQxN2ZlNDE4YjQifQ=="/>
  </w:docVars>
  <w:rsids>
    <w:rsidRoot w:val="00B836D3"/>
    <w:rsid w:val="00070F07"/>
    <w:rsid w:val="00423C6D"/>
    <w:rsid w:val="006B1C87"/>
    <w:rsid w:val="00910209"/>
    <w:rsid w:val="00AD2796"/>
    <w:rsid w:val="00B836D3"/>
    <w:rsid w:val="00BA7CA7"/>
    <w:rsid w:val="00ED1A6D"/>
    <w:rsid w:val="015123B9"/>
    <w:rsid w:val="0184653E"/>
    <w:rsid w:val="024702E2"/>
    <w:rsid w:val="02702D13"/>
    <w:rsid w:val="02C32E43"/>
    <w:rsid w:val="03575C81"/>
    <w:rsid w:val="036D0FA9"/>
    <w:rsid w:val="0385459C"/>
    <w:rsid w:val="03A34722"/>
    <w:rsid w:val="03A6036B"/>
    <w:rsid w:val="03C455EC"/>
    <w:rsid w:val="03F81C56"/>
    <w:rsid w:val="040B08B6"/>
    <w:rsid w:val="040F3E66"/>
    <w:rsid w:val="04207E21"/>
    <w:rsid w:val="04702B56"/>
    <w:rsid w:val="048009A6"/>
    <w:rsid w:val="04D946F0"/>
    <w:rsid w:val="04E83035"/>
    <w:rsid w:val="05191440"/>
    <w:rsid w:val="05327557"/>
    <w:rsid w:val="05467D5B"/>
    <w:rsid w:val="05C30B00"/>
    <w:rsid w:val="06073EB5"/>
    <w:rsid w:val="06430677"/>
    <w:rsid w:val="06B37672"/>
    <w:rsid w:val="06B42E63"/>
    <w:rsid w:val="06C06931"/>
    <w:rsid w:val="06C74ECC"/>
    <w:rsid w:val="06F5476D"/>
    <w:rsid w:val="07116897"/>
    <w:rsid w:val="077E1A2E"/>
    <w:rsid w:val="077E37DC"/>
    <w:rsid w:val="07F12200"/>
    <w:rsid w:val="08013722"/>
    <w:rsid w:val="080C7924"/>
    <w:rsid w:val="080F2686"/>
    <w:rsid w:val="0846477D"/>
    <w:rsid w:val="08BB280E"/>
    <w:rsid w:val="093162DB"/>
    <w:rsid w:val="09BA36EE"/>
    <w:rsid w:val="0A4F76B2"/>
    <w:rsid w:val="0A9207E7"/>
    <w:rsid w:val="0AA96DC2"/>
    <w:rsid w:val="0AE11F88"/>
    <w:rsid w:val="0B6E6B4B"/>
    <w:rsid w:val="0BFD04E0"/>
    <w:rsid w:val="0C000C64"/>
    <w:rsid w:val="0C8129D9"/>
    <w:rsid w:val="0CB8387B"/>
    <w:rsid w:val="0CCA74C4"/>
    <w:rsid w:val="0CD734C8"/>
    <w:rsid w:val="0CD74F7B"/>
    <w:rsid w:val="0CF12CA2"/>
    <w:rsid w:val="0D3951F5"/>
    <w:rsid w:val="0D5758FA"/>
    <w:rsid w:val="0D6B3607"/>
    <w:rsid w:val="0DC24E06"/>
    <w:rsid w:val="0DEB2A04"/>
    <w:rsid w:val="0DEF61C6"/>
    <w:rsid w:val="0DF91E0E"/>
    <w:rsid w:val="0E3C7F4D"/>
    <w:rsid w:val="0E6A6868"/>
    <w:rsid w:val="0ED11F58"/>
    <w:rsid w:val="0F0F425F"/>
    <w:rsid w:val="0F256C33"/>
    <w:rsid w:val="0F563291"/>
    <w:rsid w:val="0FCF44A8"/>
    <w:rsid w:val="0FEB1DAA"/>
    <w:rsid w:val="0FF56606"/>
    <w:rsid w:val="106A2B50"/>
    <w:rsid w:val="11276C93"/>
    <w:rsid w:val="11592BC4"/>
    <w:rsid w:val="119A6215"/>
    <w:rsid w:val="120267E0"/>
    <w:rsid w:val="123241A8"/>
    <w:rsid w:val="12575F0C"/>
    <w:rsid w:val="125900DB"/>
    <w:rsid w:val="128B3251"/>
    <w:rsid w:val="12A0236A"/>
    <w:rsid w:val="12BE1B5F"/>
    <w:rsid w:val="131B2BEA"/>
    <w:rsid w:val="13266402"/>
    <w:rsid w:val="136A62B6"/>
    <w:rsid w:val="138216F7"/>
    <w:rsid w:val="13CB4AFB"/>
    <w:rsid w:val="13DA7FEC"/>
    <w:rsid w:val="13E949C2"/>
    <w:rsid w:val="140C2170"/>
    <w:rsid w:val="141379A2"/>
    <w:rsid w:val="14157276"/>
    <w:rsid w:val="145558C5"/>
    <w:rsid w:val="14842F6A"/>
    <w:rsid w:val="14B30D64"/>
    <w:rsid w:val="151E03AD"/>
    <w:rsid w:val="154E6CD0"/>
    <w:rsid w:val="15976F4E"/>
    <w:rsid w:val="15F64E85"/>
    <w:rsid w:val="162A567A"/>
    <w:rsid w:val="16B0768E"/>
    <w:rsid w:val="170A1316"/>
    <w:rsid w:val="17667DE9"/>
    <w:rsid w:val="17683B61"/>
    <w:rsid w:val="177C0785"/>
    <w:rsid w:val="182171CB"/>
    <w:rsid w:val="185365BF"/>
    <w:rsid w:val="195425EF"/>
    <w:rsid w:val="19B1359D"/>
    <w:rsid w:val="19CB627B"/>
    <w:rsid w:val="19E952E0"/>
    <w:rsid w:val="1A626914"/>
    <w:rsid w:val="1A6E76E0"/>
    <w:rsid w:val="1B7218B7"/>
    <w:rsid w:val="1BF97D4B"/>
    <w:rsid w:val="1CB739C6"/>
    <w:rsid w:val="1CEF2569"/>
    <w:rsid w:val="1D0945BC"/>
    <w:rsid w:val="1D4318A3"/>
    <w:rsid w:val="1D903E12"/>
    <w:rsid w:val="1E171E3D"/>
    <w:rsid w:val="1E8943E5"/>
    <w:rsid w:val="1F3C5360"/>
    <w:rsid w:val="1F4C0D3E"/>
    <w:rsid w:val="1F6F79DD"/>
    <w:rsid w:val="1FE7136A"/>
    <w:rsid w:val="203C4E63"/>
    <w:rsid w:val="20407429"/>
    <w:rsid w:val="207417C9"/>
    <w:rsid w:val="20957F0B"/>
    <w:rsid w:val="20B6088B"/>
    <w:rsid w:val="20DB53A4"/>
    <w:rsid w:val="20FC3C98"/>
    <w:rsid w:val="211A3C0A"/>
    <w:rsid w:val="212A3B93"/>
    <w:rsid w:val="212E1150"/>
    <w:rsid w:val="215E35E6"/>
    <w:rsid w:val="218121CC"/>
    <w:rsid w:val="21C7706C"/>
    <w:rsid w:val="222A65E3"/>
    <w:rsid w:val="22D84291"/>
    <w:rsid w:val="237A0EA4"/>
    <w:rsid w:val="23BA73A5"/>
    <w:rsid w:val="24262DDA"/>
    <w:rsid w:val="24E63917"/>
    <w:rsid w:val="24EF729B"/>
    <w:rsid w:val="24FA6740"/>
    <w:rsid w:val="252B661C"/>
    <w:rsid w:val="25305C3C"/>
    <w:rsid w:val="25EB37CF"/>
    <w:rsid w:val="2607591B"/>
    <w:rsid w:val="26251EF4"/>
    <w:rsid w:val="262F3EE3"/>
    <w:rsid w:val="263317DE"/>
    <w:rsid w:val="26FB22FC"/>
    <w:rsid w:val="272D0A59"/>
    <w:rsid w:val="285C14C0"/>
    <w:rsid w:val="286A42FF"/>
    <w:rsid w:val="28DF6797"/>
    <w:rsid w:val="293A3114"/>
    <w:rsid w:val="29964AEA"/>
    <w:rsid w:val="299D5218"/>
    <w:rsid w:val="29B334E6"/>
    <w:rsid w:val="2A101DB3"/>
    <w:rsid w:val="2A1E016D"/>
    <w:rsid w:val="2A25420A"/>
    <w:rsid w:val="2A3E6FA8"/>
    <w:rsid w:val="2A6B59EA"/>
    <w:rsid w:val="2A8A100D"/>
    <w:rsid w:val="2A9860B3"/>
    <w:rsid w:val="2AB27175"/>
    <w:rsid w:val="2ACE1AD5"/>
    <w:rsid w:val="2AE0355B"/>
    <w:rsid w:val="2AE957C0"/>
    <w:rsid w:val="2AEA6EEB"/>
    <w:rsid w:val="2B084FE7"/>
    <w:rsid w:val="2B683CD8"/>
    <w:rsid w:val="2B6C537E"/>
    <w:rsid w:val="2BA2543C"/>
    <w:rsid w:val="2BEA1055"/>
    <w:rsid w:val="2C387B4E"/>
    <w:rsid w:val="2D966F7E"/>
    <w:rsid w:val="2DAE06CE"/>
    <w:rsid w:val="2DC773DC"/>
    <w:rsid w:val="2DF950BB"/>
    <w:rsid w:val="2E11614A"/>
    <w:rsid w:val="2EEA721D"/>
    <w:rsid w:val="2F4C2A75"/>
    <w:rsid w:val="2F68074A"/>
    <w:rsid w:val="2F7E7F6E"/>
    <w:rsid w:val="2F8656F4"/>
    <w:rsid w:val="2FDB1EBD"/>
    <w:rsid w:val="3062519A"/>
    <w:rsid w:val="30654C8A"/>
    <w:rsid w:val="3091174B"/>
    <w:rsid w:val="31230DCD"/>
    <w:rsid w:val="31723B02"/>
    <w:rsid w:val="31994192"/>
    <w:rsid w:val="31C97E3A"/>
    <w:rsid w:val="32044F36"/>
    <w:rsid w:val="320F3450"/>
    <w:rsid w:val="327B0795"/>
    <w:rsid w:val="32AC1FAE"/>
    <w:rsid w:val="33811DDB"/>
    <w:rsid w:val="338E0AA4"/>
    <w:rsid w:val="33DD45D8"/>
    <w:rsid w:val="34242A8F"/>
    <w:rsid w:val="342A2472"/>
    <w:rsid w:val="343B01DB"/>
    <w:rsid w:val="345E3ECA"/>
    <w:rsid w:val="34853B4C"/>
    <w:rsid w:val="34885869"/>
    <w:rsid w:val="351D3D85"/>
    <w:rsid w:val="35860AB3"/>
    <w:rsid w:val="35A61AD3"/>
    <w:rsid w:val="35D00DF7"/>
    <w:rsid w:val="363E3FB3"/>
    <w:rsid w:val="367D669C"/>
    <w:rsid w:val="368F6DB0"/>
    <w:rsid w:val="36EE3C2B"/>
    <w:rsid w:val="3701121D"/>
    <w:rsid w:val="371C61D5"/>
    <w:rsid w:val="37607F59"/>
    <w:rsid w:val="37B92F56"/>
    <w:rsid w:val="37FD2665"/>
    <w:rsid w:val="385C6A0A"/>
    <w:rsid w:val="38EC7CF6"/>
    <w:rsid w:val="39E15381"/>
    <w:rsid w:val="39F33306"/>
    <w:rsid w:val="3A4912AC"/>
    <w:rsid w:val="3A663AD8"/>
    <w:rsid w:val="3A8F302F"/>
    <w:rsid w:val="3C0637C5"/>
    <w:rsid w:val="3C137C90"/>
    <w:rsid w:val="3CAF79B9"/>
    <w:rsid w:val="3CBA4870"/>
    <w:rsid w:val="3CCB0A1D"/>
    <w:rsid w:val="3CD218F9"/>
    <w:rsid w:val="3D5642D8"/>
    <w:rsid w:val="3EE01D9D"/>
    <w:rsid w:val="3F0833B0"/>
    <w:rsid w:val="3F0F295E"/>
    <w:rsid w:val="3F283A52"/>
    <w:rsid w:val="3FA76A89"/>
    <w:rsid w:val="3FF266C5"/>
    <w:rsid w:val="3FF67946"/>
    <w:rsid w:val="403A3A3D"/>
    <w:rsid w:val="40745FBA"/>
    <w:rsid w:val="40D7128C"/>
    <w:rsid w:val="41810733"/>
    <w:rsid w:val="41B771B3"/>
    <w:rsid w:val="41B82734"/>
    <w:rsid w:val="41DF023D"/>
    <w:rsid w:val="4222708E"/>
    <w:rsid w:val="42DC0DDB"/>
    <w:rsid w:val="42DE2DA6"/>
    <w:rsid w:val="430B16C1"/>
    <w:rsid w:val="43272646"/>
    <w:rsid w:val="43543B33"/>
    <w:rsid w:val="43A63197"/>
    <w:rsid w:val="445C5F76"/>
    <w:rsid w:val="44692963"/>
    <w:rsid w:val="448E6105"/>
    <w:rsid w:val="449649FB"/>
    <w:rsid w:val="44972925"/>
    <w:rsid w:val="44B250A6"/>
    <w:rsid w:val="44DD0E3B"/>
    <w:rsid w:val="4518343C"/>
    <w:rsid w:val="45236B86"/>
    <w:rsid w:val="45552E8A"/>
    <w:rsid w:val="4574179F"/>
    <w:rsid w:val="45AF27D7"/>
    <w:rsid w:val="46A63BDA"/>
    <w:rsid w:val="46F30DEA"/>
    <w:rsid w:val="479A3013"/>
    <w:rsid w:val="482A5F77"/>
    <w:rsid w:val="4873716D"/>
    <w:rsid w:val="48B87BF5"/>
    <w:rsid w:val="490C7F41"/>
    <w:rsid w:val="49177011"/>
    <w:rsid w:val="49557B3A"/>
    <w:rsid w:val="498126DD"/>
    <w:rsid w:val="4A547DF1"/>
    <w:rsid w:val="4AB50890"/>
    <w:rsid w:val="4B7F0E9E"/>
    <w:rsid w:val="4B906C07"/>
    <w:rsid w:val="4BE34F89"/>
    <w:rsid w:val="4C777B36"/>
    <w:rsid w:val="4CD967F3"/>
    <w:rsid w:val="4D1C7F7C"/>
    <w:rsid w:val="4D491763"/>
    <w:rsid w:val="4D713A70"/>
    <w:rsid w:val="4DFD57E6"/>
    <w:rsid w:val="4E143B1F"/>
    <w:rsid w:val="4EB64BD7"/>
    <w:rsid w:val="4F0516BA"/>
    <w:rsid w:val="4F4F6674"/>
    <w:rsid w:val="4F6E5BBB"/>
    <w:rsid w:val="4FAC7D88"/>
    <w:rsid w:val="50700DB5"/>
    <w:rsid w:val="51322CE6"/>
    <w:rsid w:val="513D4311"/>
    <w:rsid w:val="5151508A"/>
    <w:rsid w:val="51FB5FF4"/>
    <w:rsid w:val="52070FB5"/>
    <w:rsid w:val="52526750"/>
    <w:rsid w:val="5272519E"/>
    <w:rsid w:val="52E8669F"/>
    <w:rsid w:val="53220A8C"/>
    <w:rsid w:val="53585D65"/>
    <w:rsid w:val="53863F9F"/>
    <w:rsid w:val="539D1939"/>
    <w:rsid w:val="53D85C9D"/>
    <w:rsid w:val="54134879"/>
    <w:rsid w:val="542B137C"/>
    <w:rsid w:val="54474CF1"/>
    <w:rsid w:val="54C46950"/>
    <w:rsid w:val="54DF6509"/>
    <w:rsid w:val="55FD30EB"/>
    <w:rsid w:val="56336B0D"/>
    <w:rsid w:val="57623B4D"/>
    <w:rsid w:val="576634EA"/>
    <w:rsid w:val="57FF1BD8"/>
    <w:rsid w:val="58160494"/>
    <w:rsid w:val="58317531"/>
    <w:rsid w:val="583354EA"/>
    <w:rsid w:val="588875E4"/>
    <w:rsid w:val="58931AE5"/>
    <w:rsid w:val="58DC110D"/>
    <w:rsid w:val="592F3F03"/>
    <w:rsid w:val="596B480F"/>
    <w:rsid w:val="597F4342"/>
    <w:rsid w:val="5A584D94"/>
    <w:rsid w:val="5A7F25D4"/>
    <w:rsid w:val="5AB741B0"/>
    <w:rsid w:val="5AD85BEC"/>
    <w:rsid w:val="5AE8639F"/>
    <w:rsid w:val="5AF853BD"/>
    <w:rsid w:val="5B0F614B"/>
    <w:rsid w:val="5B1207B2"/>
    <w:rsid w:val="5B1E422F"/>
    <w:rsid w:val="5B9242D5"/>
    <w:rsid w:val="5BAF6C35"/>
    <w:rsid w:val="5BD14DFE"/>
    <w:rsid w:val="5C4001D5"/>
    <w:rsid w:val="5C4F5A65"/>
    <w:rsid w:val="5C8E4547"/>
    <w:rsid w:val="5C9C18B0"/>
    <w:rsid w:val="5CA40A47"/>
    <w:rsid w:val="5CEB6393"/>
    <w:rsid w:val="5D5977A1"/>
    <w:rsid w:val="5D6323CD"/>
    <w:rsid w:val="5D8B47EF"/>
    <w:rsid w:val="5DC541E0"/>
    <w:rsid w:val="5DF1672A"/>
    <w:rsid w:val="5DFD65A1"/>
    <w:rsid w:val="5E0A5B42"/>
    <w:rsid w:val="5E3E24F3"/>
    <w:rsid w:val="5ED05841"/>
    <w:rsid w:val="5EF164E6"/>
    <w:rsid w:val="5F083003"/>
    <w:rsid w:val="5F096FA4"/>
    <w:rsid w:val="5F48187B"/>
    <w:rsid w:val="5FAC3B0D"/>
    <w:rsid w:val="5FBA7881"/>
    <w:rsid w:val="6046120A"/>
    <w:rsid w:val="60483AFC"/>
    <w:rsid w:val="608E59B3"/>
    <w:rsid w:val="60D34166"/>
    <w:rsid w:val="61021EFD"/>
    <w:rsid w:val="61306A6A"/>
    <w:rsid w:val="61537797"/>
    <w:rsid w:val="618B0C81"/>
    <w:rsid w:val="619D444E"/>
    <w:rsid w:val="61A82AA5"/>
    <w:rsid w:val="631F6D97"/>
    <w:rsid w:val="636C365E"/>
    <w:rsid w:val="63BA086D"/>
    <w:rsid w:val="63BD3EBA"/>
    <w:rsid w:val="63BF6533"/>
    <w:rsid w:val="63CB3C77"/>
    <w:rsid w:val="64030466"/>
    <w:rsid w:val="64216B3E"/>
    <w:rsid w:val="647B184A"/>
    <w:rsid w:val="647B4B09"/>
    <w:rsid w:val="64A357A5"/>
    <w:rsid w:val="64AE7F2C"/>
    <w:rsid w:val="65197815"/>
    <w:rsid w:val="65695F30"/>
    <w:rsid w:val="65B157BC"/>
    <w:rsid w:val="65B85A06"/>
    <w:rsid w:val="66212E26"/>
    <w:rsid w:val="67000C8D"/>
    <w:rsid w:val="671F44BA"/>
    <w:rsid w:val="67FD0505"/>
    <w:rsid w:val="680846A1"/>
    <w:rsid w:val="680E142B"/>
    <w:rsid w:val="68303896"/>
    <w:rsid w:val="6832131A"/>
    <w:rsid w:val="68791C70"/>
    <w:rsid w:val="69055E3F"/>
    <w:rsid w:val="69360996"/>
    <w:rsid w:val="69765236"/>
    <w:rsid w:val="69860950"/>
    <w:rsid w:val="6A097538"/>
    <w:rsid w:val="6A4E7F61"/>
    <w:rsid w:val="6A5B7C61"/>
    <w:rsid w:val="6A6432E1"/>
    <w:rsid w:val="6A7D43A3"/>
    <w:rsid w:val="6AC124E1"/>
    <w:rsid w:val="6ACE4BFE"/>
    <w:rsid w:val="6AD0136A"/>
    <w:rsid w:val="6B166157"/>
    <w:rsid w:val="6B4C0E55"/>
    <w:rsid w:val="6BF40694"/>
    <w:rsid w:val="6CB3722D"/>
    <w:rsid w:val="6CD75FEC"/>
    <w:rsid w:val="6D0D4104"/>
    <w:rsid w:val="6D17288C"/>
    <w:rsid w:val="6D9168C9"/>
    <w:rsid w:val="6D934609"/>
    <w:rsid w:val="6DA8735F"/>
    <w:rsid w:val="6E7E6914"/>
    <w:rsid w:val="6E7E74C8"/>
    <w:rsid w:val="6E8932F7"/>
    <w:rsid w:val="6E8977BA"/>
    <w:rsid w:val="6F8475A9"/>
    <w:rsid w:val="6F8D5088"/>
    <w:rsid w:val="6FCA1E38"/>
    <w:rsid w:val="6FE8130D"/>
    <w:rsid w:val="6FFC2CD4"/>
    <w:rsid w:val="70033666"/>
    <w:rsid w:val="71640FD8"/>
    <w:rsid w:val="717E737E"/>
    <w:rsid w:val="718524BB"/>
    <w:rsid w:val="71A04F87"/>
    <w:rsid w:val="7238752D"/>
    <w:rsid w:val="725C04A6"/>
    <w:rsid w:val="728269FA"/>
    <w:rsid w:val="72CB42BB"/>
    <w:rsid w:val="73137F9A"/>
    <w:rsid w:val="73A702A0"/>
    <w:rsid w:val="74275AAB"/>
    <w:rsid w:val="742F670E"/>
    <w:rsid w:val="74414816"/>
    <w:rsid w:val="745169AA"/>
    <w:rsid w:val="74687E72"/>
    <w:rsid w:val="749B1FF5"/>
    <w:rsid w:val="74BD2453"/>
    <w:rsid w:val="750758DC"/>
    <w:rsid w:val="758E3908"/>
    <w:rsid w:val="75FA06CE"/>
    <w:rsid w:val="75FF0362"/>
    <w:rsid w:val="76072C5C"/>
    <w:rsid w:val="76392B57"/>
    <w:rsid w:val="7682521B"/>
    <w:rsid w:val="76E1462B"/>
    <w:rsid w:val="76FF4ABD"/>
    <w:rsid w:val="77A15B74"/>
    <w:rsid w:val="77A25449"/>
    <w:rsid w:val="77D51D79"/>
    <w:rsid w:val="77DC095A"/>
    <w:rsid w:val="77E81002"/>
    <w:rsid w:val="77FA5285"/>
    <w:rsid w:val="780A42DC"/>
    <w:rsid w:val="788259A6"/>
    <w:rsid w:val="78917997"/>
    <w:rsid w:val="78FD502C"/>
    <w:rsid w:val="78FD60DA"/>
    <w:rsid w:val="78FF6FF6"/>
    <w:rsid w:val="79CF2B10"/>
    <w:rsid w:val="7A0423EA"/>
    <w:rsid w:val="7A44304E"/>
    <w:rsid w:val="7A733910"/>
    <w:rsid w:val="7A8E2818"/>
    <w:rsid w:val="7A9674E6"/>
    <w:rsid w:val="7AEB6A83"/>
    <w:rsid w:val="7B6475E5"/>
    <w:rsid w:val="7B7A2964"/>
    <w:rsid w:val="7B8E01BE"/>
    <w:rsid w:val="7C09238C"/>
    <w:rsid w:val="7C4E00A9"/>
    <w:rsid w:val="7C772F8A"/>
    <w:rsid w:val="7CE935DC"/>
    <w:rsid w:val="7D12484B"/>
    <w:rsid w:val="7D16490F"/>
    <w:rsid w:val="7D7B6E68"/>
    <w:rsid w:val="7DBA173E"/>
    <w:rsid w:val="7ED04D2E"/>
    <w:rsid w:val="7F0D50B3"/>
    <w:rsid w:val="7F1F3D78"/>
    <w:rsid w:val="7F480FCB"/>
    <w:rsid w:val="7F665B4E"/>
    <w:rsid w:val="7F8C2C6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3"/>
    </w:pPr>
    <w:rPr>
      <w:sz w:val="24"/>
      <w:szCs w:val="24"/>
    </w:rPr>
  </w:style>
  <w:style w:type="paragraph" w:styleId="3">
    <w:name w:val="Plain Text"/>
    <w:basedOn w:val="1"/>
    <w:autoRedefine/>
    <w:qFormat/>
    <w:uiPriority w:val="0"/>
    <w:rPr>
      <w:rFonts w:hint="eastAsia" w:ascii="宋体" w:hAnsi="Courier New" w:eastAsia="宋体" w:cs="Times New Roman"/>
      <w:szCs w:val="21"/>
    </w:rPr>
  </w:style>
  <w:style w:type="paragraph" w:styleId="4">
    <w:name w:val="footer"/>
    <w:basedOn w:val="1"/>
    <w:link w:val="18"/>
    <w:autoRedefine/>
    <w:unhideWhenUsed/>
    <w:qFormat/>
    <w:uiPriority w:val="99"/>
    <w:pPr>
      <w:tabs>
        <w:tab w:val="center" w:pos="4153"/>
        <w:tab w:val="right" w:pos="8306"/>
      </w:tabs>
      <w:snapToGrid w:val="0"/>
      <w:jc w:val="left"/>
    </w:pPr>
    <w:rPr>
      <w:sz w:val="18"/>
      <w:szCs w:val="18"/>
    </w:rPr>
  </w:style>
  <w:style w:type="paragraph" w:styleId="5">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rPr>
      <w:i/>
    </w:rPr>
  </w:style>
  <w:style w:type="character" w:styleId="11">
    <w:name w:val="HTML Acronym"/>
    <w:basedOn w:val="8"/>
    <w:semiHidden/>
    <w:unhideWhenUsed/>
    <w:uiPriority w:val="99"/>
    <w:rPr>
      <w:caps/>
      <w:spacing w:val="15"/>
    </w:rPr>
  </w:style>
  <w:style w:type="character" w:styleId="12">
    <w:name w:val="HTML Variable"/>
    <w:basedOn w:val="8"/>
    <w:semiHidden/>
    <w:unhideWhenUsed/>
    <w:qFormat/>
    <w:uiPriority w:val="99"/>
    <w:rPr>
      <w:rFonts w:hint="default" w:ascii="monospace" w:hAnsi="monospace" w:eastAsia="monospace" w:cs="monospace"/>
      <w:i/>
      <w:sz w:val="24"/>
      <w:szCs w:val="24"/>
    </w:rPr>
  </w:style>
  <w:style w:type="character" w:styleId="13">
    <w:name w:val="Hyperlink"/>
    <w:basedOn w:val="8"/>
    <w:autoRedefine/>
    <w:semiHidden/>
    <w:unhideWhenUsed/>
    <w:qFormat/>
    <w:uiPriority w:val="99"/>
    <w:rPr>
      <w:color w:val="333333"/>
      <w:u w:val="none"/>
    </w:rPr>
  </w:style>
  <w:style w:type="character" w:styleId="14">
    <w:name w:val="HTML Code"/>
    <w:basedOn w:val="8"/>
    <w:semiHidden/>
    <w:unhideWhenUsed/>
    <w:qFormat/>
    <w:uiPriority w:val="99"/>
    <w:rPr>
      <w:rFonts w:hint="default" w:ascii="monospace" w:hAnsi="monospace" w:eastAsia="monospace" w:cs="monospace"/>
      <w:color w:val="555555"/>
      <w:sz w:val="24"/>
      <w:szCs w:val="24"/>
    </w:rPr>
  </w:style>
  <w:style w:type="character" w:styleId="15">
    <w:name w:val="HTML Keyboard"/>
    <w:basedOn w:val="8"/>
    <w:semiHidden/>
    <w:unhideWhenUsed/>
    <w:qFormat/>
    <w:uiPriority w:val="99"/>
    <w:rPr>
      <w:rFonts w:ascii="monospace" w:hAnsi="monospace" w:eastAsia="monospace" w:cs="monospace"/>
      <w:sz w:val="24"/>
      <w:szCs w:val="24"/>
    </w:rPr>
  </w:style>
  <w:style w:type="character" w:styleId="16">
    <w:name w:val="HTML Sample"/>
    <w:basedOn w:val="8"/>
    <w:semiHidden/>
    <w:unhideWhenUsed/>
    <w:qFormat/>
    <w:uiPriority w:val="99"/>
    <w:rPr>
      <w:rFonts w:hint="default" w:ascii="monospace" w:hAnsi="monospace" w:eastAsia="monospace" w:cs="monospace"/>
      <w:sz w:val="24"/>
      <w:szCs w:val="24"/>
    </w:rPr>
  </w:style>
  <w:style w:type="character" w:customStyle="1" w:styleId="17">
    <w:name w:val="页眉 字符"/>
    <w:basedOn w:val="8"/>
    <w:link w:val="5"/>
    <w:autoRedefine/>
    <w:qFormat/>
    <w:uiPriority w:val="99"/>
    <w:rPr>
      <w:rFonts w:ascii="Calibri" w:hAnsi="Calibri" w:eastAsia="宋体" w:cs="宋体"/>
      <w:kern w:val="2"/>
      <w:sz w:val="18"/>
      <w:szCs w:val="18"/>
    </w:rPr>
  </w:style>
  <w:style w:type="character" w:customStyle="1" w:styleId="18">
    <w:name w:val="页脚 字符"/>
    <w:basedOn w:val="8"/>
    <w:link w:val="4"/>
    <w:autoRedefine/>
    <w:qFormat/>
    <w:uiPriority w:val="99"/>
    <w:rPr>
      <w:rFonts w:ascii="Calibri" w:hAnsi="Calibri" w:eastAsia="宋体" w:cs="宋体"/>
      <w:kern w:val="2"/>
      <w:sz w:val="18"/>
      <w:szCs w:val="18"/>
    </w:rPr>
  </w:style>
  <w:style w:type="character" w:customStyle="1" w:styleId="19">
    <w:name w:val="layui-laydate-preview"/>
    <w:basedOn w:val="8"/>
    <w:autoRedefine/>
    <w:qFormat/>
    <w:uiPriority w:val="0"/>
  </w:style>
  <w:style w:type="character" w:customStyle="1" w:styleId="20">
    <w:name w:val="hover11"/>
    <w:basedOn w:val="8"/>
    <w:autoRedefine/>
    <w:qFormat/>
    <w:uiPriority w:val="0"/>
    <w:rPr>
      <w:color w:val="5FB878"/>
    </w:rPr>
  </w:style>
  <w:style w:type="character" w:customStyle="1" w:styleId="21">
    <w:name w:val="hover12"/>
    <w:basedOn w:val="8"/>
    <w:autoRedefine/>
    <w:qFormat/>
    <w:uiPriority w:val="0"/>
    <w:rPr>
      <w:color w:val="5FB878"/>
    </w:rPr>
  </w:style>
  <w:style w:type="character" w:customStyle="1" w:styleId="22">
    <w:name w:val="hover13"/>
    <w:basedOn w:val="8"/>
    <w:autoRedefine/>
    <w:qFormat/>
    <w:uiPriority w:val="0"/>
    <w:rPr>
      <w:color w:val="FFFFFF"/>
    </w:rPr>
  </w:style>
  <w:style w:type="character" w:customStyle="1" w:styleId="23">
    <w:name w:val="layui-laypage-curr"/>
    <w:basedOn w:val="8"/>
    <w:autoRedefine/>
    <w:qFormat/>
    <w:uiPriority w:val="0"/>
  </w:style>
  <w:style w:type="character" w:customStyle="1" w:styleId="24">
    <w:name w:val="layui-this4"/>
    <w:basedOn w:val="8"/>
    <w:autoRedefine/>
    <w:qFormat/>
    <w:uiPriority w:val="0"/>
    <w:rPr>
      <w:bdr w:val="single" w:color="EEEEEE" w:sz="6" w:space="0"/>
      <w:shd w:val="clear" w:fill="FFFFFF"/>
    </w:rPr>
  </w:style>
  <w:style w:type="character" w:customStyle="1" w:styleId="25">
    <w:name w:val="first-child"/>
    <w:basedOn w:val="8"/>
    <w:autoRedefine/>
    <w:qFormat/>
    <w:uiPriority w:val="0"/>
  </w:style>
  <w:style w:type="character" w:customStyle="1" w:styleId="26">
    <w:name w:val="font-gray1"/>
    <w:basedOn w:val="8"/>
    <w:autoRedefine/>
    <w:qFormat/>
    <w:uiPriority w:val="0"/>
    <w:rPr>
      <w:color w:val="A7A7A7"/>
    </w:rPr>
  </w:style>
  <w:style w:type="character" w:customStyle="1" w:styleId="27">
    <w:name w:val="jbox-icon-success"/>
    <w:basedOn w:val="8"/>
    <w:qFormat/>
    <w:uiPriority w:val="0"/>
  </w:style>
  <w:style w:type="character" w:customStyle="1" w:styleId="28">
    <w:name w:val="s_bg4_c1"/>
    <w:basedOn w:val="8"/>
    <w:qFormat/>
    <w:uiPriority w:val="0"/>
  </w:style>
  <w:style w:type="character" w:customStyle="1" w:styleId="29">
    <w:name w:val="s_bg4_c11"/>
    <w:basedOn w:val="8"/>
    <w:qFormat/>
    <w:uiPriority w:val="0"/>
  </w:style>
  <w:style w:type="character" w:customStyle="1" w:styleId="30">
    <w:name w:val="s_bg4_c2"/>
    <w:basedOn w:val="8"/>
    <w:qFormat/>
    <w:uiPriority w:val="0"/>
  </w:style>
  <w:style w:type="character" w:customStyle="1" w:styleId="31">
    <w:name w:val="s_bg4_c21"/>
    <w:basedOn w:val="8"/>
    <w:qFormat/>
    <w:uiPriority w:val="0"/>
  </w:style>
  <w:style w:type="character" w:customStyle="1" w:styleId="32">
    <w:name w:val="jbox-icon-none"/>
    <w:basedOn w:val="8"/>
    <w:qFormat/>
    <w:uiPriority w:val="0"/>
    <w:rPr>
      <w:vanish/>
    </w:rPr>
  </w:style>
  <w:style w:type="character" w:customStyle="1" w:styleId="33">
    <w:name w:val="jbox-icon-error"/>
    <w:basedOn w:val="8"/>
    <w:qFormat/>
    <w:uiPriority w:val="0"/>
  </w:style>
  <w:style w:type="character" w:customStyle="1" w:styleId="34">
    <w:name w:val="jbox-icon-info"/>
    <w:basedOn w:val="8"/>
    <w:qFormat/>
    <w:uiPriority w:val="0"/>
  </w:style>
  <w:style w:type="character" w:customStyle="1" w:styleId="35">
    <w:name w:val="jbox-icon"/>
    <w:basedOn w:val="8"/>
    <w:uiPriority w:val="0"/>
  </w:style>
  <w:style w:type="character" w:customStyle="1" w:styleId="36">
    <w:name w:val="jbox-icon-question"/>
    <w:basedOn w:val="8"/>
    <w:qFormat/>
    <w:uiPriority w:val="0"/>
  </w:style>
  <w:style w:type="character" w:customStyle="1" w:styleId="37">
    <w:name w:val="jbox-icon-warning"/>
    <w:basedOn w:val="8"/>
    <w:qFormat/>
    <w:uiPriority w:val="0"/>
  </w:style>
  <w:style w:type="character" w:customStyle="1" w:styleId="38">
    <w:name w:val="jbox-icon-loading"/>
    <w:basedOn w:val="8"/>
    <w:qFormat/>
    <w:uiPriority w:val="0"/>
  </w:style>
  <w:style w:type="character" w:customStyle="1" w:styleId="39">
    <w:name w:val="emotion"/>
    <w:basedOn w:val="8"/>
    <w:qFormat/>
    <w:uiPriority w:val="0"/>
    <w:rPr>
      <w:vanish/>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3573</Words>
  <Characters>3720</Characters>
  <Lines>35</Lines>
  <Paragraphs>9</Paragraphs>
  <TotalTime>6</TotalTime>
  <ScaleCrop>false</ScaleCrop>
  <LinksUpToDate>false</LinksUpToDate>
  <CharactersWithSpaces>3994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2022-09-15T03:35:00Z</dcterms:created>
  <dc:creator>周湘荣</dc:creator>
  <cp:lastModifiedBy>xupp</cp:lastModifiedBy>
  <cp:lastPrinted>2023-11-02T06:12:00Z</cp:lastPrinted>
  <dcterms:modified xsi:type="dcterms:W3CDTF">2025-08-04T13:04:50Z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735DD3D0FD004E2A89F89F0FC8D3D63D_13</vt:lpwstr>
  </property>
  <property fmtid="{D5CDD505-2E9C-101B-9397-08002B2CF9AE}" pid="4" name="KSOTemplateDocerSaveRecord">
    <vt:lpwstr>eyJoZGlkIjoiOWZhNjEzNGE5ZmU2Mjk5ZDUyZTkxMWQxN2ZlNDE4YjQiLCJ1c2VySWQiOiI1MDc3ODk2MzQifQ==</vt:lpwstr>
  </property>
</Properties>
</file>