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36" w:rsidRDefault="00175ADF" w:rsidP="00344463">
      <w:pPr>
        <w:ind w:firstLineChars="0" w:firstLine="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 xml:space="preserve">688584                                  </w:t>
      </w:r>
      <w:r>
        <w:rPr>
          <w:bCs/>
          <w:iCs/>
          <w:color w:val="000000"/>
        </w:rPr>
        <w:t>证券简称：上海合晶</w:t>
      </w:r>
      <w:r>
        <w:rPr>
          <w:bCs/>
          <w:iCs/>
          <w:color w:val="000000"/>
        </w:rPr>
        <w:t xml:space="preserve">   </w:t>
      </w:r>
    </w:p>
    <w:p w:rsidR="00625836" w:rsidRPr="001E27CF" w:rsidRDefault="00175ADF" w:rsidP="00344463">
      <w:pPr>
        <w:ind w:firstLineChars="0" w:firstLine="0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 w:rsidRPr="001E27CF">
        <w:rPr>
          <w:rFonts w:ascii="黑体" w:eastAsia="黑体" w:hAnsi="黑体"/>
          <w:b/>
          <w:bCs/>
          <w:iCs/>
          <w:color w:val="FF0000"/>
          <w:sz w:val="36"/>
          <w:szCs w:val="36"/>
        </w:rPr>
        <w:t>上海合晶硅材料股份有限公司</w:t>
      </w:r>
    </w:p>
    <w:p w:rsidR="00625836" w:rsidRPr="001E27CF" w:rsidRDefault="00175ADF" w:rsidP="00344463">
      <w:pPr>
        <w:ind w:firstLineChars="0" w:firstLine="0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 w:rsidRPr="001E27CF">
        <w:rPr>
          <w:rFonts w:ascii="黑体" w:eastAsia="黑体" w:hAnsi="黑体"/>
          <w:b/>
          <w:bCs/>
          <w:iCs/>
          <w:color w:val="FF0000"/>
          <w:sz w:val="36"/>
          <w:szCs w:val="36"/>
        </w:rPr>
        <w:t>投资者关系活</w:t>
      </w:r>
      <w:bookmarkStart w:id="0" w:name="_GoBack"/>
      <w:bookmarkEnd w:id="0"/>
      <w:r w:rsidRPr="001E27CF">
        <w:rPr>
          <w:rFonts w:ascii="黑体" w:eastAsia="黑体" w:hAnsi="黑体"/>
          <w:b/>
          <w:bCs/>
          <w:iCs/>
          <w:color w:val="FF0000"/>
          <w:sz w:val="36"/>
          <w:szCs w:val="36"/>
        </w:rPr>
        <w:t>动记录表</w:t>
      </w:r>
    </w:p>
    <w:p w:rsidR="00625836" w:rsidRDefault="00175ADF">
      <w:pPr>
        <w:ind w:firstLine="480"/>
        <w:rPr>
          <w:bCs/>
          <w:iCs/>
          <w:color w:val="000000"/>
          <w:highlight w:val="yellow"/>
        </w:rPr>
      </w:pPr>
      <w:r>
        <w:rPr>
          <w:bCs/>
          <w:iCs/>
          <w:color w:val="000000"/>
        </w:rPr>
        <w:t xml:space="preserve">                                                    </w:t>
      </w:r>
      <w:r>
        <w:rPr>
          <w:bCs/>
          <w:iCs/>
          <w:color w:val="000000"/>
        </w:rPr>
        <w:t>编号：</w:t>
      </w:r>
      <w:r>
        <w:rPr>
          <w:bCs/>
          <w:iCs/>
          <w:color w:val="000000"/>
        </w:rPr>
        <w:t>202</w:t>
      </w:r>
      <w:r>
        <w:rPr>
          <w:rFonts w:hint="eastAsia"/>
          <w:bCs/>
          <w:iCs/>
          <w:color w:val="000000"/>
        </w:rPr>
        <w:t>5</w:t>
      </w:r>
      <w:r>
        <w:rPr>
          <w:bCs/>
          <w:iCs/>
          <w:color w:val="000000"/>
        </w:rPr>
        <w:t>-00</w:t>
      </w:r>
      <w:r w:rsidR="00344463">
        <w:rPr>
          <w:rFonts w:hint="eastAsia"/>
          <w:bCs/>
          <w:iCs/>
          <w:color w:val="000000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436"/>
      </w:tblGrid>
      <w:tr w:rsidR="00625836">
        <w:trPr>
          <w:trHeight w:val="192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:rsidR="00625836" w:rsidRDefault="00625836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36" w:rsidRDefault="00175A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" w:char="F0FE"/>
            </w:r>
            <w:r>
              <w:t>特定对象调研</w:t>
            </w:r>
            <w:r>
              <w:t xml:space="preserve">     </w:t>
            </w:r>
            <w:r>
              <w:rPr>
                <w:bCs/>
                <w:iCs/>
                <w:color w:val="000000"/>
              </w:rPr>
              <w:t>□</w:t>
            </w:r>
            <w:r>
              <w:t>分析师会议</w:t>
            </w:r>
          </w:p>
          <w:p w:rsidR="00625836" w:rsidRDefault="00175A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</w:t>
            </w:r>
            <w:r>
              <w:t xml:space="preserve">         </w:t>
            </w:r>
            <w:r>
              <w:rPr>
                <w:bCs/>
                <w:iCs/>
                <w:color w:val="000000"/>
              </w:rPr>
              <w:t>□</w:t>
            </w:r>
            <w:r>
              <w:t>业绩说明会</w:t>
            </w:r>
          </w:p>
          <w:p w:rsidR="00625836" w:rsidRDefault="00175A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新闻发布会</w:t>
            </w:r>
            <w:r>
              <w:t xml:space="preserve">       </w:t>
            </w:r>
            <w:r>
              <w:rPr>
                <w:bCs/>
                <w:iCs/>
                <w:color w:val="000000"/>
              </w:rPr>
              <w:t>□</w:t>
            </w:r>
            <w:r>
              <w:t>路演活动</w:t>
            </w:r>
          </w:p>
          <w:p w:rsidR="00625836" w:rsidRDefault="00175ADF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现场参观</w:t>
            </w:r>
            <w:r>
              <w:rPr>
                <w:bCs/>
                <w:iCs/>
                <w:color w:val="000000"/>
              </w:rPr>
              <w:t xml:space="preserve">         </w:t>
            </w:r>
            <w:r>
              <w:rPr>
                <w:bCs/>
                <w:iCs/>
                <w:color w:val="000000"/>
              </w:rPr>
              <w:sym w:font="Wingdings" w:char="F0FE"/>
            </w:r>
            <w:r>
              <w:rPr>
                <w:rFonts w:hint="eastAsia"/>
                <w:bCs/>
                <w:iCs/>
                <w:color w:val="000000"/>
              </w:rPr>
              <w:t>电话会议</w:t>
            </w:r>
          </w:p>
          <w:p w:rsidR="00625836" w:rsidRDefault="00175ADF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  <w:u w:val="single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其他</w:t>
            </w:r>
            <w:r>
              <w:rPr>
                <w:rFonts w:hint="eastAsia"/>
              </w:rPr>
              <w:t>：</w:t>
            </w:r>
          </w:p>
        </w:tc>
      </w:tr>
      <w:tr w:rsidR="00625836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会议主题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36" w:rsidRDefault="00175ADF" w:rsidP="00344463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</w:rPr>
              <w:t>上海合晶深度</w:t>
            </w:r>
            <w:proofErr w:type="gramEnd"/>
            <w:r>
              <w:rPr>
                <w:rFonts w:hint="eastAsia"/>
                <w:bCs/>
                <w:iCs/>
                <w:color w:val="000000"/>
              </w:rPr>
              <w:t>报告解读和公司近况交流电话会</w:t>
            </w:r>
          </w:p>
        </w:tc>
      </w:tr>
      <w:tr w:rsidR="00625836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36" w:rsidRDefault="00175ADF" w:rsidP="00344463">
            <w:pPr>
              <w:ind w:firstLineChars="0" w:firstLine="0"/>
              <w:jc w:val="left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共</w:t>
            </w:r>
            <w:r w:rsidRPr="00344463">
              <w:rPr>
                <w:bCs/>
                <w:iCs/>
                <w:color w:val="000000"/>
              </w:rPr>
              <w:t>35</w:t>
            </w:r>
            <w:r w:rsidRPr="00344463">
              <w:rPr>
                <w:bCs/>
                <w:iCs/>
                <w:color w:val="000000"/>
              </w:rPr>
              <w:t>家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机构，参会机构名单详见附表</w:t>
            </w:r>
          </w:p>
        </w:tc>
      </w:tr>
      <w:tr w:rsidR="00625836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36" w:rsidRDefault="00175ADF" w:rsidP="00344463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8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  <w:tr w:rsidR="00625836" w:rsidTr="00344463">
        <w:trPr>
          <w:trHeight w:val="40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 w:rsidP="00344463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线上会议</w:t>
            </w:r>
          </w:p>
        </w:tc>
      </w:tr>
      <w:tr w:rsidR="00625836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 w:rsidP="00344463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执行董事、</w:t>
            </w:r>
            <w:r>
              <w:rPr>
                <w:bCs/>
                <w:iCs/>
                <w:color w:val="000000"/>
              </w:rPr>
              <w:t>总经理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陈建纲</w:t>
            </w:r>
          </w:p>
          <w:p w:rsidR="00625836" w:rsidRDefault="00175A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董事会秘书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庄子祊</w:t>
            </w:r>
          </w:p>
          <w:p w:rsidR="00625836" w:rsidRDefault="00175A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财务总监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</w:rPr>
              <w:t>方时彬</w:t>
            </w:r>
          </w:p>
        </w:tc>
      </w:tr>
      <w:tr w:rsidR="00625836">
        <w:trPr>
          <w:trHeight w:val="112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</w:t>
            </w:r>
            <w:r w:rsidR="00344463">
              <w:rPr>
                <w:bCs/>
                <w:iCs/>
                <w:color w:val="000000"/>
              </w:rPr>
              <w:br/>
            </w:r>
            <w:r>
              <w:rPr>
                <w:bCs/>
                <w:iCs/>
                <w:color w:val="000000"/>
              </w:rPr>
              <w:t>活动主要内容介绍</w:t>
            </w:r>
          </w:p>
          <w:p w:rsidR="00625836" w:rsidRDefault="00625836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36" w:rsidRPr="00344463" w:rsidRDefault="00344463" w:rsidP="00344463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</w:t>
            </w:r>
            <w:r w:rsidR="00175ADF" w:rsidRPr="00344463">
              <w:rPr>
                <w:b/>
                <w:bCs/>
              </w:rPr>
              <w:t>公司亮点介绍</w:t>
            </w:r>
          </w:p>
          <w:p w:rsidR="00625836" w:rsidRPr="00344463" w:rsidRDefault="00175ADF" w:rsidP="00344463">
            <w:pPr>
              <w:ind w:firstLine="480"/>
            </w:pPr>
            <w:proofErr w:type="gramStart"/>
            <w:r w:rsidRPr="00344463">
              <w:t>上海合晶是</w:t>
            </w:r>
            <w:proofErr w:type="gramEnd"/>
            <w:r w:rsidRPr="00344463">
              <w:t>国内领先的外延片一体化厂商，在产品性能、客户结构和盈利能力方面居于行业前列。整体发展战略上，公司制定明确的</w:t>
            </w:r>
            <w:r w:rsidRPr="00344463">
              <w:t>8</w:t>
            </w:r>
            <w:r w:rsidRPr="00344463">
              <w:t>英寸和</w:t>
            </w:r>
            <w:r w:rsidRPr="00344463">
              <w:t>12</w:t>
            </w:r>
            <w:r w:rsidRPr="00344463">
              <w:t>英寸外延片产品的发展战略。随着下游的需求回暖、公司的产能扩张和一体化能力的完善，以及</w:t>
            </w:r>
            <w:r w:rsidRPr="00344463">
              <w:t>12</w:t>
            </w:r>
            <w:r w:rsidRPr="00344463">
              <w:t>英寸占比的提升，预计公司有望在</w:t>
            </w:r>
            <w:r w:rsidRPr="00344463">
              <w:t>2024</w:t>
            </w:r>
            <w:r w:rsidRPr="00344463">
              <w:t>年的低点过后，重新回到快速增长阶段。</w:t>
            </w:r>
          </w:p>
          <w:p w:rsidR="00625836" w:rsidRPr="00344463" w:rsidRDefault="00175ADF" w:rsidP="00344463">
            <w:pPr>
              <w:numPr>
                <w:ilvl w:val="0"/>
                <w:numId w:val="3"/>
              </w:numPr>
              <w:ind w:left="0" w:firstLine="480"/>
            </w:pPr>
            <w:r w:rsidRPr="00344463">
              <w:t>深耕行业</w:t>
            </w:r>
            <w:r w:rsidRPr="00344463">
              <w:t>30</w:t>
            </w:r>
            <w:r w:rsidRPr="00344463">
              <w:t>年，核心技术领先，</w:t>
            </w:r>
            <w:proofErr w:type="gramStart"/>
            <w:r w:rsidRPr="00344463">
              <w:t>获全球</w:t>
            </w:r>
            <w:proofErr w:type="gramEnd"/>
            <w:r w:rsidRPr="00344463">
              <w:t>客户认可：全球前十大晶圆代工厂中有</w:t>
            </w:r>
            <w:r w:rsidRPr="00344463">
              <w:t>7</w:t>
            </w:r>
            <w:r w:rsidRPr="00344463">
              <w:t>家、前十大功率器件</w:t>
            </w:r>
            <w:r w:rsidRPr="00344463">
              <w:t>IDM</w:t>
            </w:r>
            <w:r w:rsidRPr="00344463">
              <w:t>厂中有</w:t>
            </w:r>
            <w:r w:rsidRPr="00344463">
              <w:t>6</w:t>
            </w:r>
            <w:r w:rsidRPr="00344463">
              <w:t>家由公司供货，重要客户包括华虹、华润微等。重要客户包括华虹宏力、</w:t>
            </w:r>
            <w:proofErr w:type="gramStart"/>
            <w:r w:rsidRPr="00344463">
              <w:t>芯联集成</w:t>
            </w:r>
            <w:proofErr w:type="gramEnd"/>
            <w:r w:rsidRPr="00344463">
              <w:t>、华润微、台积电、力积电、威</w:t>
            </w:r>
            <w:proofErr w:type="gramStart"/>
            <w:r w:rsidRPr="00344463">
              <w:t>世</w:t>
            </w:r>
            <w:proofErr w:type="gramEnd"/>
            <w:r w:rsidRPr="00344463">
              <w:t>半导体、达尔等行业领先企业。</w:t>
            </w:r>
          </w:p>
          <w:p w:rsidR="00625836" w:rsidRPr="00344463" w:rsidRDefault="00175ADF" w:rsidP="00344463">
            <w:pPr>
              <w:numPr>
                <w:ilvl w:val="0"/>
                <w:numId w:val="3"/>
              </w:numPr>
              <w:ind w:left="0" w:firstLine="480"/>
            </w:pPr>
            <w:r w:rsidRPr="00344463">
              <w:lastRenderedPageBreak/>
              <w:t>公司打通了外延片一体化的制造能力，整体盈利水平处在行业前列：产能扩张使公司衬底片自给率提升，部分原材料供应逐步国产化降低了单位材料成本。</w:t>
            </w:r>
            <w:r w:rsidRPr="00344463">
              <w:t>2022</w:t>
            </w:r>
            <w:r w:rsidR="00A92CF3">
              <w:rPr>
                <w:rFonts w:hint="eastAsia"/>
              </w:rPr>
              <w:t>—</w:t>
            </w:r>
            <w:r w:rsidRPr="00344463">
              <w:t>2024</w:t>
            </w:r>
            <w:r w:rsidRPr="00344463">
              <w:t>年行业下行周期，公司毛利率显著高于同行业可比的硅片企业，体现盈利韧性。</w:t>
            </w:r>
          </w:p>
          <w:p w:rsidR="00625836" w:rsidRPr="00344463" w:rsidRDefault="00175ADF" w:rsidP="00344463">
            <w:pPr>
              <w:pStyle w:val="af3"/>
              <w:numPr>
                <w:ilvl w:val="0"/>
                <w:numId w:val="3"/>
              </w:numPr>
              <w:ind w:left="0" w:firstLine="480"/>
            </w:pPr>
            <w:r w:rsidRPr="00344463">
              <w:t>8</w:t>
            </w:r>
            <w:r w:rsidRPr="00344463">
              <w:t>英寸产品聚焦超越摩尔定律特色领域，目标成为标杆：公司的</w:t>
            </w:r>
            <w:r w:rsidRPr="00344463">
              <w:t>8</w:t>
            </w:r>
            <w:r w:rsidRPr="00344463">
              <w:t>英寸产品在外延层电阻率片内均匀性、外延层厚度片内均匀性、表面颗粒、外延层电阻率和外延层厚度方面处于国际先进水平。公司</w:t>
            </w:r>
            <w:r w:rsidRPr="00344463">
              <w:t>8</w:t>
            </w:r>
            <w:r w:rsidRPr="00344463">
              <w:t>英寸产品在竞争加速下聚焦高壁垒特色产品，制定中长期目标成为标杆。尽管</w:t>
            </w:r>
            <w:r w:rsidRPr="00344463">
              <w:t>8</w:t>
            </w:r>
            <w:r w:rsidRPr="00344463">
              <w:t>英寸硅片国产化率较高，但高端市场供应商主要是日系企业。中美关税战等背景下，出于供应</w:t>
            </w:r>
            <w:proofErr w:type="gramStart"/>
            <w:r w:rsidRPr="00344463">
              <w:t>链安全</w:t>
            </w:r>
            <w:proofErr w:type="gramEnd"/>
            <w:r w:rsidRPr="00344463">
              <w:t>考虑，</w:t>
            </w:r>
            <w:r w:rsidRPr="00344463">
              <w:t>8</w:t>
            </w:r>
            <w:r w:rsidRPr="00344463">
              <w:t>英寸外延片国产化率有望提升，公司产品性能和成本优势明显，有望提升国内市场份额。</w:t>
            </w:r>
          </w:p>
          <w:p w:rsidR="00625836" w:rsidRPr="00344463" w:rsidRDefault="00175ADF" w:rsidP="00344463">
            <w:pPr>
              <w:pStyle w:val="af3"/>
              <w:numPr>
                <w:ilvl w:val="0"/>
                <w:numId w:val="3"/>
              </w:numPr>
              <w:ind w:left="0" w:firstLine="480"/>
            </w:pPr>
            <w:r w:rsidRPr="00344463">
              <w:t>12</w:t>
            </w:r>
            <w:r w:rsidRPr="00344463">
              <w:t>英寸产品加速做</w:t>
            </w:r>
            <w:proofErr w:type="gramStart"/>
            <w:r w:rsidRPr="00344463">
              <w:t>强做</w:t>
            </w:r>
            <w:proofErr w:type="gramEnd"/>
            <w:r w:rsidRPr="00344463">
              <w:t>大，重点突破</w:t>
            </w:r>
            <w:r w:rsidRPr="00344463">
              <w:t>55nm</w:t>
            </w:r>
            <w:r w:rsidR="00A92CF3">
              <w:t xml:space="preserve"> </w:t>
            </w:r>
            <w:r w:rsidRPr="00344463">
              <w:t>CIS</w:t>
            </w:r>
            <w:r w:rsidRPr="00344463">
              <w:t>和</w:t>
            </w:r>
            <w:r w:rsidRPr="00344463">
              <w:t>28nm Logic</w:t>
            </w:r>
            <w:r w:rsidRPr="00344463">
              <w:t>：公司在</w:t>
            </w:r>
            <w:r w:rsidRPr="00344463">
              <w:t>12</w:t>
            </w:r>
            <w:r w:rsidRPr="00344463">
              <w:t>英寸产品方面加速发展，除功率器件外，</w:t>
            </w:r>
            <w:r w:rsidRPr="00344463">
              <w:t>2024</w:t>
            </w:r>
            <w:r w:rsidRPr="00344463">
              <w:t>年完成</w:t>
            </w:r>
            <w:r w:rsidRPr="00344463">
              <w:t>12</w:t>
            </w:r>
            <w:r w:rsidRPr="00344463">
              <w:t>英寸</w:t>
            </w:r>
            <w:r w:rsidRPr="00344463">
              <w:t>CIS</w:t>
            </w:r>
            <w:r w:rsidRPr="00344463">
              <w:t>外延产品开发并送样，逻辑方面推进</w:t>
            </w:r>
            <w:r w:rsidRPr="00344463">
              <w:t xml:space="preserve">28nm P/P- </w:t>
            </w:r>
            <w:r w:rsidRPr="00344463">
              <w:t>外延片开发。</w:t>
            </w:r>
            <w:proofErr w:type="gramStart"/>
            <w:r w:rsidRPr="00344463">
              <w:t>郑州合晶加速</w:t>
            </w:r>
            <w:proofErr w:type="gramEnd"/>
            <w:r w:rsidRPr="00344463">
              <w:t>扩大</w:t>
            </w:r>
            <w:r w:rsidRPr="00344463">
              <w:t>12</w:t>
            </w:r>
            <w:r w:rsidRPr="00344463">
              <w:t>英寸产能，打开成长空间。</w:t>
            </w:r>
          </w:p>
          <w:p w:rsidR="00625836" w:rsidRPr="00344463" w:rsidRDefault="00344463" w:rsidP="00344463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</w:t>
            </w:r>
            <w:r w:rsidR="00175ADF" w:rsidRPr="00344463">
              <w:rPr>
                <w:b/>
                <w:bCs/>
              </w:rPr>
              <w:t>执行董事、总经理陈建纲先生介绍</w:t>
            </w:r>
            <w:r w:rsidR="00175ADF" w:rsidRPr="00344463">
              <w:rPr>
                <w:b/>
              </w:rPr>
              <w:t>公司现状及未来规划</w:t>
            </w:r>
          </w:p>
          <w:p w:rsidR="00625836" w:rsidRPr="00344463" w:rsidRDefault="00175ADF" w:rsidP="00344463">
            <w:pPr>
              <w:widowControl/>
              <w:tabs>
                <w:tab w:val="left" w:pos="2160"/>
              </w:tabs>
              <w:ind w:firstLine="480"/>
            </w:pPr>
            <w:r w:rsidRPr="00344463">
              <w:t>2025</w:t>
            </w:r>
            <w:r w:rsidRPr="00344463">
              <w:t>年上半年半年报预计</w:t>
            </w:r>
            <w:r w:rsidRPr="00344463">
              <w:t>8</w:t>
            </w:r>
            <w:r w:rsidRPr="00344463">
              <w:t>月</w:t>
            </w:r>
            <w:r w:rsidRPr="00344463">
              <w:t>30</w:t>
            </w:r>
            <w:r w:rsidRPr="00344463">
              <w:t>日正式披露，具体数据请以上交</w:t>
            </w:r>
            <w:proofErr w:type="gramStart"/>
            <w:r w:rsidRPr="00344463">
              <w:t>所官网披露</w:t>
            </w:r>
            <w:proofErr w:type="gramEnd"/>
            <w:r w:rsidRPr="00344463">
              <w:t>数据为准。截至目前上半年整体经营情况，集团外延片销量同比与环比都呈现二位数的增长。</w:t>
            </w:r>
            <w:r w:rsidRPr="00344463">
              <w:t>8</w:t>
            </w:r>
            <w:r w:rsidRPr="00344463">
              <w:t>英寸</w:t>
            </w:r>
            <w:proofErr w:type="gramStart"/>
            <w:r w:rsidRPr="00344463">
              <w:t>线受急单</w:t>
            </w:r>
            <w:proofErr w:type="gramEnd"/>
            <w:r w:rsidRPr="00344463">
              <w:t>、大单影响，交货紧张，</w:t>
            </w:r>
            <w:r w:rsidRPr="00344463">
              <w:t>12</w:t>
            </w:r>
            <w:r w:rsidRPr="00344463">
              <w:t>英寸功率器件用外延片个别国际客户订单已经排到年底。</w:t>
            </w:r>
          </w:p>
          <w:p w:rsidR="00625836" w:rsidRPr="00344463" w:rsidRDefault="00175ADF" w:rsidP="00344463">
            <w:pPr>
              <w:ind w:firstLine="480"/>
            </w:pPr>
            <w:proofErr w:type="gramStart"/>
            <w:r w:rsidRPr="00344463">
              <w:t>郑州合晶二期</w:t>
            </w:r>
            <w:proofErr w:type="gramEnd"/>
            <w:r w:rsidRPr="00344463">
              <w:t>工程预计投入</w:t>
            </w:r>
            <w:r w:rsidRPr="00344463">
              <w:t>35</w:t>
            </w:r>
            <w:r w:rsidRPr="00344463">
              <w:t>亿元人民币，今年</w:t>
            </w:r>
            <w:r w:rsidRPr="00344463">
              <w:t>4</w:t>
            </w:r>
            <w:r w:rsidRPr="00344463">
              <w:t>月</w:t>
            </w:r>
            <w:r w:rsidRPr="00344463">
              <w:t>15</w:t>
            </w:r>
            <w:r w:rsidRPr="00344463">
              <w:t>日厂房封顶，本月开始设备陆续</w:t>
            </w:r>
            <w:r w:rsidRPr="00344463">
              <w:t>move in</w:t>
            </w:r>
            <w:r w:rsidRPr="00344463">
              <w:t>，预计</w:t>
            </w:r>
            <w:r w:rsidRPr="00344463">
              <w:t>12</w:t>
            </w:r>
            <w:r w:rsidRPr="00344463">
              <w:t>月具备送样能力。原本</w:t>
            </w:r>
            <w:proofErr w:type="gramStart"/>
            <w:r w:rsidRPr="00344463">
              <w:t>郑州合晶二期</w:t>
            </w:r>
            <w:proofErr w:type="gramEnd"/>
            <w:r w:rsidRPr="00344463">
              <w:t>工程预计</w:t>
            </w:r>
            <w:r w:rsidRPr="00344463">
              <w:t>2027</w:t>
            </w:r>
            <w:r w:rsidRPr="00344463">
              <w:t>年建成，现在</w:t>
            </w:r>
            <w:r w:rsidRPr="00344463">
              <w:lastRenderedPageBreak/>
              <w:t>预计提前</w:t>
            </w:r>
            <w:r w:rsidRPr="00344463">
              <w:t>1</w:t>
            </w:r>
            <w:r w:rsidRPr="00344463">
              <w:t>年，</w:t>
            </w:r>
            <w:r w:rsidRPr="00344463">
              <w:t>2026</w:t>
            </w:r>
            <w:r w:rsidRPr="00344463">
              <w:t>年建成。</w:t>
            </w:r>
          </w:p>
          <w:p w:rsidR="00625836" w:rsidRPr="00344463" w:rsidRDefault="00344463" w:rsidP="00344463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三、投资者互动问答</w:t>
            </w:r>
          </w:p>
          <w:p w:rsidR="00625836" w:rsidRPr="00344463" w:rsidRDefault="00344463" w:rsidP="00344463">
            <w:pPr>
              <w:ind w:firstLine="482"/>
              <w:jc w:val="left"/>
            </w:pPr>
            <w:r>
              <w:rPr>
                <w:rFonts w:hint="eastAsia"/>
                <w:b/>
              </w:rPr>
              <w:t>Q1</w:t>
            </w:r>
            <w:r w:rsidR="00175ADF" w:rsidRPr="00344463">
              <w:rPr>
                <w:b/>
              </w:rPr>
              <w:t>：请介绍</w:t>
            </w:r>
            <w:r w:rsidR="00175ADF" w:rsidRPr="00344463">
              <w:rPr>
                <w:b/>
              </w:rPr>
              <w:t>8</w:t>
            </w:r>
            <w:r w:rsidR="00175ADF" w:rsidRPr="00344463">
              <w:rPr>
                <w:b/>
              </w:rPr>
              <w:t>英寸产品以及</w:t>
            </w:r>
            <w:r w:rsidR="00175ADF" w:rsidRPr="00344463">
              <w:rPr>
                <w:b/>
              </w:rPr>
              <w:t>12</w:t>
            </w:r>
            <w:r w:rsidR="00175ADF" w:rsidRPr="00344463">
              <w:rPr>
                <w:b/>
              </w:rPr>
              <w:t>英寸产品在</w:t>
            </w:r>
            <w:r w:rsidR="00175ADF" w:rsidRPr="00344463">
              <w:rPr>
                <w:b/>
              </w:rPr>
              <w:t>CIS</w:t>
            </w:r>
            <w:r w:rsidR="00175ADF" w:rsidRPr="00344463">
              <w:rPr>
                <w:b/>
              </w:rPr>
              <w:t>和</w:t>
            </w:r>
            <w:r w:rsidR="00175ADF" w:rsidRPr="00344463">
              <w:rPr>
                <w:b/>
              </w:rPr>
              <w:t>logic</w:t>
            </w:r>
            <w:r w:rsidR="00175ADF" w:rsidRPr="00344463">
              <w:rPr>
                <w:b/>
              </w:rPr>
              <w:t>方面的推进情况。</w:t>
            </w:r>
          </w:p>
          <w:p w:rsidR="00625836" w:rsidRPr="00344463" w:rsidRDefault="00344463" w:rsidP="00344463">
            <w:pPr>
              <w:ind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总经理</w:t>
            </w:r>
            <w:r w:rsidR="00175ADF" w:rsidRPr="00344463">
              <w:rPr>
                <w:b/>
              </w:rPr>
              <w:t>：</w:t>
            </w:r>
            <w:r w:rsidR="00175ADF" w:rsidRPr="00344463">
              <w:t>8</w:t>
            </w:r>
            <w:r w:rsidR="00175ADF" w:rsidRPr="00344463">
              <w:t>英寸产能约</w:t>
            </w:r>
            <w:r w:rsidR="00175ADF" w:rsidRPr="00344463">
              <w:t>21.5</w:t>
            </w:r>
            <w:r w:rsidR="00175ADF" w:rsidRPr="00344463">
              <w:t>万片</w:t>
            </w:r>
            <w:r w:rsidR="00175ADF" w:rsidRPr="00344463">
              <w:t>/</w:t>
            </w:r>
            <w:r w:rsidR="00175ADF" w:rsidRPr="00344463">
              <w:t>月，重点优化产品结构，</w:t>
            </w:r>
            <w:proofErr w:type="gramStart"/>
            <w:r w:rsidR="00175ADF" w:rsidRPr="00344463">
              <w:t>解决产线瓶颈</w:t>
            </w:r>
            <w:proofErr w:type="gramEnd"/>
            <w:r w:rsidR="00175ADF" w:rsidRPr="00344463">
              <w:t>，实现产出最大化，目标成为国内</w:t>
            </w:r>
            <w:r w:rsidR="00175ADF" w:rsidRPr="00344463">
              <w:t>8</w:t>
            </w:r>
            <w:r w:rsidR="00175ADF" w:rsidRPr="00344463">
              <w:t>英寸产品标杆，替代日本的信越、胜高。</w:t>
            </w:r>
          </w:p>
          <w:p w:rsidR="00625836" w:rsidRPr="00344463" w:rsidRDefault="00175ADF" w:rsidP="00344463">
            <w:pPr>
              <w:ind w:firstLine="480"/>
            </w:pPr>
            <w:r w:rsidRPr="00344463">
              <w:t>12</w:t>
            </w:r>
            <w:r w:rsidRPr="00344463">
              <w:t>英寸分三步走，目前郑州原有厂房和子公司上海</w:t>
            </w:r>
            <w:proofErr w:type="gramStart"/>
            <w:r w:rsidRPr="00344463">
              <w:t>晶盟具备</w:t>
            </w:r>
            <w:proofErr w:type="gramEnd"/>
            <w:r w:rsidRPr="00344463">
              <w:t>4</w:t>
            </w:r>
            <w:r w:rsidRPr="00344463">
              <w:t>万片</w:t>
            </w:r>
            <w:r w:rsidRPr="00344463">
              <w:t>12</w:t>
            </w:r>
            <w:r w:rsidRPr="00344463">
              <w:t>英寸产能。</w:t>
            </w:r>
            <w:proofErr w:type="gramStart"/>
            <w:r w:rsidRPr="00344463">
              <w:t>郑州合晶二期</w:t>
            </w:r>
            <w:proofErr w:type="gramEnd"/>
            <w:r w:rsidRPr="00344463">
              <w:t>预计</w:t>
            </w:r>
            <w:r w:rsidRPr="00344463">
              <w:t>2026</w:t>
            </w:r>
            <w:r w:rsidRPr="00344463">
              <w:t>年底新增</w:t>
            </w:r>
            <w:r w:rsidRPr="00344463">
              <w:t>6</w:t>
            </w:r>
            <w:r w:rsidRPr="00344463">
              <w:t>万片</w:t>
            </w:r>
            <w:r w:rsidRPr="00344463">
              <w:t>12</w:t>
            </w:r>
            <w:r w:rsidRPr="00344463">
              <w:t>英寸产能，合计</w:t>
            </w:r>
            <w:r w:rsidRPr="00344463">
              <w:t>10</w:t>
            </w:r>
            <w:r w:rsidRPr="00344463">
              <w:t>万片产能。未来三期看市场需求再进行推进。</w:t>
            </w:r>
            <w:r w:rsidRPr="00344463">
              <w:t>12</w:t>
            </w:r>
            <w:r w:rsidRPr="00344463">
              <w:t>英寸功率用外延</w:t>
            </w:r>
            <w:proofErr w:type="gramStart"/>
            <w:r w:rsidRPr="00344463">
              <w:t>片尽快</w:t>
            </w:r>
            <w:proofErr w:type="gramEnd"/>
            <w:r w:rsidRPr="00344463">
              <w:t>做强，</w:t>
            </w:r>
            <w:r w:rsidRPr="00344463">
              <w:t>12</w:t>
            </w:r>
            <w:r w:rsidRPr="00344463">
              <w:t>英寸</w:t>
            </w:r>
            <w:r w:rsidRPr="00344463">
              <w:t>CIS</w:t>
            </w:r>
            <w:r w:rsidRPr="00344463">
              <w:t>用外延</w:t>
            </w:r>
            <w:proofErr w:type="gramStart"/>
            <w:r w:rsidRPr="00344463">
              <w:t>片尽快</w:t>
            </w:r>
            <w:proofErr w:type="gramEnd"/>
            <w:r w:rsidRPr="00344463">
              <w:t>做大，</w:t>
            </w:r>
            <w:r w:rsidRPr="00344463">
              <w:t>12</w:t>
            </w:r>
            <w:r w:rsidRPr="00344463">
              <w:t>英寸</w:t>
            </w:r>
            <w:r w:rsidRPr="00344463">
              <w:t>P/P-</w:t>
            </w:r>
            <w:r w:rsidRPr="00344463">
              <w:t>用外延</w:t>
            </w:r>
            <w:proofErr w:type="gramStart"/>
            <w:r w:rsidRPr="00344463">
              <w:t>片尽快</w:t>
            </w:r>
            <w:proofErr w:type="gramEnd"/>
            <w:r w:rsidRPr="00344463">
              <w:t>研发成功。</w:t>
            </w:r>
          </w:p>
          <w:p w:rsidR="00625836" w:rsidRPr="00344463" w:rsidRDefault="00344463" w:rsidP="00344463">
            <w:pPr>
              <w:ind w:firstLine="482"/>
            </w:pPr>
            <w:r>
              <w:rPr>
                <w:rFonts w:hint="eastAsia"/>
                <w:b/>
                <w:bCs/>
              </w:rPr>
              <w:t>Q</w:t>
            </w:r>
            <w:r w:rsidR="00175ADF" w:rsidRPr="00344463">
              <w:rPr>
                <w:b/>
                <w:bCs/>
              </w:rPr>
              <w:t>2</w:t>
            </w:r>
            <w:r w:rsidR="00175ADF" w:rsidRPr="00344463">
              <w:rPr>
                <w:b/>
                <w:bCs/>
              </w:rPr>
              <w:t>：请介绍公司和同业可比公司的竞争优势。</w:t>
            </w:r>
          </w:p>
          <w:p w:rsidR="00625836" w:rsidRPr="00344463" w:rsidRDefault="00344463" w:rsidP="00344463">
            <w:pPr>
              <w:ind w:firstLine="482"/>
            </w:pPr>
            <w:r>
              <w:rPr>
                <w:rFonts w:hint="eastAsia"/>
                <w:b/>
                <w:bCs/>
              </w:rPr>
              <w:t>总经理</w:t>
            </w:r>
            <w:r w:rsidR="00175ADF" w:rsidRPr="00344463">
              <w:rPr>
                <w:b/>
                <w:bCs/>
              </w:rPr>
              <w:t>：</w:t>
            </w:r>
            <w:r w:rsidR="00175ADF" w:rsidRPr="00344463">
              <w:t>和国内同行不同，</w:t>
            </w:r>
            <w:proofErr w:type="gramStart"/>
            <w:r w:rsidR="00175ADF" w:rsidRPr="00344463">
              <w:t>上海合晶是</w:t>
            </w:r>
            <w:proofErr w:type="gramEnd"/>
            <w:r w:rsidR="00175ADF" w:rsidRPr="00344463">
              <w:t>迭代发展，从</w:t>
            </w:r>
            <w:r w:rsidR="00175ADF" w:rsidRPr="00344463">
              <w:t>4</w:t>
            </w:r>
            <w:r w:rsidR="00175ADF" w:rsidRPr="00344463">
              <w:t>寸、</w:t>
            </w:r>
            <w:r w:rsidR="00175ADF" w:rsidRPr="00344463">
              <w:t>6</w:t>
            </w:r>
            <w:r w:rsidR="00175ADF" w:rsidRPr="00344463">
              <w:t>寸、</w:t>
            </w:r>
            <w:r w:rsidR="00175ADF" w:rsidRPr="00344463">
              <w:t>8</w:t>
            </w:r>
            <w:r w:rsidR="00175ADF" w:rsidRPr="00344463">
              <w:t>寸到</w:t>
            </w:r>
            <w:r w:rsidR="00175ADF" w:rsidRPr="00344463">
              <w:t>12</w:t>
            </w:r>
            <w:r w:rsidR="00175ADF" w:rsidRPr="00344463">
              <w:t>寸。</w:t>
            </w:r>
            <w:r w:rsidR="00175ADF" w:rsidRPr="00344463">
              <w:t>12</w:t>
            </w:r>
            <w:r w:rsidR="00175ADF" w:rsidRPr="00344463">
              <w:t>寸从</w:t>
            </w:r>
            <w:r w:rsidR="00175ADF" w:rsidRPr="00344463">
              <w:t>power</w:t>
            </w:r>
            <w:r w:rsidR="00175ADF" w:rsidRPr="00344463">
              <w:t>到</w:t>
            </w:r>
            <w:r w:rsidR="00175ADF" w:rsidRPr="00344463">
              <w:t>CIS</w:t>
            </w:r>
            <w:r w:rsidR="00175ADF" w:rsidRPr="00344463">
              <w:t>到</w:t>
            </w:r>
            <w:r w:rsidR="00175ADF" w:rsidRPr="00344463">
              <w:t>P/P-</w:t>
            </w:r>
            <w:r w:rsidR="00175ADF" w:rsidRPr="00344463">
              <w:t>，基于国内发展情况和自身需求，从重掺到中掺，再到</w:t>
            </w:r>
            <w:r w:rsidR="00175ADF" w:rsidRPr="00344463">
              <w:t>12</w:t>
            </w:r>
            <w:r w:rsidR="00175ADF" w:rsidRPr="00344463">
              <w:t>英寸</w:t>
            </w:r>
            <w:r w:rsidR="00175ADF" w:rsidRPr="00344463">
              <w:t>28nm</w:t>
            </w:r>
            <w:r w:rsidR="00175ADF" w:rsidRPr="00344463">
              <w:t>的</w:t>
            </w:r>
            <w:r w:rsidR="00175ADF" w:rsidRPr="00344463">
              <w:t>P/P-</w:t>
            </w:r>
            <w:r w:rsidR="00175ADF" w:rsidRPr="00344463">
              <w:t>。</w:t>
            </w:r>
          </w:p>
          <w:p w:rsidR="00625836" w:rsidRPr="00344463" w:rsidRDefault="00175ADF" w:rsidP="00344463">
            <w:pPr>
              <w:ind w:firstLine="480"/>
            </w:pPr>
            <w:r w:rsidRPr="00344463">
              <w:t>现有一期以及郑州二期</w:t>
            </w:r>
            <w:r w:rsidRPr="00344463">
              <w:t>12</w:t>
            </w:r>
            <w:r w:rsidRPr="00344463">
              <w:t>英寸外延片</w:t>
            </w:r>
            <w:r w:rsidR="00416D50" w:rsidRPr="00344463">
              <w:t>产能规划从现在</w:t>
            </w:r>
            <w:r w:rsidR="00416D50" w:rsidRPr="00344463">
              <w:t>4</w:t>
            </w:r>
            <w:r w:rsidR="00416D50" w:rsidRPr="00344463">
              <w:t>万多片</w:t>
            </w:r>
            <w:r w:rsidR="00416D50" w:rsidRPr="00344463">
              <w:t>/</w:t>
            </w:r>
            <w:r w:rsidR="00416D50" w:rsidRPr="00344463">
              <w:t>月，二期建成后预计</w:t>
            </w:r>
            <w:r w:rsidRPr="00344463">
              <w:t>总共</w:t>
            </w:r>
            <w:r w:rsidRPr="00344463">
              <w:t>10</w:t>
            </w:r>
            <w:r w:rsidRPr="00344463">
              <w:t>万片</w:t>
            </w:r>
            <w:r w:rsidR="00416D50" w:rsidRPr="00344463">
              <w:t>/</w:t>
            </w:r>
            <w:r w:rsidR="00416D50" w:rsidRPr="00344463">
              <w:t>月</w:t>
            </w:r>
            <w:r w:rsidRPr="00344463">
              <w:t>，其中，</w:t>
            </w:r>
            <w:r w:rsidRPr="00344463">
              <w:t>4</w:t>
            </w:r>
            <w:r w:rsidRPr="00344463">
              <w:t>万片用于功率器件，</w:t>
            </w:r>
            <w:r w:rsidRPr="00344463">
              <w:t>6</w:t>
            </w:r>
            <w:r w:rsidRPr="00344463">
              <w:t>万片量</w:t>
            </w:r>
            <w:proofErr w:type="gramStart"/>
            <w:r w:rsidRPr="00344463">
              <w:t>产用于</w:t>
            </w:r>
            <w:proofErr w:type="gramEnd"/>
            <w:r w:rsidRPr="00344463">
              <w:t>CIS</w:t>
            </w:r>
            <w:r w:rsidRPr="00344463">
              <w:t>，小部分也会用于</w:t>
            </w:r>
            <w:r w:rsidRPr="00344463">
              <w:t>P/P</w:t>
            </w:r>
            <w:r w:rsidRPr="00344463">
              <w:t>－研发。</w:t>
            </w:r>
          </w:p>
          <w:p w:rsidR="00625836" w:rsidRPr="00344463" w:rsidRDefault="00175ADF" w:rsidP="00344463">
            <w:pPr>
              <w:ind w:firstLine="480"/>
            </w:pPr>
            <w:r w:rsidRPr="00344463">
              <w:t>（</w:t>
            </w:r>
            <w:r w:rsidRPr="00344463">
              <w:t>1</w:t>
            </w:r>
            <w:r w:rsidRPr="00344463">
              <w:t>）</w:t>
            </w:r>
            <w:r w:rsidRPr="00344463">
              <w:t>12</w:t>
            </w:r>
            <w:r w:rsidRPr="00344463">
              <w:t>英寸功率用外延</w:t>
            </w:r>
            <w:proofErr w:type="gramStart"/>
            <w:r w:rsidRPr="00344463">
              <w:t>片尽快</w:t>
            </w:r>
            <w:proofErr w:type="gramEnd"/>
            <w:r w:rsidRPr="00344463">
              <w:t>做强。</w:t>
            </w:r>
            <w:r w:rsidRPr="00344463">
              <w:t>12</w:t>
            </w:r>
            <w:r w:rsidRPr="00344463">
              <w:t>英寸功率器件用外延</w:t>
            </w:r>
            <w:proofErr w:type="gramStart"/>
            <w:r w:rsidRPr="00344463">
              <w:t>片重点</w:t>
            </w:r>
            <w:proofErr w:type="gramEnd"/>
            <w:r w:rsidRPr="00344463">
              <w:t>实施差异化竞争，做高端国产化替代，主要客户有</w:t>
            </w:r>
            <w:proofErr w:type="gramStart"/>
            <w:r w:rsidRPr="00344463">
              <w:t>国内代</w:t>
            </w:r>
            <w:proofErr w:type="gramEnd"/>
            <w:r w:rsidRPr="00344463">
              <w:t>工厂和国际</w:t>
            </w:r>
            <w:r w:rsidRPr="00344463">
              <w:t>IDM</w:t>
            </w:r>
            <w:r w:rsidRPr="00344463">
              <w:t>厂；（</w:t>
            </w:r>
            <w:r w:rsidRPr="00344463">
              <w:t>2</w:t>
            </w:r>
            <w:r w:rsidRPr="00344463">
              <w:t>）</w:t>
            </w:r>
            <w:r w:rsidRPr="00344463">
              <w:t>CIS</w:t>
            </w:r>
            <w:r w:rsidRPr="00344463">
              <w:t>规划产能到明年年底</w:t>
            </w:r>
            <w:r w:rsidRPr="00344463">
              <w:t>6</w:t>
            </w:r>
            <w:r w:rsidRPr="00344463">
              <w:t>万片，目前已经送样，今年</w:t>
            </w:r>
            <w:r w:rsidRPr="00344463">
              <w:t>Q4</w:t>
            </w:r>
            <w:r w:rsidRPr="00344463">
              <w:t>会规模化量产，明年</w:t>
            </w:r>
            <w:r w:rsidRPr="00344463">
              <w:t>Q1</w:t>
            </w:r>
            <w:r w:rsidRPr="00344463">
              <w:t>会释放产能</w:t>
            </w:r>
            <w:r w:rsidRPr="00344463">
              <w:t>2</w:t>
            </w:r>
            <w:r w:rsidRPr="00344463">
              <w:t>万</w:t>
            </w:r>
            <w:r w:rsidRPr="00344463">
              <w:t>-3</w:t>
            </w:r>
            <w:r w:rsidRPr="00344463">
              <w:t>万片，明年年底前</w:t>
            </w:r>
            <w:r w:rsidRPr="00344463">
              <w:t>CIS</w:t>
            </w:r>
            <w:r w:rsidRPr="00344463">
              <w:t>将具备</w:t>
            </w:r>
            <w:r w:rsidRPr="00344463">
              <w:t>6</w:t>
            </w:r>
            <w:r w:rsidR="00A92CF3">
              <w:t>万片产能</w:t>
            </w:r>
            <w:r w:rsidR="00A92CF3">
              <w:rPr>
                <w:rFonts w:hint="eastAsia"/>
              </w:rPr>
              <w:t>；</w:t>
            </w:r>
            <w:r w:rsidRPr="00344463">
              <w:t>（</w:t>
            </w:r>
            <w:r w:rsidRPr="00344463">
              <w:t>3</w:t>
            </w:r>
            <w:r w:rsidRPr="00344463">
              <w:t>）积极争取</w:t>
            </w:r>
            <w:r w:rsidRPr="00344463">
              <w:t>12</w:t>
            </w:r>
            <w:r w:rsidRPr="00344463">
              <w:t>英寸</w:t>
            </w:r>
            <w:r w:rsidRPr="00344463">
              <w:t>P/P-</w:t>
            </w:r>
            <w:proofErr w:type="gramStart"/>
            <w:r w:rsidRPr="00344463">
              <w:t>送量认证</w:t>
            </w:r>
            <w:proofErr w:type="gramEnd"/>
            <w:r w:rsidRPr="00344463">
              <w:t>。</w:t>
            </w:r>
          </w:p>
          <w:p w:rsidR="00625836" w:rsidRPr="00344463" w:rsidRDefault="00344463" w:rsidP="00344463">
            <w:p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Q</w:t>
            </w:r>
            <w:r w:rsidR="00175ADF" w:rsidRPr="00344463">
              <w:rPr>
                <w:b/>
              </w:rPr>
              <w:t>3</w:t>
            </w:r>
            <w:r w:rsidR="00175ADF" w:rsidRPr="00344463">
              <w:rPr>
                <w:b/>
              </w:rPr>
              <w:t>：目前公司比较大的客户更多集中在海外厂商，从客户结构看，中国大陆地区销售占比会提升吗？海外和国内大</w:t>
            </w:r>
            <w:r w:rsidR="00175ADF" w:rsidRPr="00344463">
              <w:rPr>
                <w:b/>
              </w:rPr>
              <w:lastRenderedPageBreak/>
              <w:t>概是什么样的情况？</w:t>
            </w:r>
          </w:p>
          <w:p w:rsidR="00625836" w:rsidRPr="00344463" w:rsidRDefault="00344463" w:rsidP="00344463">
            <w:pPr>
              <w:ind w:firstLine="482"/>
            </w:pPr>
            <w:r>
              <w:rPr>
                <w:rFonts w:hint="eastAsia"/>
                <w:b/>
              </w:rPr>
              <w:t>总经理</w:t>
            </w:r>
            <w:r w:rsidR="00175ADF" w:rsidRPr="00344463">
              <w:rPr>
                <w:b/>
              </w:rPr>
              <w:t>：</w:t>
            </w:r>
            <w:r w:rsidR="00175ADF" w:rsidRPr="00344463">
              <w:t>根据披露过的财报，</w:t>
            </w:r>
            <w:proofErr w:type="gramStart"/>
            <w:r w:rsidR="00175ADF" w:rsidRPr="00344463">
              <w:t>上海合晶境外</w:t>
            </w:r>
            <w:proofErr w:type="gramEnd"/>
            <w:r w:rsidR="00175ADF" w:rsidRPr="00344463">
              <w:t>销售占比高于境内。国际客户是公司基本盘，长期稳定保持合作关系。同时，公司也会持续扩大境内销售份额。</w:t>
            </w:r>
          </w:p>
          <w:p w:rsidR="00625836" w:rsidRPr="00344463" w:rsidRDefault="00175ADF" w:rsidP="00344463">
            <w:pPr>
              <w:ind w:firstLine="480"/>
            </w:pPr>
            <w:r w:rsidRPr="00344463">
              <w:t>公司目前的策略是</w:t>
            </w:r>
            <w:r w:rsidRPr="00344463">
              <w:t>8</w:t>
            </w:r>
            <w:r w:rsidRPr="00344463">
              <w:t>英寸要成为标杆，实现高端领域的国产替代。</w:t>
            </w:r>
            <w:r w:rsidRPr="00344463">
              <w:t>12</w:t>
            </w:r>
            <w:r w:rsidRPr="00344463">
              <w:t>英寸方面，公司将利用先发优势在车</w:t>
            </w:r>
            <w:proofErr w:type="gramStart"/>
            <w:r w:rsidRPr="00344463">
              <w:t>规</w:t>
            </w:r>
            <w:proofErr w:type="gramEnd"/>
            <w:r w:rsidRPr="00344463">
              <w:t>级等高端产品突破，同时公司将借助与国际大厂合作经验快速突破</w:t>
            </w:r>
            <w:r w:rsidRPr="00344463">
              <w:t>CIS</w:t>
            </w:r>
            <w:r w:rsidRPr="00344463">
              <w:t>，进一步增量高端</w:t>
            </w:r>
            <w:r w:rsidRPr="00344463">
              <w:t>CIS</w:t>
            </w:r>
            <w:r w:rsidRPr="00344463">
              <w:t>市场。</w:t>
            </w:r>
          </w:p>
          <w:p w:rsidR="00625836" w:rsidRPr="00344463" w:rsidRDefault="00344463" w:rsidP="00344463">
            <w:p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Q</w:t>
            </w:r>
            <w:r w:rsidR="00175ADF" w:rsidRPr="00344463">
              <w:rPr>
                <w:b/>
              </w:rPr>
              <w:t>4</w:t>
            </w:r>
            <w:r w:rsidR="00175ADF" w:rsidRPr="00344463">
              <w:rPr>
                <w:b/>
              </w:rPr>
              <w:t>：上半年我们也看到了行业复苏的迹象，下半年以及</w:t>
            </w:r>
            <w:r w:rsidR="00175ADF" w:rsidRPr="00344463">
              <w:rPr>
                <w:b/>
              </w:rPr>
              <w:t>2026</w:t>
            </w:r>
            <w:r w:rsidR="00175ADF" w:rsidRPr="00344463">
              <w:rPr>
                <w:b/>
              </w:rPr>
              <w:t>年，请问公司经营层对行业景气</w:t>
            </w:r>
            <w:proofErr w:type="gramStart"/>
            <w:r w:rsidR="00175ADF" w:rsidRPr="00344463">
              <w:rPr>
                <w:b/>
              </w:rPr>
              <w:t>度怎样</w:t>
            </w:r>
            <w:proofErr w:type="gramEnd"/>
            <w:r w:rsidR="00175ADF" w:rsidRPr="00344463">
              <w:rPr>
                <w:b/>
              </w:rPr>
              <w:t>判断？</w:t>
            </w:r>
          </w:p>
          <w:p w:rsidR="00625836" w:rsidRPr="00344463" w:rsidRDefault="00344463" w:rsidP="00344463">
            <w:pPr>
              <w:ind w:firstLine="482"/>
              <w:rPr>
                <w:bCs/>
              </w:rPr>
            </w:pPr>
            <w:r>
              <w:rPr>
                <w:rFonts w:hint="eastAsia"/>
                <w:b/>
              </w:rPr>
              <w:t>总经理</w:t>
            </w:r>
            <w:r w:rsidR="00175ADF" w:rsidRPr="00344463">
              <w:rPr>
                <w:b/>
              </w:rPr>
              <w:t>：</w:t>
            </w:r>
            <w:r w:rsidR="00175ADF" w:rsidRPr="00344463">
              <w:rPr>
                <w:bCs/>
              </w:rPr>
              <w:t>半导体行业有硅周期性波动且整体向上，此次下滑历经</w:t>
            </w:r>
            <w:r w:rsidR="00175ADF" w:rsidRPr="00344463">
              <w:rPr>
                <w:bCs/>
              </w:rPr>
              <w:t>2</w:t>
            </w:r>
            <w:r w:rsidR="00416D50" w:rsidRPr="00344463">
              <w:rPr>
                <w:bCs/>
              </w:rPr>
              <w:t>02</w:t>
            </w:r>
            <w:r w:rsidR="00175ADF" w:rsidRPr="00344463">
              <w:rPr>
                <w:bCs/>
              </w:rPr>
              <w:t>3</w:t>
            </w:r>
            <w:r w:rsidR="00A92CF3">
              <w:rPr>
                <w:rFonts w:hint="eastAsia"/>
                <w:bCs/>
              </w:rPr>
              <w:t>—</w:t>
            </w:r>
            <w:r w:rsidR="00175ADF" w:rsidRPr="00344463">
              <w:rPr>
                <w:bCs/>
              </w:rPr>
              <w:t>2</w:t>
            </w:r>
            <w:r w:rsidR="00416D50" w:rsidRPr="00344463">
              <w:rPr>
                <w:bCs/>
              </w:rPr>
              <w:t>02</w:t>
            </w:r>
            <w:r w:rsidR="00175ADF" w:rsidRPr="00344463">
              <w:rPr>
                <w:bCs/>
              </w:rPr>
              <w:t>4</w:t>
            </w:r>
            <w:r w:rsidR="00175ADF" w:rsidRPr="00344463">
              <w:rPr>
                <w:bCs/>
              </w:rPr>
              <w:t>年两年。同时，国内因中美贸易战带来高端国产化替代机会，预计</w:t>
            </w:r>
            <w:r w:rsidR="00175ADF" w:rsidRPr="00344463">
              <w:rPr>
                <w:bCs/>
              </w:rPr>
              <w:t>2</w:t>
            </w:r>
            <w:r w:rsidR="00416D50" w:rsidRPr="00344463">
              <w:rPr>
                <w:bCs/>
              </w:rPr>
              <w:t>02</w:t>
            </w:r>
            <w:r w:rsidR="00175ADF" w:rsidRPr="00344463">
              <w:rPr>
                <w:bCs/>
              </w:rPr>
              <w:t>5</w:t>
            </w:r>
            <w:r w:rsidR="00175ADF" w:rsidRPr="00344463">
              <w:rPr>
                <w:bCs/>
              </w:rPr>
              <w:t>年</w:t>
            </w:r>
            <w:r w:rsidR="00416D50" w:rsidRPr="00344463">
              <w:rPr>
                <w:bCs/>
              </w:rPr>
              <w:t>下半年</w:t>
            </w:r>
            <w:r w:rsidR="00175ADF" w:rsidRPr="00344463">
              <w:rPr>
                <w:bCs/>
              </w:rPr>
              <w:t>和</w:t>
            </w:r>
            <w:r w:rsidR="00175ADF" w:rsidRPr="00344463">
              <w:rPr>
                <w:bCs/>
              </w:rPr>
              <w:t>2</w:t>
            </w:r>
            <w:r w:rsidR="00416D50" w:rsidRPr="00344463">
              <w:rPr>
                <w:bCs/>
              </w:rPr>
              <w:t>02</w:t>
            </w:r>
            <w:r w:rsidR="00175ADF" w:rsidRPr="00344463">
              <w:rPr>
                <w:bCs/>
              </w:rPr>
              <w:t>6</w:t>
            </w:r>
            <w:r w:rsidR="00175ADF" w:rsidRPr="00344463">
              <w:rPr>
                <w:bCs/>
              </w:rPr>
              <w:t>年行业均呈上升态势</w:t>
            </w:r>
          </w:p>
          <w:p w:rsidR="00625836" w:rsidRPr="00344463" w:rsidRDefault="00344463" w:rsidP="00344463">
            <w:p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Q</w:t>
            </w:r>
            <w:r w:rsidR="00175ADF" w:rsidRPr="00344463">
              <w:rPr>
                <w:b/>
              </w:rPr>
              <w:t>5</w:t>
            </w:r>
            <w:r w:rsidR="00175ADF" w:rsidRPr="00344463">
              <w:rPr>
                <w:b/>
              </w:rPr>
              <w:t>：公司目前产能利用率到什么水平？</w:t>
            </w:r>
          </w:p>
          <w:p w:rsidR="00625836" w:rsidRPr="00344463" w:rsidRDefault="00344463" w:rsidP="00344463">
            <w:pPr>
              <w:ind w:firstLine="482"/>
            </w:pPr>
            <w:r>
              <w:rPr>
                <w:rFonts w:hint="eastAsia"/>
                <w:b/>
              </w:rPr>
              <w:t>总经理</w:t>
            </w:r>
            <w:r w:rsidR="00175ADF" w:rsidRPr="00344463">
              <w:rPr>
                <w:b/>
              </w:rPr>
              <w:t>：</w:t>
            </w:r>
            <w:r w:rsidR="00175ADF" w:rsidRPr="00344463">
              <w:t>在产能利用率方面，刚刚有提到</w:t>
            </w:r>
            <w:r w:rsidR="00175ADF" w:rsidRPr="00344463">
              <w:t>8</w:t>
            </w:r>
            <w:r w:rsidR="00175ADF" w:rsidRPr="00344463">
              <w:t>英寸</w:t>
            </w:r>
            <w:proofErr w:type="gramStart"/>
            <w:r w:rsidR="00175ADF" w:rsidRPr="00344463">
              <w:t>目前受急单</w:t>
            </w:r>
            <w:proofErr w:type="gramEnd"/>
            <w:r w:rsidR="00175ADF" w:rsidRPr="00344463">
              <w:t>大单的影响，交货已经呈紧张状态。</w:t>
            </w:r>
            <w:r w:rsidR="00175ADF" w:rsidRPr="00344463">
              <w:t>12</w:t>
            </w:r>
            <w:r w:rsidR="00175ADF" w:rsidRPr="00344463">
              <w:t>英寸功率器件用外延片，个别国际客户交期至今年年底。整体产能利用率呈现高位。</w:t>
            </w:r>
            <w:r w:rsidR="00175ADF" w:rsidRPr="00344463">
              <w:t>12</w:t>
            </w:r>
            <w:r w:rsidR="00175ADF" w:rsidRPr="00344463">
              <w:t>英寸的产能利用率与</w:t>
            </w:r>
            <w:r w:rsidR="00175ADF" w:rsidRPr="00344463">
              <w:t>8</w:t>
            </w:r>
            <w:r w:rsidR="00175ADF" w:rsidRPr="00344463">
              <w:t>英寸略有不同，今年整体一直呈现逐季上升趋势。</w:t>
            </w:r>
          </w:p>
        </w:tc>
      </w:tr>
      <w:tr w:rsidR="00625836">
        <w:trPr>
          <w:trHeight w:val="172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不涉及。</w:t>
            </w:r>
          </w:p>
        </w:tc>
      </w:tr>
      <w:tr w:rsidR="00625836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175A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6" w:rsidRDefault="00625836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</w:p>
        </w:tc>
      </w:tr>
    </w:tbl>
    <w:p w:rsidR="00625836" w:rsidRDefault="00625836">
      <w:pPr>
        <w:ind w:firstLineChars="0" w:firstLine="0"/>
      </w:pPr>
    </w:p>
    <w:p w:rsidR="00FE1AFF" w:rsidRDefault="00FE1AFF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W w:w="4853" w:type="pct"/>
        <w:jc w:val="center"/>
        <w:tblLook w:val="04A0" w:firstRow="1" w:lastRow="0" w:firstColumn="1" w:lastColumn="0" w:noHBand="0" w:noVBand="1"/>
      </w:tblPr>
      <w:tblGrid>
        <w:gridCol w:w="907"/>
        <w:gridCol w:w="7370"/>
      </w:tblGrid>
      <w:tr w:rsidR="00625836" w:rsidRPr="00FE1AFF" w:rsidTr="00FE1AFF">
        <w:trPr>
          <w:trHeight w:val="336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ind w:firstLineChars="0" w:firstLine="0"/>
              <w:textAlignment w:val="center"/>
              <w:rPr>
                <w:b/>
                <w:color w:val="000000"/>
              </w:rPr>
            </w:pPr>
            <w:r w:rsidRPr="00FE1AFF">
              <w:rPr>
                <w:b/>
                <w:color w:val="000000"/>
                <w:kern w:val="0"/>
                <w:lang w:bidi="ar"/>
              </w:rPr>
              <w:lastRenderedPageBreak/>
              <w:t>附表：参会机构名单（排名不分先后）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机构名称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深圳市红石榴投资管理有限公司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漳州市国有资本运营集团有限公司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3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苏州弘沛私募基金管理有限公司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4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博</w:t>
            </w:r>
            <w:proofErr w:type="gramStart"/>
            <w:r w:rsidRPr="00FE1AFF">
              <w:rPr>
                <w:color w:val="000000"/>
                <w:kern w:val="0"/>
                <w:lang w:bidi="ar"/>
              </w:rPr>
              <w:t>宸</w:t>
            </w:r>
            <w:proofErr w:type="gramEnd"/>
            <w:r w:rsidRPr="00FE1AFF">
              <w:rPr>
                <w:color w:val="000000"/>
                <w:kern w:val="0"/>
                <w:lang w:bidi="ar"/>
              </w:rPr>
              <w:t>基金管理（深圳）有限公司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5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广东精一私募基金管理有限公司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6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新华基金管理股份有限公司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7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上海国有资产经营有限公司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8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南方基金管理股份有限公司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9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华美国际投资集团有限公司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10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国开证券股份有限公司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11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中荷人寿保险有限公司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12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统一证券投资信托股份有限公司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13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前海开源基金管理有限公司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14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中意资产管理有限责任公司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15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上海弘尚资产管理中心（有限合伙）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16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上海沣杨资产管理有限公司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17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国寿安保基金管理有限公司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18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深圳广金投资有限公司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19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深圳市远望</w:t>
            </w:r>
            <w:proofErr w:type="gramStart"/>
            <w:r w:rsidRPr="00FE1AFF">
              <w:rPr>
                <w:color w:val="000000"/>
                <w:kern w:val="0"/>
                <w:lang w:bidi="ar"/>
              </w:rPr>
              <w:t>角投资</w:t>
            </w:r>
            <w:proofErr w:type="gramEnd"/>
            <w:r w:rsidRPr="00FE1AFF">
              <w:rPr>
                <w:color w:val="000000"/>
                <w:kern w:val="0"/>
                <w:lang w:bidi="ar"/>
              </w:rPr>
              <w:t>管理企业（有限合伙）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20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五</w:t>
            </w:r>
            <w:proofErr w:type="gramStart"/>
            <w:r w:rsidRPr="00FE1AFF">
              <w:rPr>
                <w:color w:val="000000"/>
                <w:kern w:val="0"/>
                <w:lang w:bidi="ar"/>
              </w:rPr>
              <w:t>矿创新</w:t>
            </w:r>
            <w:proofErr w:type="gramEnd"/>
            <w:r w:rsidRPr="00FE1AFF">
              <w:rPr>
                <w:color w:val="000000"/>
                <w:kern w:val="0"/>
                <w:lang w:bidi="ar"/>
              </w:rPr>
              <w:t>投资有限公司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21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永安国富资产管理有限公司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22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明</w:t>
            </w:r>
            <w:proofErr w:type="gramStart"/>
            <w:r w:rsidRPr="00FE1AFF">
              <w:rPr>
                <w:color w:val="000000"/>
                <w:kern w:val="0"/>
                <w:lang w:bidi="ar"/>
              </w:rPr>
              <w:t>世</w:t>
            </w:r>
            <w:proofErr w:type="gramEnd"/>
            <w:r w:rsidRPr="00FE1AFF">
              <w:rPr>
                <w:color w:val="000000"/>
                <w:kern w:val="0"/>
                <w:lang w:bidi="ar"/>
              </w:rPr>
              <w:t>伙伴私募基金管理（珠海）有限公司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23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金建（深圳）投资管理中心（有限合伙）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24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proofErr w:type="gramStart"/>
            <w:r w:rsidRPr="00FE1AFF">
              <w:rPr>
                <w:color w:val="000000"/>
                <w:kern w:val="0"/>
                <w:lang w:bidi="ar"/>
              </w:rPr>
              <w:t>南银理财</w:t>
            </w:r>
            <w:proofErr w:type="gramEnd"/>
            <w:r w:rsidRPr="00FE1AFF">
              <w:rPr>
                <w:color w:val="000000"/>
                <w:kern w:val="0"/>
                <w:lang w:bidi="ar"/>
              </w:rPr>
              <w:t>有限责任公司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25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青岛星元投资管理有限公司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26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广东正圆私募基金管理有限公司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27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建银国际（中国）有限公司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28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复通（山东）私募投资基金管理有限公司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29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中国信达资产管理股份有限公司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30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海南恒立私募基金管理有限公司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31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proofErr w:type="gramStart"/>
            <w:r w:rsidRPr="00FE1AFF">
              <w:rPr>
                <w:color w:val="000000"/>
                <w:kern w:val="0"/>
                <w:lang w:bidi="ar"/>
              </w:rPr>
              <w:t>吉富创业</w:t>
            </w:r>
            <w:proofErr w:type="gramEnd"/>
            <w:r w:rsidRPr="00FE1AFF">
              <w:rPr>
                <w:color w:val="000000"/>
                <w:kern w:val="0"/>
                <w:lang w:bidi="ar"/>
              </w:rPr>
              <w:t>投资股份有限公司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32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北京禹田资本管理有限公司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33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苏州君榕资产管理有限公司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34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proofErr w:type="gramStart"/>
            <w:r w:rsidRPr="00FE1AFF">
              <w:rPr>
                <w:color w:val="000000"/>
                <w:kern w:val="0"/>
                <w:lang w:bidi="ar"/>
              </w:rPr>
              <w:t>瀚</w:t>
            </w:r>
            <w:proofErr w:type="gramEnd"/>
            <w:r w:rsidRPr="00FE1AFF">
              <w:rPr>
                <w:color w:val="000000"/>
                <w:kern w:val="0"/>
                <w:lang w:bidi="ar"/>
              </w:rPr>
              <w:t>川投资管理（珠海）有限公司</w:t>
            </w:r>
          </w:p>
        </w:tc>
      </w:tr>
      <w:tr w:rsidR="00625836" w:rsidRPr="00FE1AFF" w:rsidTr="00FE1AFF">
        <w:trPr>
          <w:trHeight w:val="336"/>
          <w:jc w:val="center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35</w:t>
            </w:r>
          </w:p>
        </w:tc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836" w:rsidRPr="00FE1AFF" w:rsidRDefault="00175ADF" w:rsidP="00FE1AFF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/>
              </w:rPr>
            </w:pPr>
            <w:r w:rsidRPr="00FE1AFF">
              <w:rPr>
                <w:color w:val="000000"/>
                <w:kern w:val="0"/>
                <w:lang w:bidi="ar"/>
              </w:rPr>
              <w:t>中原证券股份有限公司</w:t>
            </w:r>
          </w:p>
        </w:tc>
      </w:tr>
    </w:tbl>
    <w:p w:rsidR="00625836" w:rsidRDefault="00625836">
      <w:pPr>
        <w:ind w:firstLineChars="0" w:firstLine="0"/>
      </w:pPr>
    </w:p>
    <w:sectPr w:rsidR="00625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17" w:rsidRDefault="007C0A17">
      <w:pPr>
        <w:spacing w:line="240" w:lineRule="auto"/>
        <w:ind w:firstLine="480"/>
      </w:pPr>
      <w:r>
        <w:separator/>
      </w:r>
    </w:p>
  </w:endnote>
  <w:endnote w:type="continuationSeparator" w:id="0">
    <w:p w:rsidR="007C0A17" w:rsidRDefault="007C0A1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,Bold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36" w:rsidRDefault="0062583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36" w:rsidRDefault="00625836">
    <w:pPr>
      <w:pStyle w:val="a9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36" w:rsidRDefault="0062583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17" w:rsidRDefault="007C0A17">
      <w:pPr>
        <w:ind w:firstLine="480"/>
      </w:pPr>
      <w:r>
        <w:separator/>
      </w:r>
    </w:p>
  </w:footnote>
  <w:footnote w:type="continuationSeparator" w:id="0">
    <w:p w:rsidR="007C0A17" w:rsidRDefault="007C0A1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36" w:rsidRDefault="00625836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36" w:rsidRDefault="00625836">
    <w:pPr>
      <w:pStyle w:val="ab"/>
      <w:pBdr>
        <w:top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36" w:rsidRDefault="00625836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BB1E09"/>
    <w:multiLevelType w:val="singleLevel"/>
    <w:tmpl w:val="AC1880E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</w:abstractNum>
  <w:abstractNum w:abstractNumId="1" w15:restartNumberingAfterBreak="0">
    <w:nsid w:val="29EC7227"/>
    <w:multiLevelType w:val="multilevel"/>
    <w:tmpl w:val="29EC7227"/>
    <w:lvl w:ilvl="0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黑体" w:eastAsia="黑体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3156D7"/>
    <w:multiLevelType w:val="multilevel"/>
    <w:tmpl w:val="353156D7"/>
    <w:lvl w:ilvl="0">
      <w:start w:val="1"/>
      <w:numFmt w:val="decimal"/>
      <w:pStyle w:val="a0"/>
      <w:lvlText w:val="%1、"/>
      <w:lvlJc w:val="left"/>
      <w:pPr>
        <w:ind w:left="420" w:hanging="420"/>
      </w:pPr>
      <w:rPr>
        <w:rFonts w:ascii="楷体_GB2312" w:eastAsia="楷体_GB2312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E4"/>
    <w:rsid w:val="BA473294"/>
    <w:rsid w:val="00036FFD"/>
    <w:rsid w:val="000C4589"/>
    <w:rsid w:val="000D3F69"/>
    <w:rsid w:val="0010400F"/>
    <w:rsid w:val="001509A2"/>
    <w:rsid w:val="00174460"/>
    <w:rsid w:val="00175ADF"/>
    <w:rsid w:val="001C67C2"/>
    <w:rsid w:val="001E27CF"/>
    <w:rsid w:val="001E6EB8"/>
    <w:rsid w:val="0021539C"/>
    <w:rsid w:val="00282F34"/>
    <w:rsid w:val="002A00E4"/>
    <w:rsid w:val="002B53D2"/>
    <w:rsid w:val="002C05FE"/>
    <w:rsid w:val="002C0B51"/>
    <w:rsid w:val="002C41DD"/>
    <w:rsid w:val="002F390C"/>
    <w:rsid w:val="002F68C4"/>
    <w:rsid w:val="00317D4B"/>
    <w:rsid w:val="0032520A"/>
    <w:rsid w:val="00344463"/>
    <w:rsid w:val="003651F3"/>
    <w:rsid w:val="00374FEC"/>
    <w:rsid w:val="00381F51"/>
    <w:rsid w:val="00396C6E"/>
    <w:rsid w:val="003A73CF"/>
    <w:rsid w:val="003B2E6D"/>
    <w:rsid w:val="003B4CB4"/>
    <w:rsid w:val="003C1B41"/>
    <w:rsid w:val="003D3177"/>
    <w:rsid w:val="003F46C3"/>
    <w:rsid w:val="004006B3"/>
    <w:rsid w:val="0040411D"/>
    <w:rsid w:val="004134D2"/>
    <w:rsid w:val="00416D50"/>
    <w:rsid w:val="00496223"/>
    <w:rsid w:val="004C77AD"/>
    <w:rsid w:val="004D1922"/>
    <w:rsid w:val="004D3B91"/>
    <w:rsid w:val="004D473C"/>
    <w:rsid w:val="00503C16"/>
    <w:rsid w:val="005162E4"/>
    <w:rsid w:val="005325EC"/>
    <w:rsid w:val="00562841"/>
    <w:rsid w:val="00567232"/>
    <w:rsid w:val="005E4691"/>
    <w:rsid w:val="006171EF"/>
    <w:rsid w:val="00625836"/>
    <w:rsid w:val="00650847"/>
    <w:rsid w:val="00670FF1"/>
    <w:rsid w:val="006735A3"/>
    <w:rsid w:val="00683039"/>
    <w:rsid w:val="00717131"/>
    <w:rsid w:val="00733FA5"/>
    <w:rsid w:val="00734C80"/>
    <w:rsid w:val="007417F7"/>
    <w:rsid w:val="00755394"/>
    <w:rsid w:val="00772E92"/>
    <w:rsid w:val="00774C9A"/>
    <w:rsid w:val="0079707D"/>
    <w:rsid w:val="007C0A17"/>
    <w:rsid w:val="00825D81"/>
    <w:rsid w:val="00845C55"/>
    <w:rsid w:val="00860E1C"/>
    <w:rsid w:val="00875B1D"/>
    <w:rsid w:val="00896D77"/>
    <w:rsid w:val="008D6CD3"/>
    <w:rsid w:val="008F6373"/>
    <w:rsid w:val="00901059"/>
    <w:rsid w:val="00947357"/>
    <w:rsid w:val="009A72E4"/>
    <w:rsid w:val="009F5FB0"/>
    <w:rsid w:val="00A40371"/>
    <w:rsid w:val="00A448F9"/>
    <w:rsid w:val="00A6153D"/>
    <w:rsid w:val="00A763B8"/>
    <w:rsid w:val="00A92CF3"/>
    <w:rsid w:val="00A93CAD"/>
    <w:rsid w:val="00AA1BA7"/>
    <w:rsid w:val="00AC0EC1"/>
    <w:rsid w:val="00B008A7"/>
    <w:rsid w:val="00B22358"/>
    <w:rsid w:val="00B4309F"/>
    <w:rsid w:val="00B50AC6"/>
    <w:rsid w:val="00B73039"/>
    <w:rsid w:val="00B915B6"/>
    <w:rsid w:val="00BE0F12"/>
    <w:rsid w:val="00C40164"/>
    <w:rsid w:val="00C47D91"/>
    <w:rsid w:val="00C74EA8"/>
    <w:rsid w:val="00C83546"/>
    <w:rsid w:val="00CC3A33"/>
    <w:rsid w:val="00CE38DB"/>
    <w:rsid w:val="00D374BC"/>
    <w:rsid w:val="00D43AD2"/>
    <w:rsid w:val="00D46F26"/>
    <w:rsid w:val="00D57E15"/>
    <w:rsid w:val="00D85E5F"/>
    <w:rsid w:val="00D94E70"/>
    <w:rsid w:val="00DB3B76"/>
    <w:rsid w:val="00DB609C"/>
    <w:rsid w:val="00DE05CA"/>
    <w:rsid w:val="00DE6BDD"/>
    <w:rsid w:val="00DF409A"/>
    <w:rsid w:val="00E4567B"/>
    <w:rsid w:val="00E66802"/>
    <w:rsid w:val="00E72DD9"/>
    <w:rsid w:val="00E772CF"/>
    <w:rsid w:val="00E82FA2"/>
    <w:rsid w:val="00E948B4"/>
    <w:rsid w:val="00E962A9"/>
    <w:rsid w:val="00EA18E6"/>
    <w:rsid w:val="00EC472F"/>
    <w:rsid w:val="00ED3EE7"/>
    <w:rsid w:val="00ED46DC"/>
    <w:rsid w:val="00EE2EBB"/>
    <w:rsid w:val="00F44F2E"/>
    <w:rsid w:val="00FB0F7B"/>
    <w:rsid w:val="00FC216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B7FB0-FC30-4C74-AD8A-AEA7BEF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31">
    <w:name w:val="toc 3"/>
    <w:basedOn w:val="a1"/>
    <w:next w:val="a1"/>
    <w:autoRedefine/>
    <w:uiPriority w:val="39"/>
    <w:qFormat/>
    <w:pPr>
      <w:tabs>
        <w:tab w:val="left" w:pos="1020"/>
        <w:tab w:val="left" w:pos="1680"/>
        <w:tab w:val="right" w:leader="dot" w:pos="8450"/>
      </w:tabs>
      <w:spacing w:line="500" w:lineRule="exact"/>
      <w:ind w:firstLine="480"/>
    </w:pPr>
    <w:rPr>
      <w:rFonts w:eastAsia="楷体_GB2312"/>
    </w:rPr>
  </w:style>
  <w:style w:type="paragraph" w:styleId="a7">
    <w:name w:val="Balloon Text"/>
    <w:basedOn w:val="a1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1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1"/>
    <w:link w:val="ac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8450"/>
      </w:tabs>
      <w:jc w:val="right"/>
    </w:pPr>
    <w:rPr>
      <w:rFonts w:ascii="楷体_GB2312" w:eastAsia="楷体_GB2312"/>
      <w:b/>
    </w:rPr>
  </w:style>
  <w:style w:type="paragraph" w:styleId="21">
    <w:name w:val="toc 2"/>
    <w:basedOn w:val="a1"/>
    <w:next w:val="a1"/>
    <w:autoRedefine/>
    <w:uiPriority w:val="39"/>
    <w:qFormat/>
    <w:pPr>
      <w:tabs>
        <w:tab w:val="right" w:leader="dot" w:pos="8450"/>
      </w:tabs>
      <w:spacing w:line="500" w:lineRule="exact"/>
      <w:ind w:firstLine="480"/>
    </w:pPr>
    <w:rPr>
      <w:rFonts w:ascii="黑体" w:eastAsia="黑体" w:hAnsi="黑体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page number"/>
    <w:basedOn w:val="a2"/>
    <w:uiPriority w:val="99"/>
    <w:semiHidden/>
    <w:unhideWhenUsed/>
    <w:qFormat/>
  </w:style>
  <w:style w:type="character" w:styleId="af0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f1">
    <w:name w:val="标题一"/>
    <w:basedOn w:val="a1"/>
    <w:link w:val="Char"/>
    <w:qFormat/>
    <w:pPr>
      <w:autoSpaceDE w:val="0"/>
      <w:autoSpaceDN w:val="0"/>
      <w:adjustRightInd w:val="0"/>
      <w:spacing w:beforeLines="100" w:before="312" w:afterLines="50" w:after="156"/>
      <w:jc w:val="center"/>
    </w:pPr>
    <w:rPr>
      <w:rFonts w:ascii="黑体" w:eastAsia="黑体" w:hAnsi="黑体" w:cs="ArialUnicodeMS,Bold"/>
      <w:b/>
      <w:bCs/>
      <w:kern w:val="0"/>
      <w:sz w:val="30"/>
      <w:szCs w:val="30"/>
    </w:rPr>
  </w:style>
  <w:style w:type="character" w:customStyle="1" w:styleId="Char">
    <w:name w:val="标题一 Char"/>
    <w:link w:val="af1"/>
    <w:qFormat/>
    <w:rPr>
      <w:rFonts w:ascii="黑体" w:eastAsia="黑体" w:hAnsi="黑体" w:cs="ArialUnicodeMS,Bold"/>
      <w:b/>
      <w:bCs/>
      <w:sz w:val="30"/>
      <w:szCs w:val="30"/>
    </w:rPr>
  </w:style>
  <w:style w:type="paragraph" w:customStyle="1" w:styleId="a">
    <w:name w:val="标题二"/>
    <w:basedOn w:val="2"/>
    <w:link w:val="Char0"/>
    <w:qFormat/>
    <w:pPr>
      <w:numPr>
        <w:numId w:val="1"/>
      </w:numPr>
      <w:tabs>
        <w:tab w:val="left" w:pos="567"/>
      </w:tabs>
      <w:spacing w:beforeLines="50" w:before="156" w:afterLines="50" w:after="156" w:line="240" w:lineRule="auto"/>
    </w:pPr>
    <w:rPr>
      <w:rFonts w:cs="Times New Roman"/>
      <w:sz w:val="28"/>
      <w:szCs w:val="28"/>
      <w:lang w:val="zh-CN"/>
    </w:rPr>
  </w:style>
  <w:style w:type="character" w:customStyle="1" w:styleId="Char0">
    <w:name w:val="标题二 Char"/>
    <w:link w:val="a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character" w:customStyle="1" w:styleId="20">
    <w:name w:val="标题 2 字符"/>
    <w:link w:val="2"/>
    <w:qFormat/>
    <w:rPr>
      <w:rFonts w:ascii="Arial" w:eastAsia="黑体" w:hAnsi="Arial" w:cstheme="majorBidi"/>
      <w:b/>
      <w:bCs/>
      <w:kern w:val="2"/>
      <w:sz w:val="32"/>
      <w:szCs w:val="32"/>
    </w:rPr>
  </w:style>
  <w:style w:type="paragraph" w:customStyle="1" w:styleId="af2">
    <w:name w:val="标题四"/>
    <w:basedOn w:val="a"/>
    <w:link w:val="Char1"/>
    <w:qFormat/>
    <w:pPr>
      <w:numPr>
        <w:numId w:val="0"/>
      </w:numPr>
      <w:tabs>
        <w:tab w:val="left" w:pos="851"/>
      </w:tabs>
    </w:pPr>
  </w:style>
  <w:style w:type="character" w:customStyle="1" w:styleId="Char1">
    <w:name w:val="标题四 Char"/>
    <w:basedOn w:val="Char0"/>
    <w:link w:val="af2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paragraph" w:customStyle="1" w:styleId="a0">
    <w:name w:val="标题三"/>
    <w:basedOn w:val="a1"/>
    <w:link w:val="Char2"/>
    <w:qFormat/>
    <w:pPr>
      <w:numPr>
        <w:numId w:val="2"/>
      </w:numPr>
      <w:tabs>
        <w:tab w:val="left" w:pos="993"/>
      </w:tabs>
      <w:autoSpaceDE w:val="0"/>
      <w:autoSpaceDN w:val="0"/>
      <w:adjustRightInd w:val="0"/>
      <w:spacing w:beforeLines="50" w:before="156"/>
    </w:pPr>
    <w:rPr>
      <w:rFonts w:ascii="楷体_GB2312" w:eastAsia="楷体_GB2312"/>
      <w:b/>
      <w:kern w:val="0"/>
      <w:sz w:val="28"/>
      <w:szCs w:val="28"/>
      <w:lang w:val="zh-CN"/>
    </w:rPr>
  </w:style>
  <w:style w:type="character" w:customStyle="1" w:styleId="Char2">
    <w:name w:val="标题三 Char"/>
    <w:link w:val="a0"/>
    <w:qFormat/>
    <w:rPr>
      <w:rFonts w:ascii="楷体_GB2312" w:eastAsia="楷体_GB2312"/>
      <w:b/>
      <w:sz w:val="28"/>
      <w:szCs w:val="28"/>
      <w:lang w:val="zh-CN" w:eastAsia="zh-CN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2"/>
    <w:link w:val="3"/>
    <w:qFormat/>
    <w:rPr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zh-CN"/>
    </w:rPr>
  </w:style>
  <w:style w:type="character" w:customStyle="1" w:styleId="aa">
    <w:name w:val="页脚 字符"/>
    <w:basedOn w:val="a2"/>
    <w:link w:val="a9"/>
    <w:qFormat/>
    <w:rPr>
      <w:kern w:val="2"/>
      <w:sz w:val="18"/>
      <w:szCs w:val="24"/>
    </w:rPr>
  </w:style>
  <w:style w:type="character" w:customStyle="1" w:styleId="ac">
    <w:name w:val="页眉 字符"/>
    <w:basedOn w:val="a2"/>
    <w:link w:val="ab"/>
    <w:qFormat/>
    <w:rPr>
      <w:kern w:val="2"/>
      <w:sz w:val="18"/>
      <w:szCs w:val="24"/>
    </w:rPr>
  </w:style>
  <w:style w:type="paragraph" w:styleId="af3">
    <w:name w:val="List Paragraph"/>
    <w:basedOn w:val="a1"/>
    <w:uiPriority w:val="34"/>
    <w:qFormat/>
    <w:pPr>
      <w:ind w:firstLine="420"/>
    </w:pPr>
  </w:style>
  <w:style w:type="character" w:customStyle="1" w:styleId="a6">
    <w:name w:val="批注文字 字符"/>
    <w:basedOn w:val="a2"/>
    <w:link w:val="a5"/>
    <w:uiPriority w:val="99"/>
    <w:semiHidden/>
    <w:qFormat/>
    <w:rPr>
      <w:kern w:val="2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qFormat/>
    <w:rPr>
      <w:b/>
      <w:bCs/>
      <w:kern w:val="2"/>
      <w:sz w:val="24"/>
      <w:szCs w:val="24"/>
    </w:rPr>
  </w:style>
  <w:style w:type="character" w:customStyle="1" w:styleId="a8">
    <w:name w:val="批注框文本 字符"/>
    <w:basedOn w:val="a2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1404</Words>
  <Characters>1757</Characters>
  <Application>Microsoft Office Word</Application>
  <DocSecurity>0</DocSecurity>
  <Lines>219</Lines>
  <Paragraphs>197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zhaoyinxiang</dc:creator>
  <cp:lastModifiedBy>zhaoyinxiang</cp:lastModifiedBy>
  <cp:revision>13</cp:revision>
  <cp:lastPrinted>2024-09-02T15:47:00Z</cp:lastPrinted>
  <dcterms:created xsi:type="dcterms:W3CDTF">2024-09-02T14:08:00Z</dcterms:created>
  <dcterms:modified xsi:type="dcterms:W3CDTF">2025-08-06T08:34:00Z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47F44B2F68001CCC9BFE92689799B280_42</vt:lpwstr>
  </property>
</Properties>
</file>