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sans-serif" w:hAnsi="sans-serif" w:eastAsia="sans-serif" w:cs="sans-serif"/>
          <w:sz w:val="28"/>
          <w:szCs w:val="28"/>
          <w:shd w:val="clear" w:color="auto" w:fill="FFFFFF"/>
        </w:rPr>
      </w:pPr>
      <w:r>
        <w:rPr>
          <w:rFonts w:ascii="sans-serif" w:hAnsi="sans-serif" w:eastAsia="sans-serif" w:cs="sans-serif"/>
          <w:b/>
          <w:bCs/>
          <w:sz w:val="32"/>
          <w:szCs w:val="32"/>
          <w:shd w:val="clear" w:color="auto" w:fill="FFFFFF"/>
        </w:rPr>
        <w:t>投资者关系活动记录表</w:t>
      </w:r>
    </w:p>
    <w:p>
      <w:pPr>
        <w:jc w:val="left"/>
        <w:rPr>
          <w:rFonts w:hint="default" w:ascii="Times New Roman" w:hAnsi="Times New Roman" w:eastAsia="宋体" w:cs="Times New Roman"/>
          <w:sz w:val="24"/>
          <w:shd w:val="clear" w:color="auto" w:fill="FFFFFF"/>
          <w:lang w:val="en-US" w:eastAsia="zh-CN"/>
        </w:rPr>
      </w:pPr>
      <w:r>
        <w:rPr>
          <w:rFonts w:hint="eastAsia" w:ascii="sans-serif" w:hAnsi="sans-serif" w:eastAsia="sans-serif" w:cs="sans-serif"/>
          <w:sz w:val="24"/>
          <w:shd w:val="clear" w:color="auto" w:fill="FFFFFF"/>
        </w:rPr>
        <w:t>股票名称：</w:t>
      </w:r>
      <w:r>
        <w:rPr>
          <w:rFonts w:hint="eastAsia" w:ascii="sans-serif" w:hAnsi="sans-serif" w:eastAsia="宋体" w:cs="sans-serif"/>
          <w:sz w:val="24"/>
          <w:shd w:val="clear" w:color="auto" w:fill="FFFFFF"/>
        </w:rPr>
        <w:t xml:space="preserve">鼎通科技           </w:t>
      </w:r>
      <w:r>
        <w:rPr>
          <w:rFonts w:hint="eastAsia" w:ascii="sans-serif" w:hAnsi="sans-serif" w:eastAsia="sans-serif" w:cs="sans-serif"/>
          <w:sz w:val="24"/>
          <w:shd w:val="clear" w:color="auto" w:fill="FFFFFF"/>
        </w:rPr>
        <w:t>股票代码：</w:t>
      </w:r>
      <w:r>
        <w:rPr>
          <w:rFonts w:ascii="Times New Roman" w:hAnsi="Times New Roman" w:eastAsia="宋体" w:cs="Times New Roman"/>
          <w:sz w:val="24"/>
          <w:shd w:val="clear" w:color="auto" w:fill="FFFFFF"/>
        </w:rPr>
        <w:t xml:space="preserve">688668 </w:t>
      </w:r>
      <w:r>
        <w:rPr>
          <w:rFonts w:hint="eastAsia" w:ascii="Times New Roman" w:hAnsi="Times New Roman" w:eastAsia="宋体" w:cs="Times New Roman"/>
          <w:sz w:val="24"/>
          <w:shd w:val="clear" w:color="auto" w:fill="FFFFFF"/>
        </w:rPr>
        <w:t xml:space="preserve">       </w:t>
      </w:r>
      <w:r>
        <w:rPr>
          <w:rFonts w:ascii="Times New Roman" w:hAnsi="Times New Roman" w:eastAsia="宋体" w:cs="Times New Roman"/>
          <w:sz w:val="24"/>
          <w:shd w:val="clear" w:color="auto" w:fill="FFFFFF"/>
        </w:rPr>
        <w:t xml:space="preserve"> </w:t>
      </w:r>
      <w:r>
        <w:rPr>
          <w:rFonts w:hint="eastAsia" w:ascii="sans-serif" w:hAnsi="sans-serif" w:eastAsia="sans-serif" w:cs="sans-serif"/>
          <w:sz w:val="24"/>
          <w:shd w:val="clear" w:color="auto" w:fill="FFFFFF"/>
        </w:rPr>
        <w:t>编号：</w:t>
      </w:r>
      <w:r>
        <w:rPr>
          <w:rFonts w:hint="default" w:ascii="Times New Roman" w:hAnsi="Times New Roman" w:eastAsia="宋体" w:cs="Times New Roman"/>
          <w:sz w:val="24"/>
          <w:shd w:val="clear" w:color="auto" w:fill="FFFFFF"/>
          <w:lang w:val="en-US" w:eastAsia="zh-CN"/>
        </w:rPr>
        <w:t>202</w:t>
      </w:r>
      <w:r>
        <w:rPr>
          <w:rFonts w:hint="eastAsia" w:ascii="Times New Roman" w:hAnsi="Times New Roman" w:eastAsia="宋体" w:cs="Times New Roman"/>
          <w:sz w:val="24"/>
          <w:shd w:val="clear" w:color="auto" w:fill="FFFFFF"/>
          <w:lang w:val="en-US" w:eastAsia="zh-CN"/>
        </w:rPr>
        <w:t>5</w:t>
      </w:r>
      <w:r>
        <w:rPr>
          <w:rFonts w:hint="default" w:ascii="Times New Roman" w:hAnsi="Times New Roman" w:eastAsia="宋体" w:cs="Times New Roman"/>
          <w:sz w:val="24"/>
          <w:shd w:val="clear" w:color="auto" w:fill="FFFFFF"/>
          <w:lang w:val="en-US" w:eastAsia="zh-CN"/>
        </w:rPr>
        <w:t>-00</w:t>
      </w:r>
      <w:r>
        <w:rPr>
          <w:rFonts w:hint="eastAsia" w:ascii="Times New Roman" w:hAnsi="Times New Roman" w:eastAsia="宋体" w:cs="Times New Roman"/>
          <w:sz w:val="24"/>
          <w:shd w:val="clear" w:color="auto" w:fill="FFFFFF"/>
          <w:lang w:val="en-US" w:eastAsia="zh-CN"/>
        </w:rPr>
        <w:t>6</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2304" w:type="dxa"/>
            <w:vAlign w:val="center"/>
          </w:tcPr>
          <w:p>
            <w:pPr>
              <w:jc w:val="center"/>
              <w:rPr>
                <w:rFonts w:ascii="sans-serif" w:hAnsi="sans-serif" w:eastAsia="sans-serif" w:cs="sans-serif"/>
                <w:szCs w:val="21"/>
                <w:shd w:val="clear" w:color="auto" w:fill="FFFFFF"/>
              </w:rPr>
            </w:pPr>
            <w:r>
              <w:rPr>
                <w:rFonts w:hint="eastAsia" w:ascii="Times New Roman" w:hAnsi="Times New Roman" w:eastAsia="宋体" w:cs="宋体"/>
                <w:b w:val="0"/>
                <w:bCs w:val="0"/>
                <w:sz w:val="24"/>
                <w:szCs w:val="24"/>
                <w:shd w:val="clear" w:color="auto" w:fill="FFFFFF"/>
                <w:lang w:val="en-US" w:eastAsia="zh-CN"/>
              </w:rPr>
              <w:t>投资者关系活动类别</w:t>
            </w:r>
          </w:p>
        </w:tc>
        <w:tc>
          <w:tcPr>
            <w:tcW w:w="6218" w:type="dxa"/>
            <w:vAlign w:val="center"/>
          </w:tcPr>
          <w:p>
            <w:pPr>
              <w:jc w:val="left"/>
              <w:rPr>
                <w:rFonts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sym w:font="Wingdings 2" w:char="00A3"/>
            </w:r>
            <w:r>
              <w:rPr>
                <w:rFonts w:hint="eastAsia" w:asciiTheme="minorEastAsia" w:hAnsiTheme="minorEastAsia" w:cstheme="minorEastAsia"/>
                <w:szCs w:val="21"/>
                <w:shd w:val="clear" w:color="auto" w:fill="FFFFFF"/>
              </w:rPr>
              <w:t xml:space="preserve">特定对象调研     </w:t>
            </w:r>
            <w:r>
              <w:rPr>
                <w:rFonts w:hint="eastAsia" w:asciiTheme="minorEastAsia" w:hAnsiTheme="minorEastAsia" w:cstheme="minorEastAsia"/>
                <w:szCs w:val="21"/>
                <w:shd w:val="clear" w:color="auto" w:fill="FFFFFF"/>
              </w:rPr>
              <w:sym w:font="Wingdings 2" w:char="00A3"/>
            </w:r>
            <w:r>
              <w:rPr>
                <w:rFonts w:hint="eastAsia" w:asciiTheme="minorEastAsia" w:hAnsiTheme="minorEastAsia" w:cstheme="minorEastAsia"/>
                <w:szCs w:val="21"/>
                <w:shd w:val="clear" w:color="auto" w:fill="FFFFFF"/>
              </w:rPr>
              <w:t xml:space="preserve">分析师会议    </w:t>
            </w:r>
            <w:r>
              <w:rPr>
                <w:rFonts w:hint="eastAsia" w:asciiTheme="minorEastAsia" w:hAnsiTheme="minorEastAsia" w:cstheme="minorEastAsia"/>
                <w:szCs w:val="21"/>
                <w:shd w:val="clear" w:color="auto" w:fill="FFFFFF"/>
              </w:rPr>
              <w:sym w:font="Wingdings 2" w:char="00A3"/>
            </w:r>
            <w:r>
              <w:rPr>
                <w:rFonts w:hint="eastAsia" w:asciiTheme="minorEastAsia" w:hAnsiTheme="minorEastAsia" w:cstheme="minorEastAsia"/>
                <w:szCs w:val="21"/>
                <w:shd w:val="clear" w:color="auto" w:fill="FFFFFF"/>
                <w:lang w:eastAsia="zh-CN"/>
              </w:rPr>
              <w:t>电话会议</w:t>
            </w:r>
          </w:p>
          <w:p>
            <w:pPr>
              <w:jc w:val="left"/>
              <w:rPr>
                <w:rFonts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sym w:font="Wingdings 2" w:char="00A3"/>
            </w:r>
            <w:r>
              <w:rPr>
                <w:rFonts w:hint="eastAsia" w:asciiTheme="minorEastAsia" w:hAnsiTheme="minorEastAsia" w:cstheme="minorEastAsia"/>
                <w:szCs w:val="21"/>
                <w:shd w:val="clear" w:color="auto" w:fill="FFFFFF"/>
              </w:rPr>
              <w:t xml:space="preserve">媒体采访         </w:t>
            </w:r>
            <w:r>
              <w:rPr>
                <w:rFonts w:hint="eastAsia" w:asciiTheme="minorEastAsia" w:hAnsiTheme="minorEastAsia" w:cstheme="minorEastAsia"/>
                <w:szCs w:val="21"/>
                <w:shd w:val="clear" w:color="auto" w:fill="FFFFFF"/>
              </w:rPr>
              <w:sym w:font="Wingdings 2" w:char="0052"/>
            </w:r>
            <w:r>
              <w:rPr>
                <w:rFonts w:hint="eastAsia" w:asciiTheme="minorEastAsia" w:hAnsiTheme="minorEastAsia" w:cstheme="minorEastAsia"/>
                <w:szCs w:val="21"/>
                <w:shd w:val="clear" w:color="auto" w:fill="FFFFFF"/>
              </w:rPr>
              <w:t xml:space="preserve">业绩说明会    </w:t>
            </w:r>
            <w:r>
              <w:rPr>
                <w:rFonts w:hint="eastAsia" w:asciiTheme="minorEastAsia" w:hAnsiTheme="minorEastAsia" w:cstheme="minorEastAsia"/>
                <w:szCs w:val="21"/>
                <w:shd w:val="clear" w:color="auto" w:fill="FFFFFF"/>
              </w:rPr>
              <w:sym w:font="Wingdings 2" w:char="00A3"/>
            </w:r>
            <w:r>
              <w:rPr>
                <w:rFonts w:hint="eastAsia" w:asciiTheme="minorEastAsia" w:hAnsiTheme="minorEastAsia" w:cstheme="minorEastAsia"/>
                <w:szCs w:val="21"/>
                <w:shd w:val="clear" w:color="auto" w:fill="FFFFFF"/>
              </w:rPr>
              <w:t xml:space="preserve">新闻发布会  </w:t>
            </w:r>
          </w:p>
          <w:p>
            <w:pPr>
              <w:rPr>
                <w:rFonts w:hint="eastAsia" w:ascii="sans-serif" w:hAnsi="sans-serif" w:eastAsia="宋体" w:cs="sans-serif"/>
                <w:sz w:val="24"/>
                <w:u w:val="single"/>
                <w:shd w:val="clear" w:color="auto" w:fill="FFFFFF"/>
              </w:rPr>
            </w:pPr>
            <w:r>
              <w:rPr>
                <w:rFonts w:hint="eastAsia" w:asciiTheme="minorEastAsia" w:hAnsiTheme="minorEastAsia" w:cstheme="minorEastAsia"/>
                <w:szCs w:val="21"/>
                <w:shd w:val="clear" w:color="auto" w:fill="FFFFFF"/>
              </w:rPr>
              <w:sym w:font="Wingdings 2" w:char="00A3"/>
            </w:r>
            <w:r>
              <w:rPr>
                <w:rFonts w:hint="eastAsia" w:asciiTheme="minorEastAsia" w:hAnsiTheme="minorEastAsia" w:cstheme="minorEastAsia"/>
                <w:szCs w:val="21"/>
                <w:shd w:val="clear" w:color="auto" w:fill="FFFFFF"/>
              </w:rPr>
              <w:t xml:space="preserve">路演活动         </w:t>
            </w:r>
            <w:r>
              <w:rPr>
                <w:rFonts w:hint="eastAsia" w:asciiTheme="minorEastAsia" w:hAnsiTheme="minorEastAsia" w:cstheme="minorEastAsia"/>
                <w:szCs w:val="21"/>
                <w:shd w:val="clear" w:color="auto" w:fill="FFFFFF"/>
              </w:rPr>
              <w:sym w:font="Wingdings 2" w:char="00A3"/>
            </w:r>
            <w:r>
              <w:rPr>
                <w:rFonts w:hint="eastAsia" w:asciiTheme="minorEastAsia" w:hAnsiTheme="minorEastAsia" w:cstheme="minorEastAsia"/>
                <w:szCs w:val="21"/>
                <w:shd w:val="clear" w:color="auto" w:fill="FFFFFF"/>
              </w:rPr>
              <w:t xml:space="preserve">现场参观      </w:t>
            </w:r>
            <w:r>
              <w:rPr>
                <w:rFonts w:hint="eastAsia" w:asciiTheme="minorEastAsia" w:hAnsiTheme="minorEastAsia" w:cstheme="minorEastAsia"/>
                <w:szCs w:val="21"/>
                <w:shd w:val="clear" w:color="auto" w:fill="FFFFFF"/>
              </w:rPr>
              <w:sym w:font="Wingdings 2" w:char="00A3"/>
            </w:r>
            <w:r>
              <w:rPr>
                <w:rFonts w:hint="eastAsia" w:asciiTheme="minorEastAsia" w:hAnsiTheme="minorEastAsia" w:cstheme="minorEastAsia"/>
                <w:szCs w:val="21"/>
                <w:shd w:val="clear" w:color="auto" w:fill="FFFFFF"/>
              </w:rPr>
              <w:t>其他</w:t>
            </w:r>
            <w:r>
              <w:rPr>
                <w:rFonts w:hint="eastAsia" w:asciiTheme="minorEastAsia" w:hAnsiTheme="minorEastAsia" w:cstheme="minorEastAsia"/>
                <w:szCs w:val="21"/>
                <w:u w:val="single"/>
                <w:shd w:val="clear" w:color="auto" w:fill="FFFFFF"/>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2304" w:type="dxa"/>
            <w:vAlign w:val="center"/>
          </w:tcPr>
          <w:p>
            <w:pPr>
              <w:jc w:val="center"/>
              <w:rPr>
                <w:rFonts w:ascii="sans-serif" w:hAnsi="sans-serif" w:eastAsia="sans-serif" w:cs="sans-serif"/>
                <w:szCs w:val="21"/>
                <w:shd w:val="clear" w:color="auto" w:fill="FFFFFF"/>
              </w:rPr>
            </w:pPr>
            <w:r>
              <w:rPr>
                <w:rFonts w:hint="eastAsia" w:ascii="Times New Roman" w:hAnsi="Times New Roman" w:eastAsia="宋体" w:cs="宋体"/>
                <w:b w:val="0"/>
                <w:bCs w:val="0"/>
                <w:sz w:val="24"/>
                <w:szCs w:val="24"/>
                <w:shd w:val="clear" w:color="auto" w:fill="FFFFFF"/>
                <w:lang w:val="en-US" w:eastAsia="zh-CN"/>
              </w:rPr>
              <w:t>参与单位名称及人员姓名</w:t>
            </w:r>
          </w:p>
        </w:tc>
        <w:tc>
          <w:tcPr>
            <w:tcW w:w="6218" w:type="dxa"/>
            <w:vAlign w:val="center"/>
          </w:tcPr>
          <w:p>
            <w:pPr>
              <w:rPr>
                <w:rFonts w:hint="eastAsia" w:ascii="宋体" w:hAnsi="宋体" w:eastAsia="宋体" w:cs="宋体"/>
                <w:b/>
                <w:bCs/>
                <w:sz w:val="24"/>
                <w:shd w:val="clear" w:color="auto" w:fill="FFFFFF"/>
                <w:lang w:val="en-US" w:eastAsia="zh-CN"/>
              </w:rPr>
            </w:pPr>
            <w:r>
              <w:rPr>
                <w:rFonts w:hint="eastAsia" w:ascii="宋体" w:hAnsi="宋体" w:eastAsia="宋体" w:cs="宋体"/>
                <w:b/>
                <w:bCs/>
                <w:sz w:val="24"/>
                <w:shd w:val="clear" w:color="auto" w:fill="FFFFFF"/>
                <w:lang w:val="en-US" w:eastAsia="zh-CN"/>
              </w:rPr>
              <w:t>2025年8月11日 15:00-16:00</w:t>
            </w:r>
          </w:p>
          <w:p>
            <w:pPr>
              <w:rPr>
                <w:rFonts w:hint="default" w:ascii="Times New Roman" w:hAnsi="Times New Roman" w:eastAsia="宋体" w:cs="宋体"/>
                <w:b w:val="0"/>
                <w:bCs w:val="0"/>
                <w:sz w:val="24"/>
                <w:szCs w:val="24"/>
                <w:shd w:val="clear" w:color="auto" w:fill="FFFFFF"/>
                <w:lang w:val="en-US" w:eastAsia="zh-CN"/>
              </w:rPr>
            </w:pPr>
            <w:r>
              <w:rPr>
                <w:rFonts w:hint="default" w:ascii="宋体" w:hAnsi="宋体" w:eastAsia="宋体" w:cs="宋体"/>
                <w:sz w:val="24"/>
                <w:szCs w:val="24"/>
                <w:shd w:val="clear" w:color="auto" w:fill="FFFFFF"/>
                <w:lang w:val="en-US" w:eastAsia="zh-CN"/>
              </w:rPr>
              <w:t>全体通过网络互动方式参与</w:t>
            </w:r>
            <w:r>
              <w:rPr>
                <w:rFonts w:hint="eastAsia" w:ascii="宋体" w:hAnsi="宋体" w:eastAsia="宋体" w:cs="宋体"/>
                <w:sz w:val="24"/>
                <w:szCs w:val="24"/>
                <w:shd w:val="clear" w:color="auto" w:fill="FFFFFF"/>
                <w:lang w:val="en-US" w:eastAsia="zh-CN"/>
              </w:rPr>
              <w:t>鼎通科技</w:t>
            </w:r>
            <w:r>
              <w:rPr>
                <w:rFonts w:hint="eastAsia" w:ascii="宋体" w:hAnsi="宋体" w:eastAsia="宋体" w:cs="宋体"/>
                <w:b w:val="0"/>
                <w:bCs w:val="0"/>
                <w:sz w:val="24"/>
                <w:shd w:val="clear" w:color="auto" w:fill="FFFFFF"/>
                <w:lang w:val="en-US" w:eastAsia="zh-CN"/>
              </w:rPr>
              <w:t>2025年半年度业绩说明会的投资者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04" w:type="dxa"/>
            <w:vAlign w:val="center"/>
          </w:tcPr>
          <w:p>
            <w:pPr>
              <w:jc w:val="center"/>
              <w:rPr>
                <w:rFonts w:ascii="sans-serif" w:hAnsi="sans-serif" w:eastAsia="sans-serif" w:cs="sans-serif"/>
                <w:szCs w:val="21"/>
                <w:shd w:val="clear" w:color="auto" w:fill="FFFFFF"/>
              </w:rPr>
            </w:pPr>
            <w:r>
              <w:rPr>
                <w:rFonts w:hint="eastAsia" w:ascii="Times New Roman" w:hAnsi="Times New Roman" w:eastAsia="宋体" w:cs="宋体"/>
                <w:b w:val="0"/>
                <w:bCs w:val="0"/>
                <w:sz w:val="24"/>
                <w:szCs w:val="24"/>
                <w:shd w:val="clear" w:color="auto" w:fill="FFFFFF"/>
                <w:lang w:val="en-US" w:eastAsia="zh-CN"/>
              </w:rPr>
              <w:t>时间</w:t>
            </w:r>
          </w:p>
        </w:tc>
        <w:tc>
          <w:tcPr>
            <w:tcW w:w="6218" w:type="dxa"/>
            <w:vAlign w:val="center"/>
          </w:tcPr>
          <w:p>
            <w:pPr>
              <w:rPr>
                <w:rFonts w:hint="eastAsia" w:ascii="Times New Roman" w:hAnsi="Times New Roman" w:eastAsia="宋体" w:cs="宋体"/>
                <w:b/>
                <w:bCs/>
                <w:sz w:val="24"/>
                <w:szCs w:val="24"/>
                <w:shd w:val="clear" w:color="auto" w:fill="FFFFFF"/>
                <w:lang w:val="en-US" w:eastAsia="zh-CN"/>
              </w:rPr>
            </w:pPr>
            <w:r>
              <w:rPr>
                <w:rFonts w:hint="eastAsia" w:ascii="宋体" w:hAnsi="宋体" w:eastAsia="宋体" w:cs="宋体"/>
                <w:b/>
                <w:bCs/>
                <w:sz w:val="24"/>
                <w:shd w:val="clear" w:color="auto" w:fill="FFFFFF"/>
                <w:lang w:val="en-US" w:eastAsia="zh-CN"/>
              </w:rPr>
              <w:t>2025年8月11日 15:00-16:00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04" w:type="dxa"/>
            <w:vAlign w:val="center"/>
          </w:tcPr>
          <w:p>
            <w:pPr>
              <w:jc w:val="center"/>
              <w:rPr>
                <w:rFonts w:hint="eastAsia" w:ascii="sans-serif" w:hAnsi="sans-serif" w:eastAsia="宋体" w:cs="sans-serif"/>
                <w:szCs w:val="21"/>
                <w:shd w:val="clear" w:color="auto" w:fill="FFFFFF"/>
              </w:rPr>
            </w:pPr>
            <w:r>
              <w:rPr>
                <w:rFonts w:hint="eastAsia" w:ascii="Times New Roman" w:hAnsi="Times New Roman" w:eastAsia="宋体" w:cs="宋体"/>
                <w:b w:val="0"/>
                <w:bCs w:val="0"/>
                <w:sz w:val="24"/>
                <w:szCs w:val="24"/>
                <w:shd w:val="clear" w:color="auto" w:fill="FFFFFF"/>
                <w:lang w:val="en-US" w:eastAsia="zh-CN"/>
              </w:rPr>
              <w:t>地点</w:t>
            </w:r>
          </w:p>
        </w:tc>
        <w:tc>
          <w:tcPr>
            <w:tcW w:w="6218"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上海证券交易所上证路演中心</w:t>
            </w:r>
          </w:p>
          <w:p>
            <w:pPr>
              <w:rPr>
                <w:rFonts w:hint="default" w:ascii="Times New Roman" w:hAnsi="Times New Roman"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(网址:htps:/roadshow.sseinfo.com/)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04" w:type="dxa"/>
            <w:vAlign w:val="center"/>
          </w:tcPr>
          <w:p>
            <w:pPr>
              <w:jc w:val="center"/>
              <w:rPr>
                <w:rFonts w:ascii="sans-serif" w:hAnsi="sans-serif" w:eastAsia="sans-serif" w:cs="sans-serif"/>
                <w:szCs w:val="21"/>
                <w:shd w:val="clear" w:color="auto" w:fill="FFFFFF"/>
              </w:rPr>
            </w:pPr>
            <w:r>
              <w:rPr>
                <w:rFonts w:hint="eastAsia" w:ascii="宋体" w:hAnsi="宋体" w:eastAsia="宋体" w:cs="宋体"/>
                <w:sz w:val="24"/>
                <w:szCs w:val="24"/>
                <w:shd w:val="clear" w:color="auto" w:fill="FFFFFF"/>
              </w:rPr>
              <w:t>公司接待人员姓名</w:t>
            </w:r>
          </w:p>
        </w:tc>
        <w:tc>
          <w:tcPr>
            <w:tcW w:w="6218" w:type="dxa"/>
            <w:vAlign w:val="center"/>
          </w:tcPr>
          <w:p>
            <w:pP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董事长、总经理：王成海</w:t>
            </w:r>
          </w:p>
          <w:p>
            <w:pP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董事会秘书：王晓兰</w:t>
            </w:r>
          </w:p>
          <w:p>
            <w:pP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财务总监：陈公平</w:t>
            </w:r>
          </w:p>
          <w:p>
            <w:pPr>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独立董事：张燕琴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304" w:type="dxa"/>
            <w:vAlign w:val="center"/>
          </w:tcPr>
          <w:p>
            <w:pPr>
              <w:jc w:val="both"/>
              <w:rPr>
                <w:rFonts w:ascii="sans-serif" w:hAnsi="sans-serif" w:eastAsia="sans-serif" w:cs="sans-serif"/>
                <w:szCs w:val="21"/>
                <w:shd w:val="clear" w:color="auto" w:fill="FFFFFF"/>
              </w:rPr>
            </w:pPr>
            <w:r>
              <w:rPr>
                <w:rFonts w:hint="eastAsia" w:ascii="Times New Roman" w:hAnsi="Times New Roman"/>
                <w:sz w:val="24"/>
                <w:lang w:val="en-US" w:eastAsia="zh-CN"/>
              </w:rPr>
              <w:t>投资者关系活动主要内容介绍</w:t>
            </w:r>
          </w:p>
        </w:tc>
        <w:tc>
          <w:tcPr>
            <w:tcW w:w="62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Times New Roman" w:hAnsi="Times New Roman" w:eastAsia="宋体" w:cs="宋体"/>
                <w:color w:val="auto"/>
                <w:sz w:val="24"/>
                <w:szCs w:val="24"/>
                <w:lang w:val="en-US" w:eastAsia="zh-CN"/>
              </w:rPr>
            </w:pPr>
            <w:r>
              <w:rPr>
                <w:rFonts w:hint="eastAsia" w:ascii="Times New Roman" w:hAnsi="Times New Roman" w:eastAsia="宋体" w:cs="宋体"/>
                <w:color w:val="auto"/>
                <w:sz w:val="24"/>
                <w:szCs w:val="24"/>
                <w:lang w:val="en-US" w:eastAsia="zh-CN"/>
              </w:rPr>
              <w:t>董事长兼总经理王成海先生做开场致辞并欢迎广大投资者参与公司2025年半年度业绩说明会；董事长兼总经理王成海先生、董事会秘书王晓兰女士、财务总监陈公平先生通过网络互动的方式回复了投资者提出的问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Times New Roman" w:hAnsi="Times New Roman" w:eastAsia="宋体" w:cs="Times New Roman"/>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1、公司如何看待未来AI数据中心对液冷产品的需求？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答：尊敬的投资者，您好，随着AI的高速发展，通讯速率不断在提升，随着速率的提升，对散热的需求会越来越高，而液冷产品是目前散热性能最好的一款散热产品，未来需求将会逐步提高，谢谢。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imes New Roman" w:hAnsi="Times New Roman" w:eastAsia="宋体" w:cs="Times New Roman"/>
                <w:sz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2、目前公司液冷业务最新进展如何？今年上半年实现收入如何？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答：尊敬的投资者，您好，公司二季度液冷产品已小批量出货，并得到客户通知，对液冷进行量产模具的开发。公司已在为液冷的量产做生产上的准备，预计年底或者2026年初将开始进行量产；公司2025年半年度营业收入为78,457.43万元，同比上年同期增长73.51%，归属于上市公司股东的净利润为11,539.70万元，同比上年同期增长134.06%，谢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imes New Roman" w:hAnsi="Times New Roman" w:eastAsia="宋体" w:cs="Times New Roman"/>
                <w:sz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3、公司目前在手订单多少？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答：尊敬的投资者，您好，公司目前在手订单充足，客户需求旺盛，谢谢。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imes New Roman" w:hAnsi="Times New Roman" w:eastAsia="宋体" w:cs="Times New Roman"/>
                <w:sz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4、公司上半年营收分产品看是怎样的？哪块业务增长速度最快？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答：尊敬的投资者，您好，公司主要分为通讯和汽车两大业务板块，上半年公司通讯业务增速迅猛，占公司总营收的80%，谢谢。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imes New Roman" w:hAnsi="Times New Roman" w:eastAsia="宋体" w:cs="Times New Roman"/>
                <w:sz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5、能否详细介绍一下在获取新客户和扩大老客户订单方面，公司采取了哪些有效的策略和措施？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答：尊敬的投资者，您好，公司主要客户为安费诺、莫仕、泰科、比亚迪、中航光电、立讯精密等国内外知名企业，公司以专业的研发能力、精密的制造能力和严格的品质把控与客户建立了深厚的合作关系，取得了客户的信赖；在新客户上，公司不断壮大前端销售团队，并在全国多地设立营销中心，更好地了解当地市场需求，与当地的重要客户建立更紧密的联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imes New Roman" w:hAnsi="Times New Roman" w:eastAsia="宋体" w:cs="Times New Roman"/>
                <w:sz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6、询价转让的如果情况如何？目前是否已完成3%股份的认购？ 2、8月4日公告的7月份投资者关系活动记录表中，“二季度液冷产品已小批量出货，并得到客户通知，对液冷进行量产模具的开发。公司已在为液冷的量产做生产上的准备，预计年底或者2026年初将开始进行量产。”请问：9月GB300批量出货时，鼎通的液冷产品尚未量产，用的是其他家的，这样没有先发优势，那么量产后能够获得的份额会怎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答：尊敬的投资者，您好，询价转让请关注公司相关</w:t>
            </w:r>
            <w:bookmarkStart w:id="0" w:name="_GoBack"/>
            <w:bookmarkEnd w:id="0"/>
            <w:r>
              <w:rPr>
                <w:rFonts w:hint="eastAsia" w:ascii="Times New Roman" w:hAnsi="Times New Roman" w:eastAsia="宋体" w:cs="Times New Roman"/>
                <w:sz w:val="24"/>
                <w:lang w:val="en-US" w:eastAsia="zh-CN"/>
              </w:rPr>
              <w:t>公告；公司液冷产品已小批量出货，后续份额主要看客户需求，谢谢。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imes New Roman" w:hAnsi="Times New Roman" w:eastAsia="宋体" w:cs="Times New Roman"/>
                <w:sz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7、公司的液散热器是用于芯片还是光模块？是用于服务器还是数据中心？散热器是与公司的连接器集成模块还是单独供应客户？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答：尊敬的投资者，您好，公司的液冷产品主要用于对连接器和光模块信号传递接触面进行散热处理，服务器和数据中心均可以适用；公司生产的液冷产品主要是配套Cage供货给客户，谢谢。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imes New Roman" w:hAnsi="Times New Roman" w:eastAsia="宋体" w:cs="Times New Roman"/>
                <w:sz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8、能否介绍一下贵公司供应英伟达GB300的液冷组件得产品和性能以及订单情况？谢谢！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答：尊敬的投资者，您好，公司的液冷产品主要用于对连接器和光模块信号传递接触面进行散热处理，主要是配套cage供货给客户。二季度已小批量出货，并已得到客户通知，对液冷进行量产模具的开发。公司已在为液冷的量产做生产上的准备，预计年底或者2026年初将开始进行量产，谢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imes New Roman" w:hAnsi="Times New Roman" w:eastAsia="宋体" w:cs="Times New Roman"/>
                <w:sz w:val="24"/>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0"/>
              <w:jc w:val="both"/>
              <w:textAlignment w:val="auto"/>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请问公司液冷产品的价值量多少？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答：尊敬的投资者，您好，目前液冷方案的散热覆盖一般为6-8个框口，液冷方案的散热器不论是产品结构、加工工艺等方面与现有散热器完全不同，价值量也要比现有散热器高出许多。谢谢。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304" w:type="dxa"/>
            <w:vAlign w:val="center"/>
          </w:tcPr>
          <w:p>
            <w:pPr>
              <w:jc w:val="both"/>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关于本次活动是否涉及应当披露重大信息的说明</w:t>
            </w:r>
          </w:p>
        </w:tc>
        <w:tc>
          <w:tcPr>
            <w:tcW w:w="62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2304" w:type="dxa"/>
            <w:vAlign w:val="center"/>
          </w:tcPr>
          <w:p>
            <w:pPr>
              <w:jc w:val="center"/>
              <w:rPr>
                <w:rFonts w:ascii="sans-serif" w:hAnsi="sans-serif" w:eastAsia="sans-serif" w:cs="sans-serif"/>
                <w:szCs w:val="21"/>
                <w:shd w:val="clear" w:color="auto" w:fill="FFFFFF"/>
              </w:rPr>
            </w:pPr>
            <w:r>
              <w:rPr>
                <w:rFonts w:hint="eastAsia" w:ascii="Times New Roman" w:hAnsi="Times New Roman"/>
                <w:sz w:val="24"/>
                <w:lang w:val="en-US" w:eastAsia="zh-CN"/>
              </w:rPr>
              <w:t>附件清单（如有）</w:t>
            </w:r>
          </w:p>
        </w:tc>
        <w:tc>
          <w:tcPr>
            <w:tcW w:w="6218" w:type="dxa"/>
            <w:vAlign w:val="center"/>
          </w:tcPr>
          <w:p>
            <w:pPr>
              <w:jc w:val="left"/>
              <w:rPr>
                <w:rFonts w:hint="eastAsia" w:ascii="宋体" w:hAnsi="宋体" w:eastAsia="宋体" w:cs="宋体"/>
                <w:color w:val="auto"/>
                <w:sz w:val="24"/>
                <w:shd w:val="clear" w:color="auto" w:fill="FFFFFF"/>
                <w:lang w:eastAsia="zh-CN"/>
              </w:rPr>
            </w:pPr>
            <w:r>
              <w:rPr>
                <w:rFonts w:hint="eastAsia" w:ascii="宋体" w:hAnsi="宋体" w:eastAsia="宋体" w:cs="宋体"/>
                <w:color w:val="auto"/>
                <w:sz w:val="24"/>
                <w:shd w:val="clear" w:color="auto" w:fill="FFFFFF"/>
                <w:lang w:eastAsia="zh-CN"/>
              </w:rPr>
              <w:t>无</w:t>
            </w:r>
          </w:p>
        </w:tc>
      </w:tr>
    </w:tbl>
    <w:p>
      <w:pPr>
        <w:jc w:val="left"/>
        <w:rPr>
          <w:rFonts w:ascii="sans-serif" w:hAnsi="sans-serif" w:eastAsia="sans-serif" w:cs="sans-serif"/>
          <w:sz w:val="24"/>
          <w:shd w:val="clear" w:color="auto" w:fill="FFFFFF"/>
        </w:rPr>
      </w:pPr>
    </w:p>
    <w:p>
      <w:pPr>
        <w:jc w:val="left"/>
        <w:rPr>
          <w:rFonts w:ascii="sans-serif" w:hAnsi="sans-serif" w:eastAsia="sans-serif" w:cs="sans-serif"/>
          <w:sz w:val="24"/>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EEA599"/>
    <w:multiLevelType w:val="singleLevel"/>
    <w:tmpl w:val="0AEEA599"/>
    <w:lvl w:ilvl="0" w:tentative="0">
      <w:start w:val="9"/>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3ODRjMDk5YTg4ZTk1ZWNlODVlODNkYTgwOWRkOTQifQ=="/>
  </w:docVars>
  <w:rsids>
    <w:rsidRoot w:val="0091283B"/>
    <w:rsid w:val="00062B32"/>
    <w:rsid w:val="007F09A4"/>
    <w:rsid w:val="0091283B"/>
    <w:rsid w:val="009D7493"/>
    <w:rsid w:val="02DB1E83"/>
    <w:rsid w:val="03260EE3"/>
    <w:rsid w:val="03350C98"/>
    <w:rsid w:val="03A10CAA"/>
    <w:rsid w:val="04EA1A7B"/>
    <w:rsid w:val="058D1612"/>
    <w:rsid w:val="064267DB"/>
    <w:rsid w:val="0886622F"/>
    <w:rsid w:val="088F0F3B"/>
    <w:rsid w:val="08C06527"/>
    <w:rsid w:val="08D6582F"/>
    <w:rsid w:val="092E2FE0"/>
    <w:rsid w:val="0A7B43AC"/>
    <w:rsid w:val="0B204802"/>
    <w:rsid w:val="0B4A7E73"/>
    <w:rsid w:val="0B7F2E6D"/>
    <w:rsid w:val="0C830864"/>
    <w:rsid w:val="0D995FCB"/>
    <w:rsid w:val="0E104E69"/>
    <w:rsid w:val="0E701318"/>
    <w:rsid w:val="0EC86D78"/>
    <w:rsid w:val="10DA70EF"/>
    <w:rsid w:val="123478B9"/>
    <w:rsid w:val="127A5769"/>
    <w:rsid w:val="12CC5D44"/>
    <w:rsid w:val="12F0389D"/>
    <w:rsid w:val="13E55A05"/>
    <w:rsid w:val="13ED7BAD"/>
    <w:rsid w:val="140E7F87"/>
    <w:rsid w:val="14107EB2"/>
    <w:rsid w:val="163F05DA"/>
    <w:rsid w:val="16D818F3"/>
    <w:rsid w:val="16EB42BE"/>
    <w:rsid w:val="16EC3C91"/>
    <w:rsid w:val="174D2976"/>
    <w:rsid w:val="184166A8"/>
    <w:rsid w:val="18C809B6"/>
    <w:rsid w:val="1AE87493"/>
    <w:rsid w:val="1B3E3557"/>
    <w:rsid w:val="1BBA7BD8"/>
    <w:rsid w:val="1C1A2FDF"/>
    <w:rsid w:val="1C3844FE"/>
    <w:rsid w:val="1D1A3B4F"/>
    <w:rsid w:val="209507F0"/>
    <w:rsid w:val="20FF5BE5"/>
    <w:rsid w:val="21BD2B8F"/>
    <w:rsid w:val="22111C88"/>
    <w:rsid w:val="237D5147"/>
    <w:rsid w:val="23BB5384"/>
    <w:rsid w:val="24786DB4"/>
    <w:rsid w:val="254610F8"/>
    <w:rsid w:val="26795443"/>
    <w:rsid w:val="29CF1324"/>
    <w:rsid w:val="2B407A89"/>
    <w:rsid w:val="2C4C6F88"/>
    <w:rsid w:val="2D5C786C"/>
    <w:rsid w:val="2D834162"/>
    <w:rsid w:val="31235140"/>
    <w:rsid w:val="31CC1E9B"/>
    <w:rsid w:val="31FC546F"/>
    <w:rsid w:val="32FA0B34"/>
    <w:rsid w:val="33B11F7B"/>
    <w:rsid w:val="348851A8"/>
    <w:rsid w:val="35657C97"/>
    <w:rsid w:val="35F66AB0"/>
    <w:rsid w:val="364E0396"/>
    <w:rsid w:val="36883AF3"/>
    <w:rsid w:val="376712E7"/>
    <w:rsid w:val="38221F62"/>
    <w:rsid w:val="38265678"/>
    <w:rsid w:val="38B4055C"/>
    <w:rsid w:val="38B642D4"/>
    <w:rsid w:val="38C56E85"/>
    <w:rsid w:val="3A8A2E97"/>
    <w:rsid w:val="3B9755D7"/>
    <w:rsid w:val="3C237ED3"/>
    <w:rsid w:val="3D1E68EC"/>
    <w:rsid w:val="3D7A2E99"/>
    <w:rsid w:val="3DF416CD"/>
    <w:rsid w:val="3E2A46C8"/>
    <w:rsid w:val="3E895FE7"/>
    <w:rsid w:val="4013200C"/>
    <w:rsid w:val="402A503F"/>
    <w:rsid w:val="405D5B36"/>
    <w:rsid w:val="41290F84"/>
    <w:rsid w:val="425F282E"/>
    <w:rsid w:val="42B3339C"/>
    <w:rsid w:val="42BC4BDD"/>
    <w:rsid w:val="42EE1632"/>
    <w:rsid w:val="434626F9"/>
    <w:rsid w:val="44175382"/>
    <w:rsid w:val="442C7B41"/>
    <w:rsid w:val="448D1B53"/>
    <w:rsid w:val="44CC51FD"/>
    <w:rsid w:val="456A353C"/>
    <w:rsid w:val="45A831F7"/>
    <w:rsid w:val="46DC75FC"/>
    <w:rsid w:val="4840005F"/>
    <w:rsid w:val="4869690F"/>
    <w:rsid w:val="49AA08AF"/>
    <w:rsid w:val="49BA061D"/>
    <w:rsid w:val="49C102A1"/>
    <w:rsid w:val="4A04152D"/>
    <w:rsid w:val="4AFA5CC9"/>
    <w:rsid w:val="4BD56694"/>
    <w:rsid w:val="4C2F0F0C"/>
    <w:rsid w:val="4D5819A6"/>
    <w:rsid w:val="4DC93502"/>
    <w:rsid w:val="4DD23507"/>
    <w:rsid w:val="4DFE10C7"/>
    <w:rsid w:val="4FD1784D"/>
    <w:rsid w:val="508F4832"/>
    <w:rsid w:val="50EA500B"/>
    <w:rsid w:val="50FC6351"/>
    <w:rsid w:val="51425436"/>
    <w:rsid w:val="537918D6"/>
    <w:rsid w:val="541A1764"/>
    <w:rsid w:val="54992FD0"/>
    <w:rsid w:val="54FA19CD"/>
    <w:rsid w:val="58840844"/>
    <w:rsid w:val="58EB79BC"/>
    <w:rsid w:val="59400F93"/>
    <w:rsid w:val="59CE718B"/>
    <w:rsid w:val="5B1F2A6E"/>
    <w:rsid w:val="5D3729AA"/>
    <w:rsid w:val="5ECD3218"/>
    <w:rsid w:val="5F0B4806"/>
    <w:rsid w:val="5F903ADA"/>
    <w:rsid w:val="6007722E"/>
    <w:rsid w:val="605F10EA"/>
    <w:rsid w:val="62365232"/>
    <w:rsid w:val="62A80031"/>
    <w:rsid w:val="64DC4DF9"/>
    <w:rsid w:val="64F00CB7"/>
    <w:rsid w:val="664D6AA2"/>
    <w:rsid w:val="66770C98"/>
    <w:rsid w:val="66B867E0"/>
    <w:rsid w:val="66DC0EEC"/>
    <w:rsid w:val="688D02FE"/>
    <w:rsid w:val="68E257DD"/>
    <w:rsid w:val="694E3F32"/>
    <w:rsid w:val="696B7F52"/>
    <w:rsid w:val="6975063A"/>
    <w:rsid w:val="6B8B276F"/>
    <w:rsid w:val="6C39469E"/>
    <w:rsid w:val="6F39380E"/>
    <w:rsid w:val="6F505463"/>
    <w:rsid w:val="6F8B3A7E"/>
    <w:rsid w:val="702B780B"/>
    <w:rsid w:val="704F6D52"/>
    <w:rsid w:val="7075322F"/>
    <w:rsid w:val="736E6F7E"/>
    <w:rsid w:val="77817A9A"/>
    <w:rsid w:val="77A9629F"/>
    <w:rsid w:val="77F9150C"/>
    <w:rsid w:val="78236B56"/>
    <w:rsid w:val="78846242"/>
    <w:rsid w:val="7A5C5F17"/>
    <w:rsid w:val="7B3B5197"/>
    <w:rsid w:val="7B7B027E"/>
    <w:rsid w:val="7C9746FF"/>
    <w:rsid w:val="7D55323F"/>
    <w:rsid w:val="7D973ACD"/>
    <w:rsid w:val="7DBF2C63"/>
    <w:rsid w:val="7DF4505C"/>
    <w:rsid w:val="7F743B6E"/>
    <w:rsid w:val="7FC82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4</Pages>
  <Words>1601</Words>
  <Characters>1735</Characters>
  <Lines>2</Lines>
  <Paragraphs>1</Paragraphs>
  <TotalTime>10</TotalTime>
  <ScaleCrop>false</ScaleCrop>
  <LinksUpToDate>false</LinksUpToDate>
  <CharactersWithSpaces>1805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2021-01-20T09:15:00Z</dcterms:created>
  <dc:creator>wxl</dc:creator>
  <cp:lastModifiedBy>cyril</cp:lastModifiedBy>
  <cp:lastPrinted>2021-01-21T07:19:00Z</cp:lastPrinted>
  <dcterms:modified xsi:type="dcterms:W3CDTF">2025-08-12T08:15:29Z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7F91296656CC4C6DACAFCE9C86B636F6_13</vt:lpwstr>
  </property>
  <property fmtid="{D5CDD505-2E9C-101B-9397-08002B2CF9AE}" pid="4" name="KSOTemplateDocerSaveRecord">
    <vt:lpwstr>eyJoZGlkIjoiNmIwZjc0MGFlYTFiYjI1OTVhMDMwYTc2MTFiYTg2NDYiLCJ1c2VySWQiOiIxNzQyNjI3OTcifQ==</vt:lpwstr>
  </property>
</Properties>
</file>