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34963" w14:textId="77777777" w:rsidR="00AF5750" w:rsidRDefault="00AF5750" w:rsidP="00AF5750">
      <w:r>
        <w:rPr>
          <w:rFonts w:hint="eastAsia"/>
        </w:rPr>
        <w:t>证券代码：</w:t>
      </w:r>
      <w:r>
        <w:t>688129</w:t>
      </w:r>
      <w:r>
        <w:tab/>
      </w:r>
      <w:r>
        <w:tab/>
      </w:r>
      <w:r>
        <w:tab/>
      </w:r>
      <w:r>
        <w:tab/>
      </w:r>
      <w:r>
        <w:tab/>
      </w:r>
      <w:r>
        <w:tab/>
      </w:r>
      <w:r>
        <w:tab/>
      </w:r>
      <w:r>
        <w:tab/>
      </w:r>
      <w:r>
        <w:tab/>
      </w:r>
      <w:r>
        <w:tab/>
      </w:r>
      <w:r>
        <w:rPr>
          <w:rFonts w:hint="eastAsia"/>
        </w:rPr>
        <w:t>证券简称：东来技术</w:t>
      </w:r>
    </w:p>
    <w:p w14:paraId="26B33B40" w14:textId="77777777" w:rsidR="00AF5750" w:rsidRDefault="00AF5750" w:rsidP="00AF5750"/>
    <w:p w14:paraId="44F4C963" w14:textId="77777777" w:rsidR="00AF5750" w:rsidRPr="00D66B8F" w:rsidRDefault="00AF5750" w:rsidP="00AF5750">
      <w:pPr>
        <w:jc w:val="center"/>
        <w:rPr>
          <w:rFonts w:ascii="黑体" w:eastAsia="黑体" w:hAnsi="黑体"/>
          <w:b/>
          <w:sz w:val="32"/>
        </w:rPr>
      </w:pPr>
      <w:r w:rsidRPr="00D66B8F">
        <w:rPr>
          <w:rFonts w:ascii="黑体" w:eastAsia="黑体" w:hAnsi="黑体" w:hint="eastAsia"/>
          <w:b/>
          <w:sz w:val="32"/>
        </w:rPr>
        <w:t>东来涂料技术（上海）股份有限公司</w:t>
      </w:r>
    </w:p>
    <w:p w14:paraId="7DDEAB36" w14:textId="77777777" w:rsidR="00AF5750" w:rsidRPr="00D66B8F" w:rsidRDefault="00AF5750" w:rsidP="00AF5750">
      <w:pPr>
        <w:jc w:val="center"/>
        <w:rPr>
          <w:rFonts w:ascii="黑体" w:eastAsia="黑体" w:hAnsi="黑体"/>
          <w:b/>
          <w:sz w:val="32"/>
        </w:rPr>
      </w:pPr>
      <w:r w:rsidRPr="00D66B8F">
        <w:rPr>
          <w:rFonts w:ascii="黑体" w:eastAsia="黑体" w:hAnsi="黑体" w:hint="eastAsia"/>
          <w:b/>
          <w:sz w:val="32"/>
        </w:rPr>
        <w:t>投资者关系活动记录表</w:t>
      </w:r>
    </w:p>
    <w:p w14:paraId="625B250F" w14:textId="77777777" w:rsidR="00AF5750" w:rsidRDefault="00AF5750" w:rsidP="00AF5750"/>
    <w:p w14:paraId="5DA9A6C2" w14:textId="77777777" w:rsidR="00AF5750" w:rsidRPr="00747D69" w:rsidRDefault="00AF5750" w:rsidP="006E2EC5">
      <w:pPr>
        <w:keepNext/>
        <w:snapToGrid w:val="0"/>
        <w:jc w:val="right"/>
        <w:outlineLvl w:val="0"/>
        <w:rPr>
          <w:sz w:val="21"/>
        </w:rPr>
      </w:pPr>
      <w:r w:rsidRPr="00747D69">
        <w:rPr>
          <w:rFonts w:hint="eastAsia"/>
          <w:sz w:val="21"/>
        </w:rPr>
        <w:t>编号：</w:t>
      </w:r>
      <w:r w:rsidRPr="00747D69">
        <w:rPr>
          <w:rFonts w:hint="eastAsia"/>
          <w:sz w:val="21"/>
        </w:rPr>
        <w:t>2</w:t>
      </w:r>
      <w:r w:rsidRPr="00747D69">
        <w:rPr>
          <w:sz w:val="21"/>
        </w:rPr>
        <w:t>025-</w:t>
      </w:r>
      <w:r w:rsidR="00B7289F">
        <w:rPr>
          <w:rFonts w:hint="eastAsia"/>
          <w:sz w:val="21"/>
        </w:rPr>
        <w:t>0</w:t>
      </w:r>
      <w:r w:rsidR="00B7289F">
        <w:rPr>
          <w:sz w:val="21"/>
        </w:rPr>
        <w:t>01</w:t>
      </w:r>
    </w:p>
    <w:tbl>
      <w:tblPr>
        <w:tblStyle w:val="a7"/>
        <w:tblW w:w="0" w:type="auto"/>
        <w:tblLayout w:type="fixed"/>
        <w:tblLook w:val="04A0" w:firstRow="1" w:lastRow="0" w:firstColumn="1" w:lastColumn="0" w:noHBand="0" w:noVBand="1"/>
      </w:tblPr>
      <w:tblGrid>
        <w:gridCol w:w="1598"/>
        <w:gridCol w:w="6698"/>
      </w:tblGrid>
      <w:tr w:rsidR="00AF5750" w:rsidRPr="00D66B8F" w14:paraId="33107426" w14:textId="77777777" w:rsidTr="00AA247E">
        <w:trPr>
          <w:trHeight w:val="397"/>
        </w:trPr>
        <w:tc>
          <w:tcPr>
            <w:tcW w:w="1598" w:type="dxa"/>
            <w:vAlign w:val="center"/>
          </w:tcPr>
          <w:p w14:paraId="506F5969" w14:textId="77777777" w:rsidR="00AF5750" w:rsidRPr="00D66B8F" w:rsidRDefault="00AF5750" w:rsidP="001C2711">
            <w:pPr>
              <w:rPr>
                <w:sz w:val="21"/>
              </w:rPr>
            </w:pPr>
            <w:r w:rsidRPr="00D66B8F">
              <w:rPr>
                <w:rFonts w:hint="eastAsia"/>
                <w:sz w:val="21"/>
              </w:rPr>
              <w:t>投资者关系活动类别</w:t>
            </w:r>
          </w:p>
        </w:tc>
        <w:tc>
          <w:tcPr>
            <w:tcW w:w="6698" w:type="dxa"/>
            <w:vAlign w:val="center"/>
          </w:tcPr>
          <w:p w14:paraId="5AC5F16D" w14:textId="77777777" w:rsidR="00AF5750" w:rsidRPr="00D66B8F" w:rsidRDefault="00AF5750" w:rsidP="00FC35D2">
            <w:pPr>
              <w:spacing w:line="360" w:lineRule="auto"/>
              <w:rPr>
                <w:sz w:val="21"/>
              </w:rPr>
            </w:pPr>
            <w:r w:rsidRPr="00F617FF">
              <w:rPr>
                <w:rFonts w:ascii="Wingdings 2" w:hAnsi="Wingdings 2"/>
                <w:sz w:val="21"/>
              </w:rPr>
              <w:t></w:t>
            </w:r>
            <w:r w:rsidRPr="00D66B8F">
              <w:rPr>
                <w:rFonts w:hint="eastAsia"/>
                <w:sz w:val="21"/>
              </w:rPr>
              <w:t>特定对象调研</w:t>
            </w:r>
            <w:r w:rsidRPr="00D66B8F">
              <w:rPr>
                <w:sz w:val="21"/>
              </w:rPr>
              <w:tab/>
            </w:r>
            <w:r w:rsidRPr="00D66B8F">
              <w:rPr>
                <w:sz w:val="21"/>
              </w:rPr>
              <w:tab/>
            </w:r>
            <w:r w:rsidR="000A3AFC" w:rsidRPr="00D66B8F">
              <w:rPr>
                <w:sz w:val="21"/>
              </w:rPr>
              <w:tab/>
            </w:r>
            <w:r w:rsidR="000A3AFC" w:rsidRPr="00D66B8F">
              <w:rPr>
                <w:sz w:val="21"/>
              </w:rPr>
              <w:tab/>
            </w:r>
            <w:r w:rsidR="000A3AFC" w:rsidRPr="00D66B8F">
              <w:rPr>
                <w:sz w:val="21"/>
              </w:rPr>
              <w:tab/>
            </w:r>
            <w:r w:rsidRPr="00D66B8F">
              <w:rPr>
                <w:sz w:val="21"/>
              </w:rPr>
              <w:tab/>
            </w:r>
            <w:r w:rsidRPr="00D66B8F">
              <w:rPr>
                <w:rFonts w:hint="eastAsia"/>
                <w:sz w:val="21"/>
              </w:rPr>
              <w:t>□分析师会议</w:t>
            </w:r>
          </w:p>
          <w:p w14:paraId="76CBCC18" w14:textId="77777777" w:rsidR="00AF5750" w:rsidRPr="00D66B8F" w:rsidRDefault="00AF5750" w:rsidP="00FC35D2">
            <w:pPr>
              <w:spacing w:line="360" w:lineRule="auto"/>
              <w:rPr>
                <w:sz w:val="21"/>
              </w:rPr>
            </w:pPr>
            <w:r w:rsidRPr="00D66B8F">
              <w:rPr>
                <w:rFonts w:hint="eastAsia"/>
                <w:sz w:val="21"/>
              </w:rPr>
              <w:t>□媒体采访</w:t>
            </w:r>
            <w:r w:rsidRPr="00D66B8F">
              <w:rPr>
                <w:sz w:val="21"/>
              </w:rPr>
              <w:tab/>
            </w:r>
            <w:r w:rsidRPr="00D66B8F">
              <w:rPr>
                <w:sz w:val="21"/>
              </w:rPr>
              <w:tab/>
            </w:r>
            <w:r>
              <w:rPr>
                <w:sz w:val="21"/>
              </w:rPr>
              <w:tab/>
            </w:r>
            <w:r w:rsidRPr="00D66B8F">
              <w:rPr>
                <w:sz w:val="21"/>
              </w:rPr>
              <w:tab/>
            </w:r>
            <w:r w:rsidR="000A3AFC" w:rsidRPr="00D66B8F">
              <w:rPr>
                <w:sz w:val="21"/>
              </w:rPr>
              <w:tab/>
            </w:r>
            <w:r w:rsidR="000A3AFC" w:rsidRPr="00D66B8F">
              <w:rPr>
                <w:sz w:val="21"/>
              </w:rPr>
              <w:tab/>
            </w:r>
            <w:r w:rsidRPr="00D66B8F">
              <w:rPr>
                <w:sz w:val="21"/>
              </w:rPr>
              <w:tab/>
            </w:r>
            <w:r w:rsidRPr="00D66B8F">
              <w:rPr>
                <w:rFonts w:hint="eastAsia"/>
                <w:sz w:val="21"/>
              </w:rPr>
              <w:t>□业绩说明会</w:t>
            </w:r>
          </w:p>
          <w:p w14:paraId="0361AB56" w14:textId="77777777" w:rsidR="00AF5750" w:rsidRPr="00D66B8F" w:rsidRDefault="00AF5750" w:rsidP="00FC35D2">
            <w:pPr>
              <w:spacing w:line="360" w:lineRule="auto"/>
              <w:rPr>
                <w:sz w:val="21"/>
              </w:rPr>
            </w:pPr>
            <w:r w:rsidRPr="00D66B8F">
              <w:rPr>
                <w:rFonts w:hint="eastAsia"/>
                <w:sz w:val="21"/>
              </w:rPr>
              <w:t>□新闻发布会</w:t>
            </w:r>
            <w:r w:rsidRPr="00D66B8F">
              <w:rPr>
                <w:sz w:val="21"/>
              </w:rPr>
              <w:tab/>
            </w:r>
            <w:r w:rsidRPr="00D66B8F">
              <w:rPr>
                <w:sz w:val="21"/>
              </w:rPr>
              <w:tab/>
            </w:r>
            <w:r w:rsidR="000A3AFC" w:rsidRPr="00D66B8F">
              <w:rPr>
                <w:sz w:val="21"/>
              </w:rPr>
              <w:tab/>
            </w:r>
            <w:r w:rsidR="000A3AFC" w:rsidRPr="00D66B8F">
              <w:rPr>
                <w:sz w:val="21"/>
              </w:rPr>
              <w:tab/>
            </w:r>
            <w:r w:rsidRPr="00D66B8F">
              <w:rPr>
                <w:sz w:val="21"/>
              </w:rPr>
              <w:tab/>
            </w:r>
            <w:r w:rsidRPr="00D66B8F">
              <w:rPr>
                <w:sz w:val="21"/>
              </w:rPr>
              <w:tab/>
            </w:r>
            <w:r w:rsidRPr="00D66B8F">
              <w:rPr>
                <w:rFonts w:hint="eastAsia"/>
                <w:sz w:val="21"/>
              </w:rPr>
              <w:t>□路演活动</w:t>
            </w:r>
          </w:p>
          <w:p w14:paraId="54F6A409" w14:textId="77777777" w:rsidR="00AF5750" w:rsidRPr="00D66B8F" w:rsidRDefault="00AF5750" w:rsidP="00FC35D2">
            <w:pPr>
              <w:spacing w:line="360" w:lineRule="auto"/>
              <w:rPr>
                <w:sz w:val="21"/>
              </w:rPr>
            </w:pPr>
            <w:r w:rsidRPr="00D66B8F">
              <w:rPr>
                <w:rFonts w:hint="eastAsia"/>
                <w:sz w:val="21"/>
              </w:rPr>
              <w:t>□现场参观</w:t>
            </w:r>
            <w:r w:rsidRPr="00D66B8F">
              <w:rPr>
                <w:sz w:val="21"/>
              </w:rPr>
              <w:tab/>
            </w:r>
            <w:r w:rsidRPr="00D66B8F">
              <w:rPr>
                <w:sz w:val="21"/>
              </w:rPr>
              <w:tab/>
            </w:r>
            <w:r w:rsidRPr="00D66B8F">
              <w:rPr>
                <w:sz w:val="21"/>
              </w:rPr>
              <w:tab/>
            </w:r>
            <w:r w:rsidR="000A3AFC" w:rsidRPr="00D66B8F">
              <w:rPr>
                <w:sz w:val="21"/>
              </w:rPr>
              <w:tab/>
            </w:r>
            <w:r w:rsidR="000A3AFC" w:rsidRPr="00D66B8F">
              <w:rPr>
                <w:sz w:val="21"/>
              </w:rPr>
              <w:tab/>
            </w:r>
            <w:r w:rsidRPr="00D66B8F">
              <w:rPr>
                <w:sz w:val="21"/>
              </w:rPr>
              <w:tab/>
            </w:r>
            <w:r w:rsidRPr="00D66B8F">
              <w:rPr>
                <w:sz w:val="21"/>
              </w:rPr>
              <w:tab/>
            </w:r>
            <w:r w:rsidRPr="00D66B8F">
              <w:rPr>
                <w:rFonts w:hint="eastAsia"/>
                <w:sz w:val="21"/>
              </w:rPr>
              <w:t>□线上会议</w:t>
            </w:r>
          </w:p>
          <w:p w14:paraId="14FFC40A" w14:textId="77777777" w:rsidR="00AF5750" w:rsidRPr="00D66B8F" w:rsidRDefault="00AF5750" w:rsidP="00FC35D2">
            <w:pPr>
              <w:spacing w:line="360" w:lineRule="auto"/>
              <w:rPr>
                <w:sz w:val="21"/>
              </w:rPr>
            </w:pPr>
            <w:r w:rsidRPr="00D66B8F">
              <w:rPr>
                <w:rFonts w:hint="eastAsia"/>
                <w:sz w:val="21"/>
              </w:rPr>
              <w:t>□其他</w:t>
            </w:r>
          </w:p>
        </w:tc>
      </w:tr>
      <w:tr w:rsidR="00AF5750" w:rsidRPr="00D66B8F" w14:paraId="2FFFA26E" w14:textId="77777777" w:rsidTr="00AA247E">
        <w:trPr>
          <w:trHeight w:val="397"/>
        </w:trPr>
        <w:tc>
          <w:tcPr>
            <w:tcW w:w="1598" w:type="dxa"/>
            <w:vAlign w:val="center"/>
          </w:tcPr>
          <w:p w14:paraId="19449858" w14:textId="77777777" w:rsidR="00AF5750" w:rsidRPr="00D66B8F" w:rsidRDefault="00AF5750" w:rsidP="001C2711">
            <w:pPr>
              <w:rPr>
                <w:sz w:val="21"/>
              </w:rPr>
            </w:pPr>
            <w:r w:rsidRPr="00D66B8F">
              <w:rPr>
                <w:rFonts w:hint="eastAsia"/>
                <w:sz w:val="21"/>
              </w:rPr>
              <w:t>参与单位名称</w:t>
            </w:r>
          </w:p>
        </w:tc>
        <w:tc>
          <w:tcPr>
            <w:tcW w:w="6698" w:type="dxa"/>
            <w:vAlign w:val="center"/>
          </w:tcPr>
          <w:p w14:paraId="779526D5" w14:textId="77777777" w:rsidR="00AF5750" w:rsidRPr="00D66B8F" w:rsidRDefault="004B632F" w:rsidP="001C2711">
            <w:pPr>
              <w:rPr>
                <w:sz w:val="21"/>
              </w:rPr>
            </w:pPr>
            <w:r>
              <w:rPr>
                <w:rFonts w:hint="eastAsia"/>
                <w:sz w:val="21"/>
              </w:rPr>
              <w:t>详见附件一</w:t>
            </w:r>
          </w:p>
        </w:tc>
      </w:tr>
      <w:tr w:rsidR="00AF5750" w:rsidRPr="00D66B8F" w14:paraId="626748C9" w14:textId="77777777" w:rsidTr="00AA247E">
        <w:trPr>
          <w:trHeight w:val="397"/>
        </w:trPr>
        <w:tc>
          <w:tcPr>
            <w:tcW w:w="1598" w:type="dxa"/>
            <w:vAlign w:val="center"/>
          </w:tcPr>
          <w:p w14:paraId="7D0722E9" w14:textId="77777777" w:rsidR="00AF5750" w:rsidRPr="00D66B8F" w:rsidRDefault="00AF5750" w:rsidP="001C2711">
            <w:pPr>
              <w:rPr>
                <w:sz w:val="21"/>
              </w:rPr>
            </w:pPr>
            <w:r w:rsidRPr="00D66B8F">
              <w:rPr>
                <w:rFonts w:hint="eastAsia"/>
                <w:sz w:val="21"/>
              </w:rPr>
              <w:t>时间</w:t>
            </w:r>
          </w:p>
        </w:tc>
        <w:tc>
          <w:tcPr>
            <w:tcW w:w="6698" w:type="dxa"/>
            <w:vAlign w:val="center"/>
          </w:tcPr>
          <w:p w14:paraId="15D33364" w14:textId="77777777" w:rsidR="00AF5750" w:rsidRPr="00D66B8F" w:rsidRDefault="004B632F" w:rsidP="001C2711">
            <w:pPr>
              <w:rPr>
                <w:sz w:val="21"/>
              </w:rPr>
            </w:pPr>
            <w:r>
              <w:rPr>
                <w:rFonts w:hint="eastAsia"/>
                <w:sz w:val="21"/>
              </w:rPr>
              <w:t>2</w:t>
            </w:r>
            <w:r>
              <w:rPr>
                <w:sz w:val="21"/>
              </w:rPr>
              <w:t>025</w:t>
            </w:r>
            <w:r>
              <w:rPr>
                <w:rFonts w:hint="eastAsia"/>
                <w:sz w:val="21"/>
              </w:rPr>
              <w:t>年</w:t>
            </w:r>
            <w:r>
              <w:rPr>
                <w:rFonts w:hint="eastAsia"/>
                <w:sz w:val="21"/>
              </w:rPr>
              <w:t>8</w:t>
            </w:r>
            <w:r>
              <w:rPr>
                <w:rFonts w:hint="eastAsia"/>
                <w:sz w:val="21"/>
              </w:rPr>
              <w:t>月</w:t>
            </w:r>
            <w:r>
              <w:rPr>
                <w:rFonts w:hint="eastAsia"/>
                <w:sz w:val="21"/>
              </w:rPr>
              <w:t>1</w:t>
            </w:r>
            <w:r>
              <w:rPr>
                <w:sz w:val="21"/>
              </w:rPr>
              <w:t>2</w:t>
            </w:r>
            <w:r>
              <w:rPr>
                <w:rFonts w:hint="eastAsia"/>
                <w:sz w:val="21"/>
              </w:rPr>
              <w:t>日</w:t>
            </w:r>
          </w:p>
        </w:tc>
      </w:tr>
      <w:tr w:rsidR="00AF5750" w:rsidRPr="00D66B8F" w14:paraId="50576E49" w14:textId="77777777" w:rsidTr="00AA247E">
        <w:trPr>
          <w:trHeight w:val="397"/>
        </w:trPr>
        <w:tc>
          <w:tcPr>
            <w:tcW w:w="1598" w:type="dxa"/>
            <w:vAlign w:val="center"/>
          </w:tcPr>
          <w:p w14:paraId="2F602F79" w14:textId="77777777" w:rsidR="00AF5750" w:rsidRPr="00D66B8F" w:rsidRDefault="00AF5750" w:rsidP="001C2711">
            <w:pPr>
              <w:rPr>
                <w:sz w:val="21"/>
              </w:rPr>
            </w:pPr>
            <w:r w:rsidRPr="00D66B8F">
              <w:rPr>
                <w:rFonts w:hint="eastAsia"/>
                <w:sz w:val="21"/>
              </w:rPr>
              <w:t>地点</w:t>
            </w:r>
          </w:p>
        </w:tc>
        <w:tc>
          <w:tcPr>
            <w:tcW w:w="6698" w:type="dxa"/>
            <w:vAlign w:val="center"/>
          </w:tcPr>
          <w:p w14:paraId="1809F061" w14:textId="77777777" w:rsidR="00AF5750" w:rsidRPr="00D66B8F" w:rsidRDefault="004B632F" w:rsidP="001C2711">
            <w:pPr>
              <w:rPr>
                <w:sz w:val="21"/>
              </w:rPr>
            </w:pPr>
            <w:r>
              <w:rPr>
                <w:rFonts w:hint="eastAsia"/>
                <w:sz w:val="21"/>
              </w:rPr>
              <w:t>公司会议室现场与线上会议相结合</w:t>
            </w:r>
          </w:p>
        </w:tc>
      </w:tr>
      <w:tr w:rsidR="00AF5750" w:rsidRPr="00D66B8F" w14:paraId="3DE77B75" w14:textId="77777777" w:rsidTr="00AA247E">
        <w:trPr>
          <w:trHeight w:val="397"/>
        </w:trPr>
        <w:tc>
          <w:tcPr>
            <w:tcW w:w="1598" w:type="dxa"/>
            <w:vAlign w:val="center"/>
          </w:tcPr>
          <w:p w14:paraId="452ED770" w14:textId="77777777" w:rsidR="00AF5750" w:rsidRPr="00D66B8F" w:rsidRDefault="00AF5750" w:rsidP="001C2711">
            <w:pPr>
              <w:rPr>
                <w:sz w:val="21"/>
              </w:rPr>
            </w:pPr>
            <w:r w:rsidRPr="00D66B8F">
              <w:rPr>
                <w:rFonts w:hint="eastAsia"/>
                <w:sz w:val="21"/>
              </w:rPr>
              <w:t>上市公司接待人员姓名</w:t>
            </w:r>
          </w:p>
        </w:tc>
        <w:tc>
          <w:tcPr>
            <w:tcW w:w="6698" w:type="dxa"/>
            <w:vAlign w:val="center"/>
          </w:tcPr>
          <w:p w14:paraId="310BB343" w14:textId="77777777" w:rsidR="00AF5750" w:rsidRPr="00CC49A5" w:rsidRDefault="00CC49A5" w:rsidP="00CC49A5">
            <w:pPr>
              <w:spacing w:line="360" w:lineRule="auto"/>
              <w:rPr>
                <w:rFonts w:ascii="Wingdings 2" w:hAnsi="Wingdings 2"/>
                <w:sz w:val="21"/>
              </w:rPr>
            </w:pPr>
            <w:r w:rsidRPr="00CC49A5">
              <w:rPr>
                <w:rFonts w:ascii="Wingdings 2" w:hAnsi="Wingdings 2" w:hint="eastAsia"/>
                <w:sz w:val="21"/>
              </w:rPr>
              <w:t>董事长、总经理：朱忠敏</w:t>
            </w:r>
          </w:p>
          <w:p w14:paraId="28E8E76F" w14:textId="1AC4B2C3" w:rsidR="00CC49A5" w:rsidRDefault="00CC49A5" w:rsidP="00CC49A5">
            <w:pPr>
              <w:spacing w:line="360" w:lineRule="auto"/>
              <w:rPr>
                <w:rFonts w:ascii="Wingdings 2" w:hAnsi="Wingdings 2"/>
                <w:sz w:val="21"/>
              </w:rPr>
            </w:pPr>
            <w:r w:rsidRPr="00CC49A5">
              <w:rPr>
                <w:rFonts w:ascii="Wingdings 2" w:hAnsi="Wingdings 2" w:hint="eastAsia"/>
                <w:sz w:val="21"/>
              </w:rPr>
              <w:t>董事、董事会秘书：邹金彤</w:t>
            </w:r>
          </w:p>
          <w:p w14:paraId="3F46C9CC" w14:textId="77777777" w:rsidR="00AA247E" w:rsidRDefault="00AA247E" w:rsidP="00AA247E">
            <w:pPr>
              <w:spacing w:line="360" w:lineRule="auto"/>
              <w:rPr>
                <w:rFonts w:ascii="Wingdings 2" w:hAnsi="Wingdings 2"/>
                <w:sz w:val="21"/>
              </w:rPr>
            </w:pPr>
            <w:r>
              <w:rPr>
                <w:rFonts w:ascii="Wingdings 2" w:hAnsi="Wingdings 2" w:hint="eastAsia"/>
                <w:sz w:val="21"/>
              </w:rPr>
              <w:t>市场与战略客户总部经理</w:t>
            </w:r>
          </w:p>
          <w:p w14:paraId="0A035BDA" w14:textId="77777777" w:rsidR="00CC49A5" w:rsidRPr="00D66B8F" w:rsidRDefault="00CC49A5" w:rsidP="00CC49A5">
            <w:pPr>
              <w:spacing w:line="360" w:lineRule="auto"/>
              <w:rPr>
                <w:sz w:val="21"/>
              </w:rPr>
            </w:pPr>
            <w:r w:rsidRPr="00CC49A5">
              <w:rPr>
                <w:rFonts w:ascii="Wingdings 2" w:hAnsi="Wingdings 2" w:hint="eastAsia"/>
                <w:sz w:val="21"/>
              </w:rPr>
              <w:t>证券事务代表：孙奕然</w:t>
            </w:r>
          </w:p>
        </w:tc>
      </w:tr>
      <w:tr w:rsidR="00AF5750" w:rsidRPr="00D66B8F" w14:paraId="11D0DE0B" w14:textId="77777777" w:rsidTr="00AA247E">
        <w:trPr>
          <w:trHeight w:val="397"/>
        </w:trPr>
        <w:tc>
          <w:tcPr>
            <w:tcW w:w="1598" w:type="dxa"/>
            <w:vAlign w:val="center"/>
          </w:tcPr>
          <w:p w14:paraId="7478195B" w14:textId="77777777" w:rsidR="00AF5750" w:rsidRPr="00D66B8F" w:rsidRDefault="00AF5750" w:rsidP="001C2711">
            <w:pPr>
              <w:rPr>
                <w:sz w:val="21"/>
              </w:rPr>
            </w:pPr>
            <w:r w:rsidRPr="00D66B8F">
              <w:rPr>
                <w:rFonts w:hint="eastAsia"/>
                <w:sz w:val="21"/>
              </w:rPr>
              <w:t>投资者关系活动主要内容介绍</w:t>
            </w:r>
          </w:p>
        </w:tc>
        <w:tc>
          <w:tcPr>
            <w:tcW w:w="6698" w:type="dxa"/>
            <w:vAlign w:val="center"/>
          </w:tcPr>
          <w:p w14:paraId="3E71C0CE" w14:textId="574A2FD4" w:rsidR="006D3333" w:rsidRPr="00F63A29" w:rsidRDefault="000A3AFC" w:rsidP="00B2508A">
            <w:pPr>
              <w:adjustRightInd w:val="0"/>
              <w:snapToGrid w:val="0"/>
              <w:spacing w:beforeLines="50" w:before="156" w:line="288" w:lineRule="auto"/>
              <w:rPr>
                <w:b/>
                <w:sz w:val="21"/>
              </w:rPr>
            </w:pPr>
            <w:r w:rsidRPr="00F63A29">
              <w:rPr>
                <w:rFonts w:hint="eastAsia"/>
                <w:b/>
                <w:sz w:val="21"/>
              </w:rPr>
              <w:t>问题</w:t>
            </w:r>
            <w:r w:rsidRPr="00F63A29">
              <w:rPr>
                <w:rFonts w:hint="eastAsia"/>
                <w:b/>
                <w:sz w:val="21"/>
              </w:rPr>
              <w:t>1</w:t>
            </w:r>
            <w:r w:rsidRPr="00F63A29">
              <w:rPr>
                <w:rFonts w:hint="eastAsia"/>
                <w:b/>
                <w:sz w:val="21"/>
              </w:rPr>
              <w:t>、</w:t>
            </w:r>
            <w:r w:rsidR="003567CA" w:rsidRPr="00F63A29">
              <w:rPr>
                <w:rFonts w:hint="eastAsia"/>
                <w:b/>
                <w:sz w:val="21"/>
              </w:rPr>
              <w:t>公司在</w:t>
            </w:r>
            <w:r w:rsidR="006D3333" w:rsidRPr="00F63A29">
              <w:rPr>
                <w:rFonts w:hint="eastAsia"/>
                <w:b/>
                <w:sz w:val="21"/>
              </w:rPr>
              <w:t>售后修补涂料、新车内外饰件</w:t>
            </w:r>
            <w:r w:rsidR="00B208CB" w:rsidRPr="00F63A29">
              <w:rPr>
                <w:rFonts w:hint="eastAsia"/>
                <w:b/>
                <w:sz w:val="21"/>
              </w:rPr>
              <w:t>涂料</w:t>
            </w:r>
            <w:r w:rsidR="006D3333" w:rsidRPr="00F63A29">
              <w:rPr>
                <w:rFonts w:hint="eastAsia"/>
                <w:b/>
                <w:sz w:val="21"/>
              </w:rPr>
              <w:t>业务进展情况如何？</w:t>
            </w:r>
          </w:p>
          <w:p w14:paraId="2CFE6558" w14:textId="77777777" w:rsidR="000A3AFC" w:rsidRPr="00F63A29" w:rsidRDefault="000A3AFC" w:rsidP="00B2508A">
            <w:pPr>
              <w:adjustRightInd w:val="0"/>
              <w:snapToGrid w:val="0"/>
              <w:spacing w:beforeLines="50" w:before="156" w:line="288" w:lineRule="auto"/>
              <w:rPr>
                <w:sz w:val="21"/>
              </w:rPr>
            </w:pPr>
            <w:r w:rsidRPr="00F63A29">
              <w:rPr>
                <w:rFonts w:hint="eastAsia"/>
                <w:sz w:val="21"/>
              </w:rPr>
              <w:t>回答：</w:t>
            </w:r>
          </w:p>
          <w:p w14:paraId="54DFDFE6" w14:textId="77777777" w:rsidR="00B208CB" w:rsidRPr="00F63A29" w:rsidRDefault="00B208CB" w:rsidP="00B2508A">
            <w:pPr>
              <w:adjustRightInd w:val="0"/>
              <w:snapToGrid w:val="0"/>
              <w:spacing w:beforeLines="50" w:before="156" w:line="288" w:lineRule="auto"/>
              <w:rPr>
                <w:sz w:val="21"/>
              </w:rPr>
            </w:pPr>
            <w:r w:rsidRPr="00F63A29">
              <w:rPr>
                <w:rFonts w:hint="eastAsia"/>
                <w:sz w:val="21"/>
              </w:rPr>
              <w:t>（</w:t>
            </w:r>
            <w:r w:rsidRPr="00F63A29">
              <w:rPr>
                <w:rFonts w:hint="eastAsia"/>
                <w:sz w:val="21"/>
              </w:rPr>
              <w:t>1</w:t>
            </w:r>
            <w:r w:rsidRPr="00F63A29">
              <w:rPr>
                <w:rFonts w:hint="eastAsia"/>
                <w:sz w:val="21"/>
              </w:rPr>
              <w:t>）售后修补涂料</w:t>
            </w:r>
          </w:p>
          <w:p w14:paraId="2C6C96DE" w14:textId="2D6CA498" w:rsidR="009C0202" w:rsidRPr="00F63A29" w:rsidRDefault="00B208CB" w:rsidP="00B2508A">
            <w:pPr>
              <w:adjustRightInd w:val="0"/>
              <w:snapToGrid w:val="0"/>
              <w:spacing w:beforeLines="50" w:before="156" w:line="288" w:lineRule="auto"/>
              <w:rPr>
                <w:sz w:val="21"/>
              </w:rPr>
            </w:pPr>
            <w:r w:rsidRPr="00F63A29">
              <w:rPr>
                <w:rFonts w:hint="eastAsia"/>
                <w:sz w:val="21"/>
              </w:rPr>
              <w:t>a.</w:t>
            </w:r>
            <w:r w:rsidR="009C0202" w:rsidRPr="00F63A29">
              <w:rPr>
                <w:rFonts w:hint="eastAsia"/>
                <w:sz w:val="21"/>
              </w:rPr>
              <w:t xml:space="preserve"> </w:t>
            </w:r>
            <w:r w:rsidR="009C0202" w:rsidRPr="00F63A29">
              <w:rPr>
                <w:rFonts w:hint="eastAsia"/>
                <w:sz w:val="21"/>
              </w:rPr>
              <w:t>中高端市场</w:t>
            </w:r>
            <w:r w:rsidR="009C0202">
              <w:rPr>
                <w:sz w:val="21"/>
              </w:rPr>
              <w:t>—</w:t>
            </w:r>
            <w:r w:rsidR="009C0202">
              <w:rPr>
                <w:rFonts w:hint="eastAsia"/>
                <w:sz w:val="21"/>
              </w:rPr>
              <w:t>汽车</w:t>
            </w:r>
            <w:r w:rsidR="009C0202" w:rsidRPr="00F63A29">
              <w:rPr>
                <w:rFonts w:hint="eastAsia"/>
                <w:sz w:val="21"/>
              </w:rPr>
              <w:t>主机厂的原厂认证</w:t>
            </w:r>
            <w:r w:rsidR="009C0202">
              <w:rPr>
                <w:rFonts w:hint="eastAsia"/>
                <w:sz w:val="21"/>
              </w:rPr>
              <w:t>集中采购</w:t>
            </w:r>
            <w:r w:rsidR="009C0202" w:rsidRPr="00F63A29">
              <w:rPr>
                <w:rFonts w:hint="eastAsia"/>
                <w:sz w:val="21"/>
              </w:rPr>
              <w:t>。</w:t>
            </w:r>
          </w:p>
          <w:p w14:paraId="5E421847" w14:textId="77777777" w:rsidR="009C0202" w:rsidRDefault="00B208CB" w:rsidP="00B2508A">
            <w:pPr>
              <w:adjustRightInd w:val="0"/>
              <w:snapToGrid w:val="0"/>
              <w:spacing w:beforeLines="50" w:before="156" w:line="288" w:lineRule="auto"/>
              <w:rPr>
                <w:sz w:val="21"/>
              </w:rPr>
            </w:pPr>
            <w:r w:rsidRPr="00F63A29">
              <w:rPr>
                <w:rFonts w:hint="eastAsia"/>
                <w:sz w:val="21"/>
              </w:rPr>
              <w:t>在获得原厂认证或</w:t>
            </w:r>
            <w:r w:rsidR="009C0202">
              <w:rPr>
                <w:rFonts w:hint="eastAsia"/>
                <w:sz w:val="21"/>
              </w:rPr>
              <w:t>集中采购的</w:t>
            </w:r>
            <w:r w:rsidRPr="00F63A29">
              <w:rPr>
                <w:rFonts w:hint="eastAsia"/>
                <w:sz w:val="21"/>
              </w:rPr>
              <w:t>汽车售后修补涂料品牌中，</w:t>
            </w:r>
            <w:r w:rsidR="009C0202">
              <w:rPr>
                <w:rFonts w:hint="eastAsia"/>
                <w:sz w:val="21"/>
              </w:rPr>
              <w:t>日韩品牌（</w:t>
            </w:r>
            <w:r w:rsidR="009C0202">
              <w:rPr>
                <w:rFonts w:hint="eastAsia"/>
                <w:sz w:val="21"/>
              </w:rPr>
              <w:t>3+2</w:t>
            </w:r>
            <w:r w:rsidR="009C0202">
              <w:rPr>
                <w:rFonts w:hint="eastAsia"/>
                <w:sz w:val="21"/>
              </w:rPr>
              <w:t>）市场份额下降明显；</w:t>
            </w:r>
            <w:r w:rsidR="009C0202">
              <w:rPr>
                <w:rFonts w:hint="eastAsia"/>
                <w:sz w:val="21"/>
              </w:rPr>
              <w:t>5</w:t>
            </w:r>
            <w:r w:rsidR="009C0202">
              <w:rPr>
                <w:rFonts w:hint="eastAsia"/>
                <w:sz w:val="21"/>
              </w:rPr>
              <w:t>家</w:t>
            </w:r>
            <w:r w:rsidRPr="00F63A29">
              <w:rPr>
                <w:rFonts w:hint="eastAsia"/>
                <w:sz w:val="21"/>
              </w:rPr>
              <w:t>欧美品牌</w:t>
            </w:r>
            <w:r w:rsidR="009C0202">
              <w:rPr>
                <w:rFonts w:hint="eastAsia"/>
                <w:sz w:val="21"/>
              </w:rPr>
              <w:t>中</w:t>
            </w:r>
            <w:r w:rsidRPr="00F63A29">
              <w:rPr>
                <w:rFonts w:hint="eastAsia"/>
                <w:sz w:val="21"/>
              </w:rPr>
              <w:t>，美国庞贝捷（</w:t>
            </w:r>
            <w:r w:rsidRPr="00F63A29">
              <w:rPr>
                <w:rFonts w:hint="eastAsia"/>
                <w:sz w:val="21"/>
              </w:rPr>
              <w:t>PPG</w:t>
            </w:r>
            <w:r w:rsidRPr="00F63A29">
              <w:rPr>
                <w:rFonts w:hint="eastAsia"/>
                <w:sz w:val="21"/>
              </w:rPr>
              <w:t>）、德国巴斯夫（</w:t>
            </w:r>
            <w:r w:rsidRPr="00F63A29">
              <w:rPr>
                <w:rFonts w:hint="eastAsia"/>
                <w:sz w:val="21"/>
              </w:rPr>
              <w:t>BASF</w:t>
            </w:r>
            <w:r w:rsidRPr="00F63A29">
              <w:rPr>
                <w:rFonts w:hint="eastAsia"/>
                <w:sz w:val="21"/>
              </w:rPr>
              <w:t>）、美国艾仕得（</w:t>
            </w:r>
            <w:r w:rsidRPr="00F63A29">
              <w:rPr>
                <w:rFonts w:hint="eastAsia"/>
                <w:sz w:val="21"/>
              </w:rPr>
              <w:t>AXALTA</w:t>
            </w:r>
            <w:r w:rsidRPr="00F63A29">
              <w:rPr>
                <w:rFonts w:hint="eastAsia"/>
                <w:sz w:val="21"/>
              </w:rPr>
              <w:t>）、荷兰阿克苏诺贝尔（</w:t>
            </w:r>
            <w:r w:rsidRPr="00F63A29">
              <w:rPr>
                <w:rFonts w:hint="eastAsia"/>
                <w:sz w:val="21"/>
              </w:rPr>
              <w:t>AkzoNobel</w:t>
            </w:r>
            <w:r w:rsidRPr="00F63A29">
              <w:rPr>
                <w:rFonts w:hint="eastAsia"/>
                <w:sz w:val="21"/>
              </w:rPr>
              <w:t>）、美国宣伟（</w:t>
            </w:r>
            <w:r w:rsidRPr="00F63A29">
              <w:rPr>
                <w:rFonts w:hint="eastAsia"/>
                <w:sz w:val="21"/>
              </w:rPr>
              <w:t>SW</w:t>
            </w:r>
            <w:r w:rsidRPr="00F63A29">
              <w:rPr>
                <w:rFonts w:hint="eastAsia"/>
                <w:sz w:val="21"/>
              </w:rPr>
              <w:t>）；</w:t>
            </w:r>
            <w:r w:rsidR="009C0202">
              <w:rPr>
                <w:rFonts w:hint="eastAsia"/>
                <w:sz w:val="21"/>
              </w:rPr>
              <w:t>和</w:t>
            </w:r>
            <w:r w:rsidR="009C0202">
              <w:rPr>
                <w:rFonts w:hint="eastAsia"/>
                <w:sz w:val="21"/>
              </w:rPr>
              <w:t>1</w:t>
            </w:r>
            <w:r w:rsidR="009C0202">
              <w:rPr>
                <w:rFonts w:hint="eastAsia"/>
                <w:sz w:val="21"/>
              </w:rPr>
              <w:t>家中国品牌</w:t>
            </w:r>
            <w:r w:rsidRPr="00F63A29">
              <w:rPr>
                <w:rFonts w:hint="eastAsia"/>
                <w:sz w:val="21"/>
              </w:rPr>
              <w:t>东来技术（</w:t>
            </w:r>
            <w:r w:rsidRPr="00F63A29">
              <w:rPr>
                <w:rFonts w:hint="eastAsia"/>
                <w:sz w:val="21"/>
              </w:rPr>
              <w:t>Donglai</w:t>
            </w:r>
            <w:r w:rsidRPr="00F63A29">
              <w:rPr>
                <w:rFonts w:hint="eastAsia"/>
                <w:sz w:val="21"/>
              </w:rPr>
              <w:t>）。</w:t>
            </w:r>
            <w:r w:rsidR="009C0202">
              <w:rPr>
                <w:rFonts w:hint="eastAsia"/>
                <w:sz w:val="21"/>
              </w:rPr>
              <w:t>，成为主要的市场参与者。</w:t>
            </w:r>
          </w:p>
          <w:p w14:paraId="59F1F7D2" w14:textId="3A180980" w:rsidR="00B208CB" w:rsidRPr="00F63A29" w:rsidRDefault="00B208CB" w:rsidP="00B2508A">
            <w:pPr>
              <w:adjustRightInd w:val="0"/>
              <w:snapToGrid w:val="0"/>
              <w:spacing w:beforeLines="50" w:before="156" w:line="288" w:lineRule="auto"/>
              <w:rPr>
                <w:sz w:val="21"/>
              </w:rPr>
            </w:pPr>
            <w:r w:rsidRPr="00F63A29">
              <w:rPr>
                <w:rFonts w:hint="eastAsia"/>
                <w:sz w:val="21"/>
              </w:rPr>
              <w:t>东来技术</w:t>
            </w:r>
            <w:r w:rsidR="009C0202">
              <w:rPr>
                <w:rFonts w:hint="eastAsia"/>
                <w:sz w:val="21"/>
              </w:rPr>
              <w:t>，</w:t>
            </w:r>
            <w:r w:rsidRPr="00F63A29">
              <w:rPr>
                <w:rFonts w:hint="eastAsia"/>
                <w:sz w:val="21"/>
              </w:rPr>
              <w:t>作为</w:t>
            </w:r>
            <w:r w:rsidR="009C0202">
              <w:rPr>
                <w:rFonts w:hint="eastAsia"/>
                <w:sz w:val="21"/>
              </w:rPr>
              <w:t>汽车涂料行业的</w:t>
            </w:r>
            <w:r w:rsidRPr="00F63A29">
              <w:rPr>
                <w:rFonts w:hint="eastAsia"/>
                <w:sz w:val="21"/>
              </w:rPr>
              <w:t>中国品牌代表，</w:t>
            </w:r>
            <w:r w:rsidR="009C0202">
              <w:rPr>
                <w:rFonts w:hint="eastAsia"/>
                <w:sz w:val="21"/>
              </w:rPr>
              <w:t>已获得</w:t>
            </w:r>
            <w:r w:rsidRPr="00F63A29">
              <w:rPr>
                <w:rFonts w:hint="eastAsia"/>
                <w:sz w:val="21"/>
              </w:rPr>
              <w:t>大多数汽车主机厂的原厂认证和官方集采合作，包括日韩品牌一汽丰田、广汽丰田、东风日产、东风本田、广汽本田、北京现代、悦达起亚；欧美品牌宝马、标致雪铁龙、菲亚特、长安福特、上汽通用、上汽通用五菱、一汽大众、一汽奥迪、沃尔沃等；中国品牌比亚迪、奇瑞、吉利、广汽传祺、华为赛力斯问界、小鹏、一汽红旗、东风柳汽、极氪领克、阿维塔等。</w:t>
            </w:r>
          </w:p>
          <w:p w14:paraId="32BD1E70" w14:textId="73D3353F" w:rsidR="00B208CB" w:rsidRPr="00F63A29" w:rsidRDefault="00B208CB" w:rsidP="00B2508A">
            <w:pPr>
              <w:adjustRightInd w:val="0"/>
              <w:snapToGrid w:val="0"/>
              <w:spacing w:beforeLines="50" w:before="156" w:line="288" w:lineRule="auto"/>
              <w:rPr>
                <w:sz w:val="21"/>
              </w:rPr>
            </w:pPr>
            <w:r w:rsidRPr="00F63A29">
              <w:rPr>
                <w:rFonts w:hint="eastAsia"/>
                <w:sz w:val="21"/>
              </w:rPr>
              <w:lastRenderedPageBreak/>
              <w:t>未来，公司将继续发挥集采优势，</w:t>
            </w:r>
            <w:r w:rsidR="009C0202">
              <w:rPr>
                <w:rFonts w:hint="eastAsia"/>
                <w:sz w:val="21"/>
              </w:rPr>
              <w:t>优化创新</w:t>
            </w:r>
            <w:r w:rsidRPr="00F63A29">
              <w:rPr>
                <w:rFonts w:hint="eastAsia"/>
                <w:sz w:val="21"/>
              </w:rPr>
              <w:t>产品，增加市场份额；巩固公司在汽车主机厂和汽车经销商集团的重要供应商地位，通过直销团队组织建设精耕细作、经销授权经销商加强管理渠道下沉，加大海外市场开发力度，增加全球汽车售后修补涂料市场份额。</w:t>
            </w:r>
          </w:p>
          <w:p w14:paraId="1C457ECA" w14:textId="03398613" w:rsidR="00B208CB" w:rsidRPr="00F63A29" w:rsidRDefault="00B208CB" w:rsidP="00B2508A">
            <w:pPr>
              <w:adjustRightInd w:val="0"/>
              <w:snapToGrid w:val="0"/>
              <w:spacing w:beforeLines="50" w:before="156" w:line="288" w:lineRule="auto"/>
              <w:rPr>
                <w:sz w:val="21"/>
              </w:rPr>
            </w:pPr>
            <w:r w:rsidRPr="00F63A29">
              <w:rPr>
                <w:rFonts w:hint="eastAsia"/>
                <w:sz w:val="21"/>
              </w:rPr>
              <w:t>b.</w:t>
            </w:r>
            <w:r w:rsidR="009C0202">
              <w:rPr>
                <w:rFonts w:hint="eastAsia"/>
                <w:sz w:val="21"/>
              </w:rPr>
              <w:t>中低端市场</w:t>
            </w:r>
            <w:r w:rsidR="009C0202">
              <w:rPr>
                <w:rFonts w:hint="eastAsia"/>
                <w:sz w:val="21"/>
              </w:rPr>
              <w:t>--</w:t>
            </w:r>
            <w:r w:rsidRPr="00F63A29">
              <w:rPr>
                <w:rFonts w:hint="eastAsia"/>
                <w:sz w:val="21"/>
              </w:rPr>
              <w:t>无需获得</w:t>
            </w:r>
            <w:r w:rsidR="009C0202">
              <w:rPr>
                <w:rFonts w:hint="eastAsia"/>
                <w:sz w:val="21"/>
              </w:rPr>
              <w:t>汽车</w:t>
            </w:r>
            <w:r w:rsidRPr="00F63A29">
              <w:rPr>
                <w:rFonts w:hint="eastAsia"/>
                <w:sz w:val="21"/>
              </w:rPr>
              <w:t>主机厂认证的</w:t>
            </w:r>
            <w:r w:rsidR="009C0202">
              <w:rPr>
                <w:rFonts w:hint="eastAsia"/>
                <w:sz w:val="21"/>
              </w:rPr>
              <w:t>经济漆。</w:t>
            </w:r>
          </w:p>
          <w:p w14:paraId="311DC587" w14:textId="7C682062" w:rsidR="00B208CB" w:rsidRPr="00F63A29" w:rsidRDefault="00B208CB" w:rsidP="00B2508A">
            <w:pPr>
              <w:adjustRightInd w:val="0"/>
              <w:snapToGrid w:val="0"/>
              <w:spacing w:beforeLines="50" w:before="156" w:line="288" w:lineRule="auto"/>
              <w:rPr>
                <w:sz w:val="21"/>
              </w:rPr>
            </w:pPr>
            <w:r w:rsidRPr="00F63A29">
              <w:rPr>
                <w:rFonts w:hint="eastAsia"/>
                <w:sz w:val="21"/>
              </w:rPr>
              <w:t>汽车售后修补涂料具有较强的消费属性，</w:t>
            </w:r>
            <w:r w:rsidR="009C0202">
              <w:rPr>
                <w:rFonts w:hint="eastAsia"/>
                <w:sz w:val="21"/>
              </w:rPr>
              <w:t>为了适应</w:t>
            </w:r>
            <w:r w:rsidRPr="00F63A29">
              <w:rPr>
                <w:rFonts w:hint="eastAsia"/>
                <w:sz w:val="21"/>
              </w:rPr>
              <w:t>市场消费</w:t>
            </w:r>
            <w:r w:rsidR="009C0202">
              <w:rPr>
                <w:rFonts w:hint="eastAsia"/>
                <w:sz w:val="21"/>
              </w:rPr>
              <w:t>降级的趋势变化</w:t>
            </w:r>
            <w:r w:rsidRPr="00F63A29">
              <w:rPr>
                <w:rFonts w:hint="eastAsia"/>
                <w:sz w:val="21"/>
              </w:rPr>
              <w:t>，东来技术</w:t>
            </w:r>
            <w:r w:rsidR="009C0202">
              <w:rPr>
                <w:rFonts w:hint="eastAsia"/>
                <w:sz w:val="21"/>
              </w:rPr>
              <w:t>已</w:t>
            </w:r>
            <w:r w:rsidRPr="00F63A29">
              <w:rPr>
                <w:rFonts w:hint="eastAsia"/>
                <w:sz w:val="21"/>
              </w:rPr>
              <w:t>推出经济型修补涂料产品，以</w:t>
            </w:r>
            <w:r w:rsidR="009C0202">
              <w:rPr>
                <w:rFonts w:hint="eastAsia"/>
                <w:sz w:val="21"/>
              </w:rPr>
              <w:t>快速</w:t>
            </w:r>
            <w:r w:rsidRPr="00F63A29">
              <w:rPr>
                <w:rFonts w:hint="eastAsia"/>
                <w:sz w:val="21"/>
              </w:rPr>
              <w:t>提升在中低端市场的份额。公司通过授权经销商加强渠道管理，下沉销售至四、五线城市，触达更大规模的终端用户。</w:t>
            </w:r>
          </w:p>
          <w:p w14:paraId="5E2FA415" w14:textId="77777777" w:rsidR="00B208CB" w:rsidRPr="00F63A29" w:rsidRDefault="00B208CB" w:rsidP="00B2508A">
            <w:pPr>
              <w:adjustRightInd w:val="0"/>
              <w:snapToGrid w:val="0"/>
              <w:spacing w:beforeLines="50" w:before="156" w:line="288" w:lineRule="auto"/>
              <w:rPr>
                <w:sz w:val="21"/>
              </w:rPr>
            </w:pPr>
            <w:r w:rsidRPr="00F63A29">
              <w:rPr>
                <w:rFonts w:hint="eastAsia"/>
                <w:sz w:val="21"/>
              </w:rPr>
              <w:t>一方面，经济型产品借中高端产品多年积累的品牌优势与良好口碑实现快速扩张；另一方面，经济型产品在扩张的同时提高了东来技术在下沉市场的知名度。</w:t>
            </w:r>
          </w:p>
          <w:p w14:paraId="64B6A3E0" w14:textId="77777777" w:rsidR="00B208CB" w:rsidRPr="00F63A29" w:rsidRDefault="00B208CB" w:rsidP="00B2508A">
            <w:pPr>
              <w:adjustRightInd w:val="0"/>
              <w:snapToGrid w:val="0"/>
              <w:spacing w:beforeLines="50" w:before="156" w:line="288" w:lineRule="auto"/>
              <w:rPr>
                <w:sz w:val="21"/>
              </w:rPr>
            </w:pPr>
            <w:r w:rsidRPr="00F63A29">
              <w:rPr>
                <w:rFonts w:hint="eastAsia"/>
                <w:sz w:val="21"/>
              </w:rPr>
              <w:t>（</w:t>
            </w:r>
            <w:r w:rsidRPr="00F63A29">
              <w:rPr>
                <w:rFonts w:hint="eastAsia"/>
                <w:sz w:val="21"/>
              </w:rPr>
              <w:t>2</w:t>
            </w:r>
            <w:r w:rsidRPr="00F63A29">
              <w:rPr>
                <w:rFonts w:hint="eastAsia"/>
                <w:sz w:val="21"/>
              </w:rPr>
              <w:t>）新车内外饰件涂料</w:t>
            </w:r>
          </w:p>
          <w:p w14:paraId="4DB9B7F1" w14:textId="36AA737A" w:rsidR="00B208CB" w:rsidRPr="00F63A29" w:rsidRDefault="00B208CB" w:rsidP="00B2508A">
            <w:pPr>
              <w:adjustRightInd w:val="0"/>
              <w:snapToGrid w:val="0"/>
              <w:spacing w:beforeLines="50" w:before="156" w:line="288" w:lineRule="auto"/>
              <w:rPr>
                <w:sz w:val="21"/>
              </w:rPr>
            </w:pPr>
            <w:r w:rsidRPr="00F63A29">
              <w:rPr>
                <w:rFonts w:hint="eastAsia"/>
                <w:sz w:val="21"/>
              </w:rPr>
              <w:t>依托独特而普遍的原厂认证优势、多年积累的技术团队优势，东来技术与汽车主机厂</w:t>
            </w:r>
            <w:r w:rsidR="009C0202">
              <w:rPr>
                <w:rFonts w:hint="eastAsia"/>
                <w:sz w:val="21"/>
              </w:rPr>
              <w:t>合作良好</w:t>
            </w:r>
            <w:r w:rsidRPr="00F63A29">
              <w:rPr>
                <w:rFonts w:hint="eastAsia"/>
                <w:sz w:val="21"/>
              </w:rPr>
              <w:t>，沉淀了良好的客户群体和行业</w:t>
            </w:r>
            <w:r w:rsidR="009C0202">
              <w:rPr>
                <w:rFonts w:hint="eastAsia"/>
                <w:sz w:val="21"/>
              </w:rPr>
              <w:t>口碑</w:t>
            </w:r>
            <w:r w:rsidRPr="00F63A29">
              <w:rPr>
                <w:rFonts w:hint="eastAsia"/>
                <w:sz w:val="21"/>
              </w:rPr>
              <w:t>，在汽车新车内外饰涂料领域不断获得新客户的认可与量产实绩。</w:t>
            </w:r>
          </w:p>
          <w:p w14:paraId="68D28425" w14:textId="0B1E02AE" w:rsidR="00B208CB" w:rsidRPr="00F63A29" w:rsidRDefault="009C0202" w:rsidP="00B2508A">
            <w:pPr>
              <w:adjustRightInd w:val="0"/>
              <w:snapToGrid w:val="0"/>
              <w:spacing w:beforeLines="50" w:before="156" w:line="288" w:lineRule="auto"/>
              <w:rPr>
                <w:sz w:val="21"/>
              </w:rPr>
            </w:pPr>
            <w:r>
              <w:rPr>
                <w:rFonts w:hint="eastAsia"/>
                <w:sz w:val="21"/>
              </w:rPr>
              <w:t>在</w:t>
            </w:r>
            <w:r w:rsidR="00B208CB" w:rsidRPr="00F63A29">
              <w:rPr>
                <w:rFonts w:hint="eastAsia"/>
                <w:sz w:val="21"/>
              </w:rPr>
              <w:t>从</w:t>
            </w:r>
            <w:r w:rsidR="00B208CB" w:rsidRPr="00F63A29">
              <w:rPr>
                <w:rFonts w:hint="eastAsia"/>
                <w:sz w:val="21"/>
              </w:rPr>
              <w:t>0</w:t>
            </w:r>
            <w:r w:rsidR="00B208CB" w:rsidRPr="00F63A29">
              <w:rPr>
                <w:rFonts w:hint="eastAsia"/>
                <w:sz w:val="21"/>
              </w:rPr>
              <w:t>到</w:t>
            </w:r>
            <w:r w:rsidR="00B208CB" w:rsidRPr="00F63A29">
              <w:rPr>
                <w:rFonts w:hint="eastAsia"/>
                <w:sz w:val="21"/>
              </w:rPr>
              <w:t>1</w:t>
            </w:r>
            <w:r w:rsidR="00B208CB" w:rsidRPr="00F63A29">
              <w:rPr>
                <w:rFonts w:hint="eastAsia"/>
                <w:sz w:val="21"/>
              </w:rPr>
              <w:t>突破</w:t>
            </w:r>
            <w:r>
              <w:rPr>
                <w:rFonts w:hint="eastAsia"/>
                <w:sz w:val="21"/>
              </w:rPr>
              <w:t>，进入</w:t>
            </w:r>
            <w:r w:rsidR="00B208CB" w:rsidRPr="00F63A29">
              <w:rPr>
                <w:rFonts w:hint="eastAsia"/>
                <w:sz w:val="21"/>
              </w:rPr>
              <w:t>快速发展阶段。在内外饰件涂料领域，获得技术认证准入和量产实绩证明的汽车主机厂品牌中，包括中国品牌比亚迪、奇瑞、吉利、极氪领克、上汽、广汽、长安、长城、理想、蔚来、小米、一汽红旗等，合作项目的广度和深度快速进步；日韩品牌，包括一汽丰田、广汽丰田、东风日产、东风本田、广汽本田、北京现代、悦达起亚；欧美品牌，包括宝马汽车、标致雪铁龙、菲亚特、长安福特、上汽通用、上汽通用五菱、一汽大众、一汽奥迪、沃尔沃等。</w:t>
            </w:r>
            <w:r w:rsidR="00C606BA">
              <w:rPr>
                <w:rFonts w:hint="eastAsia"/>
                <w:sz w:val="21"/>
              </w:rPr>
              <w:t>例如：</w:t>
            </w:r>
            <w:r w:rsidR="00B208CB" w:rsidRPr="00F63A29">
              <w:rPr>
                <w:rFonts w:hint="eastAsia"/>
                <w:sz w:val="21"/>
              </w:rPr>
              <w:t>东来技术是获得上汽通用、长安福特全球技术认证的唯一中国品牌，大众汽车外饰涂料官方技术认证的唯一中国品牌。</w:t>
            </w:r>
          </w:p>
          <w:p w14:paraId="5695F7CC" w14:textId="7B31F059" w:rsidR="000D6BA4" w:rsidRDefault="00B208CB" w:rsidP="00B2508A">
            <w:pPr>
              <w:adjustRightInd w:val="0"/>
              <w:snapToGrid w:val="0"/>
              <w:spacing w:beforeLines="50" w:before="156" w:line="288" w:lineRule="auto"/>
              <w:rPr>
                <w:sz w:val="21"/>
              </w:rPr>
            </w:pPr>
            <w:r w:rsidRPr="00F63A29">
              <w:rPr>
                <w:rFonts w:hint="eastAsia"/>
                <w:sz w:val="21"/>
              </w:rPr>
              <w:t>目前，售后修补涂料及新车内外饰件涂料</w:t>
            </w:r>
            <w:r w:rsidR="00C606BA">
              <w:rPr>
                <w:rFonts w:hint="eastAsia"/>
                <w:sz w:val="21"/>
              </w:rPr>
              <w:t>，</w:t>
            </w:r>
            <w:r w:rsidRPr="00F63A29">
              <w:rPr>
                <w:rFonts w:hint="eastAsia"/>
                <w:sz w:val="21"/>
              </w:rPr>
              <w:t>保持</w:t>
            </w:r>
            <w:r w:rsidR="00C606BA">
              <w:rPr>
                <w:rFonts w:hint="eastAsia"/>
                <w:sz w:val="21"/>
              </w:rPr>
              <w:t>正常的</w:t>
            </w:r>
            <w:r w:rsidRPr="00F63A29">
              <w:rPr>
                <w:rFonts w:hint="eastAsia"/>
                <w:sz w:val="21"/>
              </w:rPr>
              <w:t>良性增长状态。</w:t>
            </w:r>
          </w:p>
          <w:p w14:paraId="45DE8004" w14:textId="77777777" w:rsidR="00AA247E" w:rsidRPr="00F63A29" w:rsidRDefault="00AA247E" w:rsidP="00B2508A">
            <w:pPr>
              <w:adjustRightInd w:val="0"/>
              <w:snapToGrid w:val="0"/>
              <w:spacing w:beforeLines="50" w:before="156" w:line="288" w:lineRule="auto"/>
              <w:rPr>
                <w:sz w:val="21"/>
              </w:rPr>
            </w:pPr>
          </w:p>
          <w:p w14:paraId="55B0B94A" w14:textId="30839CFB" w:rsidR="006D3333" w:rsidRPr="00F63A29" w:rsidRDefault="000A3AFC" w:rsidP="00B2508A">
            <w:pPr>
              <w:adjustRightInd w:val="0"/>
              <w:snapToGrid w:val="0"/>
              <w:spacing w:beforeLines="50" w:before="156" w:line="288" w:lineRule="auto"/>
              <w:rPr>
                <w:b/>
                <w:sz w:val="21"/>
              </w:rPr>
            </w:pPr>
            <w:r w:rsidRPr="00F63A29">
              <w:rPr>
                <w:rFonts w:hint="eastAsia"/>
                <w:b/>
                <w:sz w:val="21"/>
              </w:rPr>
              <w:t>问题</w:t>
            </w:r>
            <w:r w:rsidRPr="00F63A29">
              <w:rPr>
                <w:rFonts w:hint="eastAsia"/>
                <w:b/>
                <w:sz w:val="21"/>
              </w:rPr>
              <w:t>2</w:t>
            </w:r>
            <w:r w:rsidRPr="00F63A29">
              <w:rPr>
                <w:rFonts w:hint="eastAsia"/>
                <w:b/>
                <w:sz w:val="21"/>
              </w:rPr>
              <w:t>、</w:t>
            </w:r>
            <w:r w:rsidR="003567CA" w:rsidRPr="00F63A29">
              <w:rPr>
                <w:rFonts w:hint="eastAsia"/>
                <w:b/>
                <w:sz w:val="21"/>
              </w:rPr>
              <w:t>在</w:t>
            </w:r>
            <w:r w:rsidR="00F63A29" w:rsidRPr="00F63A29">
              <w:rPr>
                <w:rFonts w:hint="eastAsia"/>
                <w:b/>
                <w:sz w:val="21"/>
              </w:rPr>
              <w:t>乘用车</w:t>
            </w:r>
            <w:r w:rsidR="00F63A29" w:rsidRPr="00F63A29">
              <w:rPr>
                <w:rFonts w:hint="eastAsia"/>
                <w:b/>
                <w:sz w:val="21"/>
              </w:rPr>
              <w:t>OEM</w:t>
            </w:r>
            <w:r w:rsidR="00FF1C46">
              <w:rPr>
                <w:rFonts w:hint="eastAsia"/>
                <w:b/>
                <w:sz w:val="21"/>
              </w:rPr>
              <w:t>原厂</w:t>
            </w:r>
            <w:r w:rsidR="00C606BA">
              <w:rPr>
                <w:rFonts w:hint="eastAsia"/>
                <w:b/>
                <w:sz w:val="21"/>
              </w:rPr>
              <w:t>车身</w:t>
            </w:r>
            <w:r w:rsidR="00FF1C46">
              <w:rPr>
                <w:rFonts w:hint="eastAsia"/>
                <w:b/>
                <w:sz w:val="21"/>
              </w:rPr>
              <w:t>涂料</w:t>
            </w:r>
            <w:r w:rsidR="006D3333" w:rsidRPr="00F63A29">
              <w:rPr>
                <w:rFonts w:hint="eastAsia"/>
                <w:b/>
                <w:sz w:val="21"/>
              </w:rPr>
              <w:t>领域的进展和规划</w:t>
            </w:r>
            <w:r w:rsidR="003567CA" w:rsidRPr="00F63A29">
              <w:rPr>
                <w:rFonts w:hint="eastAsia"/>
                <w:b/>
                <w:sz w:val="21"/>
              </w:rPr>
              <w:t>如何</w:t>
            </w:r>
            <w:r w:rsidR="006D3333" w:rsidRPr="00F63A29">
              <w:rPr>
                <w:rFonts w:hint="eastAsia"/>
                <w:b/>
                <w:sz w:val="21"/>
              </w:rPr>
              <w:t>？</w:t>
            </w:r>
          </w:p>
          <w:p w14:paraId="77C1306F" w14:textId="77777777" w:rsidR="008115AD" w:rsidRPr="00F63A29" w:rsidRDefault="008115AD" w:rsidP="00B2508A">
            <w:pPr>
              <w:adjustRightInd w:val="0"/>
              <w:snapToGrid w:val="0"/>
              <w:spacing w:beforeLines="50" w:before="156" w:line="288" w:lineRule="auto"/>
              <w:rPr>
                <w:sz w:val="21"/>
              </w:rPr>
            </w:pPr>
            <w:r w:rsidRPr="00F63A29">
              <w:rPr>
                <w:rFonts w:hint="eastAsia"/>
                <w:sz w:val="21"/>
              </w:rPr>
              <w:t>回答：</w:t>
            </w:r>
          </w:p>
          <w:p w14:paraId="1B05461C" w14:textId="6B4E0889" w:rsidR="00D4137D" w:rsidRPr="00F63A29" w:rsidRDefault="00D4137D" w:rsidP="00B2508A">
            <w:pPr>
              <w:adjustRightInd w:val="0"/>
              <w:snapToGrid w:val="0"/>
              <w:spacing w:beforeLines="50" w:before="156" w:line="288" w:lineRule="auto"/>
              <w:rPr>
                <w:sz w:val="21"/>
              </w:rPr>
            </w:pPr>
            <w:r w:rsidRPr="00F63A29">
              <w:rPr>
                <w:rFonts w:hint="eastAsia"/>
                <w:sz w:val="21"/>
              </w:rPr>
              <w:t>目前乘用车</w:t>
            </w:r>
            <w:r w:rsidRPr="00F63A29">
              <w:rPr>
                <w:rFonts w:hint="eastAsia"/>
                <w:sz w:val="21"/>
              </w:rPr>
              <w:t>OEM</w:t>
            </w:r>
            <w:r w:rsidRPr="00F63A29">
              <w:rPr>
                <w:rFonts w:hint="eastAsia"/>
                <w:sz w:val="21"/>
              </w:rPr>
              <w:t>原厂涂料市场</w:t>
            </w:r>
            <w:r w:rsidR="00C606BA">
              <w:rPr>
                <w:rFonts w:hint="eastAsia"/>
                <w:sz w:val="21"/>
              </w:rPr>
              <w:t>，</w:t>
            </w:r>
            <w:r w:rsidRPr="00F63A29">
              <w:rPr>
                <w:rFonts w:hint="eastAsia"/>
                <w:sz w:val="21"/>
              </w:rPr>
              <w:t>处于被欧美、日本品牌</w:t>
            </w:r>
            <w:r w:rsidR="00C606BA">
              <w:rPr>
                <w:rFonts w:hint="eastAsia"/>
                <w:sz w:val="21"/>
              </w:rPr>
              <w:t>寡头</w:t>
            </w:r>
            <w:r w:rsidRPr="00F63A29">
              <w:rPr>
                <w:rFonts w:hint="eastAsia"/>
                <w:sz w:val="21"/>
              </w:rPr>
              <w:t>垄断的局面。</w:t>
            </w:r>
            <w:r w:rsidR="00C606BA">
              <w:rPr>
                <w:rFonts w:hint="eastAsia"/>
                <w:sz w:val="21"/>
              </w:rPr>
              <w:t>因为</w:t>
            </w:r>
            <w:r w:rsidRPr="00F63A29">
              <w:rPr>
                <w:rFonts w:hint="eastAsia"/>
                <w:sz w:val="21"/>
              </w:rPr>
              <w:t>供应链安全</w:t>
            </w:r>
            <w:r w:rsidR="00C606BA">
              <w:rPr>
                <w:rFonts w:hint="eastAsia"/>
                <w:sz w:val="21"/>
              </w:rPr>
              <w:t>需要</w:t>
            </w:r>
            <w:r w:rsidRPr="00F63A29">
              <w:rPr>
                <w:rFonts w:hint="eastAsia"/>
                <w:sz w:val="21"/>
              </w:rPr>
              <w:t>、主机厂降本</w:t>
            </w:r>
            <w:r w:rsidR="00C606BA">
              <w:rPr>
                <w:rFonts w:hint="eastAsia"/>
                <w:sz w:val="21"/>
              </w:rPr>
              <w:t>增效</w:t>
            </w:r>
            <w:r w:rsidRPr="00F63A29">
              <w:rPr>
                <w:rFonts w:hint="eastAsia"/>
                <w:sz w:val="21"/>
              </w:rPr>
              <w:t>与</w:t>
            </w:r>
            <w:r w:rsidR="00C606BA">
              <w:rPr>
                <w:rFonts w:hint="eastAsia"/>
                <w:sz w:val="21"/>
              </w:rPr>
              <w:t>技术</w:t>
            </w:r>
            <w:r w:rsidRPr="00F63A29">
              <w:rPr>
                <w:rFonts w:hint="eastAsia"/>
                <w:sz w:val="21"/>
              </w:rPr>
              <w:t>创新的需求增长</w:t>
            </w:r>
            <w:r w:rsidR="00C606BA">
              <w:rPr>
                <w:rFonts w:hint="eastAsia"/>
                <w:sz w:val="21"/>
              </w:rPr>
              <w:t>等因素</w:t>
            </w:r>
            <w:r w:rsidRPr="00F63A29">
              <w:rPr>
                <w:rFonts w:hint="eastAsia"/>
                <w:sz w:val="21"/>
              </w:rPr>
              <w:t>，乘用车</w:t>
            </w:r>
            <w:r w:rsidRPr="00F63A29">
              <w:rPr>
                <w:rFonts w:hint="eastAsia"/>
                <w:sz w:val="21"/>
              </w:rPr>
              <w:t>OEM</w:t>
            </w:r>
            <w:r w:rsidRPr="00F63A29">
              <w:rPr>
                <w:rFonts w:hint="eastAsia"/>
                <w:sz w:val="21"/>
              </w:rPr>
              <w:t>原厂</w:t>
            </w:r>
            <w:r w:rsidR="00C606BA">
              <w:rPr>
                <w:rFonts w:hint="eastAsia"/>
                <w:sz w:val="21"/>
              </w:rPr>
              <w:t>车身</w:t>
            </w:r>
            <w:r w:rsidRPr="00F63A29">
              <w:rPr>
                <w:rFonts w:hint="eastAsia"/>
                <w:sz w:val="21"/>
              </w:rPr>
              <w:t>涂料国产替代的趋势</w:t>
            </w:r>
            <w:r w:rsidR="00C606BA">
              <w:rPr>
                <w:rFonts w:hint="eastAsia"/>
                <w:sz w:val="21"/>
              </w:rPr>
              <w:t>明显</w:t>
            </w:r>
            <w:r w:rsidRPr="00F63A29">
              <w:rPr>
                <w:rFonts w:hint="eastAsia"/>
                <w:sz w:val="21"/>
              </w:rPr>
              <w:t>加速。</w:t>
            </w:r>
          </w:p>
          <w:p w14:paraId="345F5FA3" w14:textId="7EE8E6EC" w:rsidR="00D4137D" w:rsidRPr="00F63A29" w:rsidRDefault="00D4137D" w:rsidP="00B2508A">
            <w:pPr>
              <w:adjustRightInd w:val="0"/>
              <w:snapToGrid w:val="0"/>
              <w:spacing w:beforeLines="50" w:before="156" w:line="288" w:lineRule="auto"/>
              <w:rPr>
                <w:sz w:val="21"/>
              </w:rPr>
            </w:pPr>
            <w:r w:rsidRPr="00F63A29">
              <w:rPr>
                <w:rFonts w:hint="eastAsia"/>
                <w:sz w:val="21"/>
              </w:rPr>
              <w:t>东来技术</w:t>
            </w:r>
            <w:r w:rsidR="00C606BA">
              <w:rPr>
                <w:rFonts w:hint="eastAsia"/>
                <w:sz w:val="21"/>
              </w:rPr>
              <w:t>，基于</w:t>
            </w:r>
            <w:r w:rsidR="00C606BA">
              <w:rPr>
                <w:rFonts w:hint="eastAsia"/>
                <w:sz w:val="21"/>
              </w:rPr>
              <w:t>25</w:t>
            </w:r>
            <w:r w:rsidR="00C606BA">
              <w:rPr>
                <w:rFonts w:hint="eastAsia"/>
                <w:sz w:val="21"/>
              </w:rPr>
              <w:t>年</w:t>
            </w:r>
            <w:r w:rsidRPr="00F63A29">
              <w:rPr>
                <w:rFonts w:hint="eastAsia"/>
                <w:sz w:val="21"/>
              </w:rPr>
              <w:t>汽车主机厂合作经验</w:t>
            </w:r>
            <w:r w:rsidR="00C606BA">
              <w:rPr>
                <w:rFonts w:hint="eastAsia"/>
                <w:sz w:val="21"/>
              </w:rPr>
              <w:t>、技术认证</w:t>
            </w:r>
            <w:r w:rsidRPr="00F63A29">
              <w:rPr>
                <w:rFonts w:hint="eastAsia"/>
                <w:sz w:val="21"/>
              </w:rPr>
              <w:t>和营销网络积累，具备专业的颜色外观创新能力、快速响应的服务能力等诸多独特的差异化竞争优势；</w:t>
            </w:r>
            <w:r w:rsidR="00C606BA" w:rsidRPr="00F63A29">
              <w:rPr>
                <w:sz w:val="21"/>
              </w:rPr>
              <w:t xml:space="preserve"> </w:t>
            </w:r>
          </w:p>
          <w:p w14:paraId="49E4C449" w14:textId="108E4746" w:rsidR="00D4137D" w:rsidRPr="00F63A29" w:rsidRDefault="00D4137D" w:rsidP="00B2508A">
            <w:pPr>
              <w:adjustRightInd w:val="0"/>
              <w:snapToGrid w:val="0"/>
              <w:spacing w:beforeLines="50" w:before="156" w:line="288" w:lineRule="auto"/>
              <w:rPr>
                <w:sz w:val="21"/>
              </w:rPr>
            </w:pPr>
            <w:r w:rsidRPr="00F63A29">
              <w:rPr>
                <w:rFonts w:hint="eastAsia"/>
                <w:sz w:val="21"/>
              </w:rPr>
              <w:t>2023</w:t>
            </w:r>
            <w:r w:rsidRPr="00F63A29">
              <w:rPr>
                <w:rFonts w:hint="eastAsia"/>
                <w:sz w:val="21"/>
              </w:rPr>
              <w:t>年至今，东来技术对拉达汽车全方位产品和服务</w:t>
            </w:r>
            <w:r w:rsidR="00C606BA">
              <w:rPr>
                <w:rFonts w:hint="eastAsia"/>
                <w:sz w:val="21"/>
              </w:rPr>
              <w:t>，</w:t>
            </w:r>
            <w:r w:rsidRPr="00F63A29">
              <w:rPr>
                <w:rFonts w:hint="eastAsia"/>
                <w:sz w:val="21"/>
              </w:rPr>
              <w:t>稳定批量</w:t>
            </w:r>
            <w:r w:rsidR="00C606BA">
              <w:rPr>
                <w:rFonts w:hint="eastAsia"/>
                <w:sz w:val="21"/>
              </w:rPr>
              <w:t>量产</w:t>
            </w:r>
            <w:r w:rsidRPr="00F63A29">
              <w:rPr>
                <w:rFonts w:hint="eastAsia"/>
                <w:sz w:val="21"/>
              </w:rPr>
              <w:t>供</w:t>
            </w:r>
            <w:r w:rsidRPr="00F63A29">
              <w:rPr>
                <w:rFonts w:hint="eastAsia"/>
                <w:sz w:val="21"/>
              </w:rPr>
              <w:lastRenderedPageBreak/>
              <w:t>货超过</w:t>
            </w:r>
            <w:r w:rsidRPr="00F63A29">
              <w:rPr>
                <w:rFonts w:hint="eastAsia"/>
                <w:sz w:val="21"/>
              </w:rPr>
              <w:t>50</w:t>
            </w:r>
            <w:r w:rsidRPr="00F63A29">
              <w:rPr>
                <w:rFonts w:hint="eastAsia"/>
                <w:sz w:val="21"/>
              </w:rPr>
              <w:t>万台，量产实绩得到充分验证。服务方面，新车颜色设计推荐</w:t>
            </w:r>
            <w:r w:rsidRPr="00F63A29">
              <w:rPr>
                <w:rFonts w:hint="eastAsia"/>
                <w:sz w:val="21"/>
              </w:rPr>
              <w:t>CMF</w:t>
            </w:r>
            <w:r w:rsidRPr="00F63A29">
              <w:rPr>
                <w:rFonts w:hint="eastAsia"/>
                <w:sz w:val="21"/>
              </w:rPr>
              <w:t>工作、现有生产线优化改善、内制保险杠涂料系统、</w:t>
            </w:r>
            <w:r w:rsidRPr="00F63A29">
              <w:rPr>
                <w:rFonts w:hint="eastAsia"/>
                <w:sz w:val="21"/>
              </w:rPr>
              <w:t>3C1B</w:t>
            </w:r>
            <w:r w:rsidRPr="00F63A29">
              <w:rPr>
                <w:rFonts w:hint="eastAsia"/>
                <w:sz w:val="21"/>
              </w:rPr>
              <w:t>、</w:t>
            </w:r>
            <w:r w:rsidRPr="00F63A29">
              <w:rPr>
                <w:rFonts w:hint="eastAsia"/>
                <w:sz w:val="21"/>
              </w:rPr>
              <w:t>B1B2</w:t>
            </w:r>
            <w:r w:rsidRPr="00F63A29">
              <w:rPr>
                <w:rFonts w:hint="eastAsia"/>
                <w:sz w:val="21"/>
              </w:rPr>
              <w:t>免中涂工艺水性</w:t>
            </w:r>
            <w:r w:rsidRPr="00F63A29">
              <w:rPr>
                <w:rFonts w:hint="eastAsia"/>
                <w:sz w:val="21"/>
              </w:rPr>
              <w:t>OEM</w:t>
            </w:r>
            <w:r w:rsidRPr="00F63A29">
              <w:rPr>
                <w:rFonts w:hint="eastAsia"/>
                <w:sz w:val="21"/>
              </w:rPr>
              <w:t>涂料的技术测试等。充分验证了东来技术的新车车身涂料产品质量和全面服务能力，为中国市场的新车</w:t>
            </w:r>
            <w:r w:rsidRPr="00F63A29">
              <w:rPr>
                <w:rFonts w:hint="eastAsia"/>
                <w:sz w:val="21"/>
              </w:rPr>
              <w:t>OEM</w:t>
            </w:r>
            <w:r w:rsidRPr="00F63A29">
              <w:rPr>
                <w:rFonts w:hint="eastAsia"/>
                <w:sz w:val="21"/>
              </w:rPr>
              <w:t>车身涂料市场开展打下了良好的基础。</w:t>
            </w:r>
          </w:p>
          <w:p w14:paraId="2D8A2D15" w14:textId="1199BA15" w:rsidR="006D3333" w:rsidRPr="00F63A29" w:rsidRDefault="00D4137D" w:rsidP="00B2508A">
            <w:pPr>
              <w:adjustRightInd w:val="0"/>
              <w:snapToGrid w:val="0"/>
              <w:spacing w:beforeLines="50" w:before="156" w:line="288" w:lineRule="auto"/>
              <w:rPr>
                <w:sz w:val="21"/>
              </w:rPr>
            </w:pPr>
            <w:r w:rsidRPr="00F63A29">
              <w:rPr>
                <w:rFonts w:hint="eastAsia"/>
                <w:sz w:val="21"/>
              </w:rPr>
              <w:t>目前，在国内乘用车市场，东来技术</w:t>
            </w:r>
            <w:r w:rsidR="00C606BA">
              <w:rPr>
                <w:rFonts w:hint="eastAsia"/>
                <w:sz w:val="21"/>
              </w:rPr>
              <w:t>正在为</w:t>
            </w:r>
            <w:r w:rsidRPr="00F63A29">
              <w:rPr>
                <w:rFonts w:hint="eastAsia"/>
                <w:sz w:val="21"/>
              </w:rPr>
              <w:t>OEM</w:t>
            </w:r>
            <w:r w:rsidRPr="00F63A29">
              <w:rPr>
                <w:rFonts w:hint="eastAsia"/>
                <w:sz w:val="21"/>
              </w:rPr>
              <w:t>涂料的量产实绩</w:t>
            </w:r>
            <w:r w:rsidR="00C606BA">
              <w:rPr>
                <w:rFonts w:hint="eastAsia"/>
                <w:sz w:val="21"/>
              </w:rPr>
              <w:t>进行积极的推进工作，包括</w:t>
            </w:r>
            <w:r w:rsidRPr="00F63A29">
              <w:rPr>
                <w:rFonts w:hint="eastAsia"/>
                <w:sz w:val="21"/>
              </w:rPr>
              <w:t>自主品牌、合资品牌、新势力品牌等不同</w:t>
            </w:r>
            <w:r w:rsidR="00C606BA">
              <w:rPr>
                <w:rFonts w:hint="eastAsia"/>
                <w:sz w:val="21"/>
              </w:rPr>
              <w:t>类型的汽车</w:t>
            </w:r>
            <w:r w:rsidRPr="00F63A29">
              <w:rPr>
                <w:rFonts w:hint="eastAsia"/>
                <w:sz w:val="21"/>
              </w:rPr>
              <w:t>主机厂。</w:t>
            </w:r>
          </w:p>
          <w:p w14:paraId="364F6495" w14:textId="77777777" w:rsidR="0083413E" w:rsidRPr="00F63A29" w:rsidRDefault="0083413E" w:rsidP="00B2508A">
            <w:pPr>
              <w:adjustRightInd w:val="0"/>
              <w:snapToGrid w:val="0"/>
              <w:spacing w:beforeLines="50" w:before="156" w:line="288" w:lineRule="auto"/>
              <w:rPr>
                <w:sz w:val="21"/>
              </w:rPr>
            </w:pPr>
          </w:p>
          <w:p w14:paraId="28F04164" w14:textId="08B98968" w:rsidR="006D3333" w:rsidRPr="00F63A29" w:rsidRDefault="001D79B2" w:rsidP="00B2508A">
            <w:pPr>
              <w:adjustRightInd w:val="0"/>
              <w:snapToGrid w:val="0"/>
              <w:spacing w:beforeLines="50" w:before="156" w:line="288" w:lineRule="auto"/>
              <w:rPr>
                <w:b/>
                <w:sz w:val="21"/>
              </w:rPr>
            </w:pPr>
            <w:r w:rsidRPr="00F63A29">
              <w:rPr>
                <w:rFonts w:hint="eastAsia"/>
                <w:b/>
                <w:sz w:val="21"/>
              </w:rPr>
              <w:t>问题</w:t>
            </w:r>
            <w:r w:rsidRPr="00F63A29">
              <w:rPr>
                <w:rFonts w:hint="eastAsia"/>
                <w:b/>
                <w:sz w:val="21"/>
              </w:rPr>
              <w:t>3</w:t>
            </w:r>
            <w:r w:rsidRPr="00F63A29">
              <w:rPr>
                <w:rFonts w:hint="eastAsia"/>
                <w:b/>
                <w:sz w:val="21"/>
              </w:rPr>
              <w:t>、</w:t>
            </w:r>
            <w:r w:rsidR="003567CA" w:rsidRPr="00F63A29">
              <w:rPr>
                <w:rFonts w:hint="eastAsia"/>
                <w:b/>
                <w:sz w:val="21"/>
              </w:rPr>
              <w:t>在</w:t>
            </w:r>
            <w:r w:rsidR="006D3333" w:rsidRPr="00F63A29">
              <w:rPr>
                <w:rFonts w:hint="eastAsia"/>
                <w:b/>
                <w:sz w:val="21"/>
              </w:rPr>
              <w:t>3C</w:t>
            </w:r>
            <w:r w:rsidR="006D3333" w:rsidRPr="00F63A29">
              <w:rPr>
                <w:rFonts w:hint="eastAsia"/>
                <w:b/>
                <w:sz w:val="21"/>
              </w:rPr>
              <w:t>消费电子领域的进展和规划</w:t>
            </w:r>
            <w:r w:rsidR="003567CA" w:rsidRPr="00F63A29">
              <w:rPr>
                <w:rFonts w:hint="eastAsia"/>
                <w:b/>
                <w:sz w:val="21"/>
              </w:rPr>
              <w:t>如何</w:t>
            </w:r>
            <w:r w:rsidR="006D3333" w:rsidRPr="00F63A29">
              <w:rPr>
                <w:rFonts w:hint="eastAsia"/>
                <w:b/>
                <w:sz w:val="21"/>
              </w:rPr>
              <w:t>？</w:t>
            </w:r>
          </w:p>
          <w:p w14:paraId="24096D1A" w14:textId="77777777" w:rsidR="00A70063" w:rsidRPr="00F63A29" w:rsidRDefault="00A70063" w:rsidP="00B2508A">
            <w:pPr>
              <w:adjustRightInd w:val="0"/>
              <w:snapToGrid w:val="0"/>
              <w:spacing w:beforeLines="50" w:before="156" w:line="288" w:lineRule="auto"/>
              <w:rPr>
                <w:sz w:val="21"/>
              </w:rPr>
            </w:pPr>
            <w:r w:rsidRPr="00F63A29">
              <w:rPr>
                <w:rFonts w:hint="eastAsia"/>
                <w:sz w:val="21"/>
              </w:rPr>
              <w:t>回答：</w:t>
            </w:r>
          </w:p>
          <w:p w14:paraId="1FBD98ED" w14:textId="6052B372" w:rsidR="0021735D" w:rsidRPr="00F63A29" w:rsidRDefault="0021735D" w:rsidP="00B2508A">
            <w:pPr>
              <w:adjustRightInd w:val="0"/>
              <w:snapToGrid w:val="0"/>
              <w:spacing w:beforeLines="50" w:before="156" w:line="288" w:lineRule="auto"/>
              <w:rPr>
                <w:sz w:val="21"/>
              </w:rPr>
            </w:pPr>
            <w:r w:rsidRPr="00F63A29">
              <w:rPr>
                <w:rFonts w:hint="eastAsia"/>
                <w:sz w:val="21"/>
              </w:rPr>
              <w:t>随着汽车与</w:t>
            </w:r>
            <w:r w:rsidRPr="00F63A29">
              <w:rPr>
                <w:rFonts w:hint="eastAsia"/>
                <w:sz w:val="21"/>
              </w:rPr>
              <w:t>3C</w:t>
            </w:r>
            <w:r w:rsidRPr="00F63A29">
              <w:rPr>
                <w:rFonts w:hint="eastAsia"/>
                <w:sz w:val="21"/>
              </w:rPr>
              <w:t>消费电子的融合</w:t>
            </w:r>
            <w:r w:rsidR="00C606BA">
              <w:rPr>
                <w:rFonts w:hint="eastAsia"/>
                <w:sz w:val="21"/>
              </w:rPr>
              <w:t>越来越</w:t>
            </w:r>
            <w:r w:rsidRPr="00F63A29">
              <w:rPr>
                <w:rFonts w:hint="eastAsia"/>
                <w:sz w:val="21"/>
              </w:rPr>
              <w:t>加深</w:t>
            </w:r>
            <w:r w:rsidR="00C606BA">
              <w:rPr>
                <w:rFonts w:hint="eastAsia"/>
                <w:sz w:val="21"/>
              </w:rPr>
              <w:t>，东来给予</w:t>
            </w:r>
            <w:r w:rsidRPr="00F63A29">
              <w:rPr>
                <w:rFonts w:hint="eastAsia"/>
                <w:sz w:val="21"/>
              </w:rPr>
              <w:t>3C</w:t>
            </w:r>
            <w:r w:rsidRPr="00F63A29">
              <w:rPr>
                <w:rFonts w:hint="eastAsia"/>
                <w:sz w:val="21"/>
              </w:rPr>
              <w:t>消费电子领域</w:t>
            </w:r>
            <w:r w:rsidR="00C606BA">
              <w:rPr>
                <w:rFonts w:hint="eastAsia"/>
                <w:sz w:val="21"/>
              </w:rPr>
              <w:t>更多关注，包括</w:t>
            </w:r>
            <w:r w:rsidRPr="00F63A29">
              <w:rPr>
                <w:rFonts w:hint="eastAsia"/>
                <w:sz w:val="21"/>
              </w:rPr>
              <w:t>新创意、新技术</w:t>
            </w:r>
            <w:r w:rsidR="00C606BA">
              <w:rPr>
                <w:rFonts w:hint="eastAsia"/>
                <w:sz w:val="21"/>
              </w:rPr>
              <w:t>在汽车领域的应用</w:t>
            </w:r>
            <w:r w:rsidRPr="00F63A29">
              <w:rPr>
                <w:rFonts w:hint="eastAsia"/>
                <w:sz w:val="21"/>
              </w:rPr>
              <w:t>；</w:t>
            </w:r>
            <w:r w:rsidR="00C606BA">
              <w:rPr>
                <w:rFonts w:hint="eastAsia"/>
                <w:sz w:val="21"/>
              </w:rPr>
              <w:t>例如：</w:t>
            </w:r>
            <w:r w:rsidR="00C606BA">
              <w:rPr>
                <w:rFonts w:hint="eastAsia"/>
                <w:sz w:val="21"/>
              </w:rPr>
              <w:t>3C</w:t>
            </w:r>
            <w:r w:rsidR="00C606BA">
              <w:rPr>
                <w:rFonts w:hint="eastAsia"/>
                <w:sz w:val="21"/>
              </w:rPr>
              <w:t>消费电子之镭雕透光技术，在上汽奥迪</w:t>
            </w:r>
            <w:r w:rsidR="00C606BA">
              <w:rPr>
                <w:rFonts w:hint="eastAsia"/>
                <w:sz w:val="21"/>
              </w:rPr>
              <w:t>E5</w:t>
            </w:r>
            <w:r w:rsidR="00C606BA">
              <w:rPr>
                <w:rFonts w:hint="eastAsia"/>
                <w:sz w:val="21"/>
              </w:rPr>
              <w:t>汽车灯罩项目上的量产实绩。</w:t>
            </w:r>
            <w:r w:rsidRPr="00F63A29">
              <w:rPr>
                <w:rFonts w:hint="eastAsia"/>
                <w:sz w:val="21"/>
              </w:rPr>
              <w:t>同时，</w:t>
            </w:r>
            <w:r w:rsidR="00C606BA">
              <w:rPr>
                <w:rFonts w:hint="eastAsia"/>
                <w:sz w:val="21"/>
              </w:rPr>
              <w:t>继续</w:t>
            </w:r>
            <w:r w:rsidRPr="00F63A29">
              <w:rPr>
                <w:rFonts w:hint="eastAsia"/>
                <w:sz w:val="21"/>
              </w:rPr>
              <w:t>开拓</w:t>
            </w:r>
            <w:r w:rsidRPr="00F63A29">
              <w:rPr>
                <w:rFonts w:hint="eastAsia"/>
                <w:sz w:val="21"/>
              </w:rPr>
              <w:t>3C</w:t>
            </w:r>
            <w:r w:rsidRPr="00F63A29">
              <w:rPr>
                <w:rFonts w:hint="eastAsia"/>
                <w:sz w:val="21"/>
              </w:rPr>
              <w:t>消费电子领域的</w:t>
            </w:r>
            <w:r w:rsidR="00C606BA">
              <w:rPr>
                <w:rFonts w:hint="eastAsia"/>
                <w:sz w:val="21"/>
              </w:rPr>
              <w:t>代表性</w:t>
            </w:r>
            <w:r w:rsidRPr="00F63A29">
              <w:rPr>
                <w:rFonts w:hint="eastAsia"/>
                <w:sz w:val="21"/>
              </w:rPr>
              <w:t>客户</w:t>
            </w:r>
            <w:r w:rsidR="00C606BA">
              <w:rPr>
                <w:rFonts w:hint="eastAsia"/>
                <w:sz w:val="21"/>
              </w:rPr>
              <w:t>，包括影</w:t>
            </w:r>
            <w:r w:rsidR="00981339">
              <w:rPr>
                <w:rFonts w:hint="eastAsia"/>
                <w:sz w:val="21"/>
              </w:rPr>
              <w:t>石创新科技等</w:t>
            </w:r>
            <w:r w:rsidRPr="00F63A29">
              <w:rPr>
                <w:rFonts w:hint="eastAsia"/>
                <w:sz w:val="21"/>
              </w:rPr>
              <w:t>。</w:t>
            </w:r>
          </w:p>
          <w:p w14:paraId="51A1B304" w14:textId="77777777" w:rsidR="006D3333" w:rsidRPr="00F63A29" w:rsidRDefault="006D3333" w:rsidP="00B2508A">
            <w:pPr>
              <w:adjustRightInd w:val="0"/>
              <w:snapToGrid w:val="0"/>
              <w:spacing w:beforeLines="50" w:before="156" w:line="288" w:lineRule="auto"/>
              <w:rPr>
                <w:sz w:val="21"/>
              </w:rPr>
            </w:pPr>
          </w:p>
          <w:p w14:paraId="435D7CFD" w14:textId="2584DD0C" w:rsidR="006D3333" w:rsidRPr="00F63A29" w:rsidRDefault="001D79B2" w:rsidP="00B2508A">
            <w:pPr>
              <w:adjustRightInd w:val="0"/>
              <w:snapToGrid w:val="0"/>
              <w:spacing w:beforeLines="50" w:before="156" w:line="288" w:lineRule="auto"/>
              <w:rPr>
                <w:b/>
                <w:sz w:val="21"/>
              </w:rPr>
            </w:pPr>
            <w:r w:rsidRPr="00F63A29">
              <w:rPr>
                <w:rFonts w:hint="eastAsia"/>
                <w:b/>
                <w:sz w:val="21"/>
              </w:rPr>
              <w:t>问题</w:t>
            </w:r>
            <w:r w:rsidRPr="00F63A29">
              <w:rPr>
                <w:rFonts w:hint="eastAsia"/>
                <w:b/>
                <w:sz w:val="21"/>
              </w:rPr>
              <w:t>4</w:t>
            </w:r>
            <w:r w:rsidRPr="00F63A29">
              <w:rPr>
                <w:rFonts w:hint="eastAsia"/>
                <w:b/>
                <w:sz w:val="21"/>
              </w:rPr>
              <w:t>、</w:t>
            </w:r>
            <w:r w:rsidR="00981339">
              <w:rPr>
                <w:rFonts w:hint="eastAsia"/>
                <w:b/>
                <w:sz w:val="21"/>
              </w:rPr>
              <w:t>主要的</w:t>
            </w:r>
            <w:r w:rsidR="006D3333" w:rsidRPr="00F63A29">
              <w:rPr>
                <w:rFonts w:hint="eastAsia"/>
                <w:b/>
                <w:sz w:val="21"/>
              </w:rPr>
              <w:t>竞争优势？</w:t>
            </w:r>
          </w:p>
          <w:p w14:paraId="7490DC42" w14:textId="77777777" w:rsidR="00120E4B" w:rsidRPr="00F63A29" w:rsidRDefault="00120E4B" w:rsidP="00B2508A">
            <w:pPr>
              <w:adjustRightInd w:val="0"/>
              <w:snapToGrid w:val="0"/>
              <w:spacing w:beforeLines="50" w:before="156" w:line="288" w:lineRule="auto"/>
              <w:rPr>
                <w:sz w:val="21"/>
              </w:rPr>
            </w:pPr>
            <w:r w:rsidRPr="00F63A29">
              <w:rPr>
                <w:rFonts w:hint="eastAsia"/>
                <w:sz w:val="21"/>
              </w:rPr>
              <w:t>回答：</w:t>
            </w:r>
          </w:p>
          <w:p w14:paraId="31C35438" w14:textId="16E6E66A" w:rsidR="00265FE5" w:rsidRPr="00F63A29" w:rsidRDefault="0011309B" w:rsidP="00B2508A">
            <w:pPr>
              <w:adjustRightInd w:val="0"/>
              <w:snapToGrid w:val="0"/>
              <w:spacing w:beforeLines="50" w:before="156" w:line="288" w:lineRule="auto"/>
              <w:rPr>
                <w:sz w:val="21"/>
              </w:rPr>
            </w:pPr>
            <w:r w:rsidRPr="00F63A29">
              <w:rPr>
                <w:rFonts w:hint="eastAsia"/>
                <w:sz w:val="21"/>
              </w:rPr>
              <w:t>（</w:t>
            </w:r>
            <w:r w:rsidRPr="00F63A29">
              <w:rPr>
                <w:rFonts w:hint="eastAsia"/>
                <w:sz w:val="21"/>
              </w:rPr>
              <w:t>1</w:t>
            </w:r>
            <w:r w:rsidRPr="00F63A29">
              <w:rPr>
                <w:rFonts w:hint="eastAsia"/>
                <w:sz w:val="21"/>
              </w:rPr>
              <w:t>）</w:t>
            </w:r>
            <w:r w:rsidR="007A68B5" w:rsidRPr="00F63A29">
              <w:rPr>
                <w:rFonts w:hint="eastAsia"/>
                <w:sz w:val="21"/>
              </w:rPr>
              <w:t>独特的核心技术优势</w:t>
            </w:r>
          </w:p>
          <w:p w14:paraId="6057D098" w14:textId="5EE8294A" w:rsidR="00454151" w:rsidRPr="00F63A29" w:rsidRDefault="00454151" w:rsidP="00B2508A">
            <w:pPr>
              <w:adjustRightInd w:val="0"/>
              <w:snapToGrid w:val="0"/>
              <w:spacing w:beforeLines="50" w:before="156" w:line="288" w:lineRule="auto"/>
              <w:rPr>
                <w:sz w:val="21"/>
              </w:rPr>
            </w:pPr>
            <w:r w:rsidRPr="00F63A29">
              <w:rPr>
                <w:rFonts w:hint="eastAsia"/>
                <w:sz w:val="21"/>
              </w:rPr>
              <w:t>公司作为高新技术企业、国家级专精特新“小巨人”企业、上海市专利工作示范企业，在高分子化工材</w:t>
            </w:r>
            <w:r w:rsidR="0021735D" w:rsidRPr="00F63A29">
              <w:rPr>
                <w:rFonts w:hint="eastAsia"/>
                <w:sz w:val="21"/>
              </w:rPr>
              <w:t>料研发、涂料配方持续优化、制造工艺长期积累、颜色调配数字化</w:t>
            </w:r>
            <w:r w:rsidRPr="00F63A29">
              <w:rPr>
                <w:rFonts w:hint="eastAsia"/>
                <w:sz w:val="21"/>
              </w:rPr>
              <w:t>4</w:t>
            </w:r>
            <w:r w:rsidR="00705379" w:rsidRPr="00F63A29">
              <w:rPr>
                <w:rFonts w:hint="eastAsia"/>
                <w:sz w:val="21"/>
              </w:rPr>
              <w:t>个角度具有核心技术</w:t>
            </w:r>
            <w:r w:rsidRPr="00F63A29">
              <w:rPr>
                <w:rFonts w:hint="eastAsia"/>
                <w:sz w:val="21"/>
              </w:rPr>
              <w:t>优势。</w:t>
            </w:r>
          </w:p>
          <w:p w14:paraId="4BE1635C" w14:textId="2E51814C" w:rsidR="00110638" w:rsidRPr="00F63A29" w:rsidRDefault="0011309B" w:rsidP="00B2508A">
            <w:pPr>
              <w:adjustRightInd w:val="0"/>
              <w:snapToGrid w:val="0"/>
              <w:spacing w:beforeLines="50" w:before="156" w:line="288" w:lineRule="auto"/>
              <w:rPr>
                <w:sz w:val="21"/>
              </w:rPr>
            </w:pPr>
            <w:r w:rsidRPr="00F63A29">
              <w:rPr>
                <w:rFonts w:hint="eastAsia"/>
                <w:sz w:val="21"/>
              </w:rPr>
              <w:t>（</w:t>
            </w:r>
            <w:r w:rsidRPr="00F63A29">
              <w:rPr>
                <w:rFonts w:hint="eastAsia"/>
                <w:sz w:val="21"/>
              </w:rPr>
              <w:t>2</w:t>
            </w:r>
            <w:r w:rsidRPr="00F63A29">
              <w:rPr>
                <w:rFonts w:hint="eastAsia"/>
                <w:sz w:val="21"/>
              </w:rPr>
              <w:t>）</w:t>
            </w:r>
            <w:r w:rsidR="00110638" w:rsidRPr="00F63A29">
              <w:rPr>
                <w:rFonts w:hint="eastAsia"/>
                <w:sz w:val="21"/>
              </w:rPr>
              <w:t>汽车主机厂原厂认证先发优势</w:t>
            </w:r>
          </w:p>
          <w:p w14:paraId="57FE2041" w14:textId="56ECBA05" w:rsidR="00705379" w:rsidRPr="00F63A29" w:rsidRDefault="00705379" w:rsidP="00B2508A">
            <w:pPr>
              <w:adjustRightInd w:val="0"/>
              <w:snapToGrid w:val="0"/>
              <w:spacing w:beforeLines="50" w:before="156" w:line="288" w:lineRule="auto"/>
              <w:rPr>
                <w:sz w:val="21"/>
              </w:rPr>
            </w:pPr>
            <w:r w:rsidRPr="00F63A29">
              <w:rPr>
                <w:rFonts w:hint="eastAsia"/>
                <w:sz w:val="21"/>
              </w:rPr>
              <w:t>在售后修补涂料方面，东来技术下属</w:t>
            </w:r>
            <w:r w:rsidRPr="00F63A29">
              <w:rPr>
                <w:rFonts w:hint="eastAsia"/>
                <w:sz w:val="21"/>
              </w:rPr>
              <w:t>onwings®/onwaves®</w:t>
            </w:r>
            <w:r w:rsidRPr="00F63A29">
              <w:rPr>
                <w:rFonts w:hint="eastAsia"/>
                <w:sz w:val="21"/>
              </w:rPr>
              <w:t>、高飞</w:t>
            </w:r>
            <w:r w:rsidRPr="00F63A29">
              <w:rPr>
                <w:rFonts w:hint="eastAsia"/>
                <w:sz w:val="21"/>
              </w:rPr>
              <w:t>®</w:t>
            </w:r>
            <w:r w:rsidRPr="00F63A29">
              <w:rPr>
                <w:rFonts w:hint="eastAsia"/>
                <w:sz w:val="21"/>
              </w:rPr>
              <w:t>品牌获得了全球大多数主流汽车品牌原厂认证或汽车主机厂供应商准入资格，形成先发优势；</w:t>
            </w:r>
            <w:r w:rsidR="00CC730E" w:rsidRPr="00F63A29">
              <w:rPr>
                <w:rFonts w:hint="eastAsia"/>
                <w:sz w:val="21"/>
              </w:rPr>
              <w:t>据此</w:t>
            </w:r>
            <w:r w:rsidR="005F6B15" w:rsidRPr="00F63A29">
              <w:rPr>
                <w:rFonts w:hint="eastAsia"/>
                <w:sz w:val="21"/>
              </w:rPr>
              <w:t>，东来技术与汽车主机厂关系紧密，多年合作沉淀了良好的客户群体和行业声望，在汽车新车内外饰涂料领域不断获得新客户的认可与量产实绩。</w:t>
            </w:r>
          </w:p>
          <w:p w14:paraId="2A111F4C" w14:textId="4CEF9D19" w:rsidR="007A68B5" w:rsidRPr="00F63A29" w:rsidRDefault="0011309B" w:rsidP="00B2508A">
            <w:pPr>
              <w:adjustRightInd w:val="0"/>
              <w:snapToGrid w:val="0"/>
              <w:spacing w:beforeLines="50" w:before="156" w:line="288" w:lineRule="auto"/>
              <w:rPr>
                <w:sz w:val="21"/>
              </w:rPr>
            </w:pPr>
            <w:r w:rsidRPr="00F63A29">
              <w:rPr>
                <w:rFonts w:hint="eastAsia"/>
                <w:sz w:val="21"/>
              </w:rPr>
              <w:t>（</w:t>
            </w:r>
            <w:r w:rsidRPr="00F63A29">
              <w:rPr>
                <w:rFonts w:hint="eastAsia"/>
                <w:sz w:val="21"/>
              </w:rPr>
              <w:t>3</w:t>
            </w:r>
            <w:r w:rsidRPr="00F63A29">
              <w:rPr>
                <w:rFonts w:hint="eastAsia"/>
                <w:sz w:val="21"/>
              </w:rPr>
              <w:t>）</w:t>
            </w:r>
            <w:r w:rsidR="007A68B5" w:rsidRPr="00F63A29">
              <w:rPr>
                <w:rFonts w:hint="eastAsia"/>
                <w:sz w:val="21"/>
              </w:rPr>
              <w:t>商业模式创新</w:t>
            </w:r>
          </w:p>
          <w:p w14:paraId="418080BC" w14:textId="19C6F8A1" w:rsidR="00CC730E" w:rsidRPr="00F63A29" w:rsidRDefault="000271FB" w:rsidP="00B2508A">
            <w:pPr>
              <w:adjustRightInd w:val="0"/>
              <w:snapToGrid w:val="0"/>
              <w:spacing w:beforeLines="50" w:before="156" w:line="288" w:lineRule="auto"/>
              <w:rPr>
                <w:sz w:val="21"/>
              </w:rPr>
            </w:pPr>
            <w:r w:rsidRPr="00F63A29">
              <w:rPr>
                <w:rFonts w:hint="eastAsia"/>
                <w:sz w:val="21"/>
              </w:rPr>
              <w:t>公司定义行业特性为“先进制造业</w:t>
            </w:r>
            <w:r w:rsidRPr="00F63A29">
              <w:rPr>
                <w:rFonts w:hint="eastAsia"/>
                <w:sz w:val="21"/>
              </w:rPr>
              <w:t>+</w:t>
            </w:r>
            <w:r w:rsidRPr="00F63A29">
              <w:rPr>
                <w:rFonts w:hint="eastAsia"/>
                <w:sz w:val="21"/>
              </w:rPr>
              <w:t>现代服务业”，</w:t>
            </w:r>
            <w:r w:rsidR="00CC730E" w:rsidRPr="00F63A29">
              <w:rPr>
                <w:rFonts w:hint="eastAsia"/>
                <w:sz w:val="21"/>
              </w:rPr>
              <w:t>实施以直销为主、分销为辅的销售模式和全方位的技术服务模式。多年积累，形成东来技术强大的市场网络和服务能力优势。具体而言，公司为汽车售后</w:t>
            </w:r>
            <w:r w:rsidRPr="00F63A29">
              <w:rPr>
                <w:rFonts w:hint="eastAsia"/>
                <w:sz w:val="21"/>
              </w:rPr>
              <w:t>修补涂料行业调色技师提供全面系统培训，并制定了行业等级考核标准，为客户提供更为优质的修补漆产品及配套调色服务。</w:t>
            </w:r>
          </w:p>
          <w:p w14:paraId="461675D3" w14:textId="6D6E5D23" w:rsidR="007A68B5" w:rsidRPr="00F63A29" w:rsidRDefault="0011309B" w:rsidP="00B2508A">
            <w:pPr>
              <w:adjustRightInd w:val="0"/>
              <w:snapToGrid w:val="0"/>
              <w:spacing w:beforeLines="50" w:before="156" w:line="288" w:lineRule="auto"/>
              <w:rPr>
                <w:sz w:val="21"/>
              </w:rPr>
            </w:pPr>
            <w:r w:rsidRPr="00F63A29">
              <w:rPr>
                <w:rFonts w:hint="eastAsia"/>
                <w:sz w:val="21"/>
              </w:rPr>
              <w:t>（</w:t>
            </w:r>
            <w:r w:rsidRPr="00F63A29">
              <w:rPr>
                <w:rFonts w:hint="eastAsia"/>
                <w:sz w:val="21"/>
              </w:rPr>
              <w:t>4</w:t>
            </w:r>
            <w:r w:rsidRPr="00F63A29">
              <w:rPr>
                <w:rFonts w:hint="eastAsia"/>
                <w:sz w:val="21"/>
              </w:rPr>
              <w:t>）</w:t>
            </w:r>
            <w:r w:rsidR="007A68B5" w:rsidRPr="00F63A29">
              <w:rPr>
                <w:rFonts w:hint="eastAsia"/>
                <w:sz w:val="21"/>
              </w:rPr>
              <w:t>营销网络成熟</w:t>
            </w:r>
          </w:p>
          <w:p w14:paraId="40257454" w14:textId="6375C20E" w:rsidR="00DB1D47" w:rsidRPr="00F63A29" w:rsidRDefault="00DB1D47" w:rsidP="00B2508A">
            <w:pPr>
              <w:adjustRightInd w:val="0"/>
              <w:snapToGrid w:val="0"/>
              <w:spacing w:beforeLines="50" w:before="156" w:line="288" w:lineRule="auto"/>
              <w:rPr>
                <w:sz w:val="21"/>
              </w:rPr>
            </w:pPr>
            <w:r w:rsidRPr="00F63A29">
              <w:rPr>
                <w:rFonts w:hint="eastAsia"/>
                <w:sz w:val="21"/>
              </w:rPr>
              <w:lastRenderedPageBreak/>
              <w:t>公司直销模式中，扁平化直销网络共有</w:t>
            </w:r>
            <w:r w:rsidRPr="00F63A29">
              <w:rPr>
                <w:rFonts w:hint="eastAsia"/>
                <w:sz w:val="21"/>
              </w:rPr>
              <w:t>9</w:t>
            </w:r>
            <w:r w:rsidRPr="00F63A29">
              <w:rPr>
                <w:rFonts w:hint="eastAsia"/>
                <w:sz w:val="21"/>
              </w:rPr>
              <w:t>个分公司及办事处，覆盖北京、上海、广州、深圳、苏州、杭州、东莞、合肥、郑州等重点区域市场；分销渠道体系覆盖区域遍布全国，深入下沉到四、五线城市。</w:t>
            </w:r>
          </w:p>
          <w:p w14:paraId="277389B5" w14:textId="2EADD160" w:rsidR="007A68B5" w:rsidRPr="00F63A29" w:rsidRDefault="0011309B" w:rsidP="00B2508A">
            <w:pPr>
              <w:adjustRightInd w:val="0"/>
              <w:snapToGrid w:val="0"/>
              <w:spacing w:beforeLines="50" w:before="156" w:line="288" w:lineRule="auto"/>
              <w:rPr>
                <w:sz w:val="21"/>
              </w:rPr>
            </w:pPr>
            <w:r w:rsidRPr="00F63A29">
              <w:rPr>
                <w:rFonts w:hint="eastAsia"/>
                <w:sz w:val="21"/>
              </w:rPr>
              <w:t>（</w:t>
            </w:r>
            <w:r w:rsidRPr="00F63A29">
              <w:rPr>
                <w:rFonts w:hint="eastAsia"/>
                <w:sz w:val="21"/>
              </w:rPr>
              <w:t>5</w:t>
            </w:r>
            <w:r w:rsidRPr="00F63A29">
              <w:rPr>
                <w:rFonts w:hint="eastAsia"/>
                <w:sz w:val="21"/>
              </w:rPr>
              <w:t>）</w:t>
            </w:r>
            <w:r w:rsidR="00A972E3" w:rsidRPr="00F63A29">
              <w:rPr>
                <w:rFonts w:hint="eastAsia"/>
                <w:sz w:val="21"/>
              </w:rPr>
              <w:t>品牌优势</w:t>
            </w:r>
          </w:p>
          <w:p w14:paraId="558810E9" w14:textId="794CD665" w:rsidR="00FD45A4" w:rsidRPr="00F63A29" w:rsidRDefault="00FD45A4" w:rsidP="00B2508A">
            <w:pPr>
              <w:adjustRightInd w:val="0"/>
              <w:snapToGrid w:val="0"/>
              <w:spacing w:beforeLines="50" w:before="156" w:line="288" w:lineRule="auto"/>
              <w:rPr>
                <w:sz w:val="21"/>
              </w:rPr>
            </w:pPr>
            <w:r w:rsidRPr="00F63A29">
              <w:rPr>
                <w:rFonts w:hint="eastAsia"/>
                <w:sz w:val="21"/>
              </w:rPr>
              <w:t>注册商标品牌</w:t>
            </w:r>
            <w:r w:rsidRPr="00F63A29">
              <w:rPr>
                <w:rFonts w:hint="eastAsia"/>
                <w:sz w:val="21"/>
              </w:rPr>
              <w:t>onwings®/onwaves®</w:t>
            </w:r>
            <w:r w:rsidRPr="00F63A29">
              <w:rPr>
                <w:rFonts w:hint="eastAsia"/>
                <w:sz w:val="21"/>
              </w:rPr>
              <w:t>、高飞</w:t>
            </w:r>
            <w:r w:rsidRPr="00F63A29">
              <w:rPr>
                <w:rFonts w:hint="eastAsia"/>
                <w:sz w:val="21"/>
              </w:rPr>
              <w:t>®</w:t>
            </w:r>
            <w:r w:rsidRPr="00F63A29">
              <w:rPr>
                <w:rFonts w:hint="eastAsia"/>
                <w:sz w:val="21"/>
              </w:rPr>
              <w:t>荣获上海市工商行政管理局颁发的“上海市著名商标”称号，获得大多数汽车品牌原厂认证，快速成为行业中高端市场领导品牌。</w:t>
            </w:r>
          </w:p>
          <w:p w14:paraId="28FF0780" w14:textId="3306466C" w:rsidR="00A972E3" w:rsidRPr="00F63A29" w:rsidRDefault="0011309B" w:rsidP="00B2508A">
            <w:pPr>
              <w:adjustRightInd w:val="0"/>
              <w:snapToGrid w:val="0"/>
              <w:spacing w:beforeLines="50" w:before="156" w:line="288" w:lineRule="auto"/>
              <w:rPr>
                <w:sz w:val="21"/>
              </w:rPr>
            </w:pPr>
            <w:r w:rsidRPr="00F63A29">
              <w:rPr>
                <w:rFonts w:hint="eastAsia"/>
                <w:sz w:val="21"/>
              </w:rPr>
              <w:t>（</w:t>
            </w:r>
            <w:r w:rsidRPr="00F63A29">
              <w:rPr>
                <w:rFonts w:hint="eastAsia"/>
                <w:sz w:val="21"/>
              </w:rPr>
              <w:t>6</w:t>
            </w:r>
            <w:r w:rsidRPr="00F63A29">
              <w:rPr>
                <w:rFonts w:hint="eastAsia"/>
                <w:sz w:val="21"/>
              </w:rPr>
              <w:t>）</w:t>
            </w:r>
            <w:r w:rsidR="00A972E3" w:rsidRPr="00F63A29">
              <w:rPr>
                <w:rFonts w:hint="eastAsia"/>
                <w:sz w:val="21"/>
              </w:rPr>
              <w:t>颜色能力与创新能力优势</w:t>
            </w:r>
          </w:p>
          <w:p w14:paraId="735EF3C0" w14:textId="77777777" w:rsidR="0087569A" w:rsidRPr="00F63A29" w:rsidRDefault="00B92D39" w:rsidP="00B2508A">
            <w:pPr>
              <w:adjustRightInd w:val="0"/>
              <w:snapToGrid w:val="0"/>
              <w:spacing w:beforeLines="50" w:before="156" w:line="288" w:lineRule="auto"/>
              <w:rPr>
                <w:sz w:val="21"/>
              </w:rPr>
            </w:pPr>
            <w:r w:rsidRPr="00F63A29">
              <w:rPr>
                <w:rFonts w:hint="eastAsia"/>
                <w:sz w:val="21"/>
              </w:rPr>
              <w:t>公司依托多年积累的修补漆认证资质及技术团队经验，</w:t>
            </w:r>
            <w:r w:rsidR="00804405" w:rsidRPr="00F63A29">
              <w:rPr>
                <w:rFonts w:hint="eastAsia"/>
                <w:sz w:val="21"/>
              </w:rPr>
              <w:t>沉淀了</w:t>
            </w:r>
            <w:r w:rsidR="00F12D66" w:rsidRPr="00F63A29">
              <w:rPr>
                <w:rFonts w:hint="eastAsia"/>
                <w:sz w:val="21"/>
              </w:rPr>
              <w:t>具备专业的调色能力、颜色创新能力以及</w:t>
            </w:r>
            <w:r w:rsidR="006F36E3" w:rsidRPr="00F63A29">
              <w:rPr>
                <w:rFonts w:hint="eastAsia"/>
                <w:sz w:val="21"/>
              </w:rPr>
              <w:t>快速响应的服务能力等诸多独特的差异化竞争优势。</w:t>
            </w:r>
          </w:p>
          <w:p w14:paraId="4005B66B" w14:textId="18FE563F" w:rsidR="000A3CE1" w:rsidRPr="00F63A29" w:rsidRDefault="006F36E3" w:rsidP="00B2508A">
            <w:pPr>
              <w:adjustRightInd w:val="0"/>
              <w:snapToGrid w:val="0"/>
              <w:spacing w:beforeLines="50" w:before="156" w:line="288" w:lineRule="auto"/>
              <w:rPr>
                <w:sz w:val="21"/>
              </w:rPr>
            </w:pPr>
            <w:r w:rsidRPr="00F63A29">
              <w:rPr>
                <w:rFonts w:hint="eastAsia"/>
                <w:sz w:val="21"/>
              </w:rPr>
              <w:t>未来，</w:t>
            </w:r>
            <w:r w:rsidR="000A3CE1" w:rsidRPr="00F63A29">
              <w:rPr>
                <w:rFonts w:hint="eastAsia"/>
                <w:sz w:val="21"/>
              </w:rPr>
              <w:t>公司将继续发挥</w:t>
            </w:r>
            <w:r w:rsidR="0011309B" w:rsidRPr="00F63A29">
              <w:rPr>
                <w:rFonts w:hint="eastAsia"/>
                <w:sz w:val="21"/>
              </w:rPr>
              <w:t>自有</w:t>
            </w:r>
            <w:r w:rsidR="000A3CE1" w:rsidRPr="00F63A29">
              <w:rPr>
                <w:rFonts w:hint="eastAsia"/>
                <w:sz w:val="21"/>
              </w:rPr>
              <w:t>优势</w:t>
            </w:r>
            <w:r w:rsidR="0011309B" w:rsidRPr="00F63A29">
              <w:rPr>
                <w:rFonts w:hint="eastAsia"/>
                <w:sz w:val="21"/>
              </w:rPr>
              <w:t>，</w:t>
            </w:r>
            <w:r w:rsidR="000A3CE1" w:rsidRPr="00F63A29">
              <w:rPr>
                <w:rFonts w:hint="eastAsia"/>
                <w:sz w:val="21"/>
              </w:rPr>
              <w:t>争取开创更多的增长空间。</w:t>
            </w:r>
          </w:p>
          <w:p w14:paraId="75177E70" w14:textId="77777777" w:rsidR="006D3333" w:rsidRPr="00F63A29" w:rsidRDefault="006D3333" w:rsidP="00B2508A">
            <w:pPr>
              <w:adjustRightInd w:val="0"/>
              <w:snapToGrid w:val="0"/>
              <w:spacing w:beforeLines="50" w:before="156" w:line="288" w:lineRule="auto"/>
              <w:rPr>
                <w:sz w:val="21"/>
              </w:rPr>
            </w:pPr>
          </w:p>
          <w:p w14:paraId="215A7C29" w14:textId="06871AF9" w:rsidR="006D3333" w:rsidRPr="00F63A29" w:rsidRDefault="001D79B2" w:rsidP="00B2508A">
            <w:pPr>
              <w:adjustRightInd w:val="0"/>
              <w:snapToGrid w:val="0"/>
              <w:spacing w:beforeLines="50" w:before="156" w:line="288" w:lineRule="auto"/>
              <w:rPr>
                <w:b/>
                <w:sz w:val="21"/>
              </w:rPr>
            </w:pPr>
            <w:r w:rsidRPr="00F63A29">
              <w:rPr>
                <w:rFonts w:hint="eastAsia"/>
                <w:b/>
                <w:sz w:val="21"/>
              </w:rPr>
              <w:t>问题</w:t>
            </w:r>
            <w:r w:rsidRPr="00F63A29">
              <w:rPr>
                <w:rFonts w:hint="eastAsia"/>
                <w:b/>
                <w:sz w:val="21"/>
              </w:rPr>
              <w:t>5</w:t>
            </w:r>
            <w:r w:rsidRPr="00F63A29">
              <w:rPr>
                <w:rFonts w:hint="eastAsia"/>
                <w:b/>
                <w:sz w:val="21"/>
              </w:rPr>
              <w:t>、</w:t>
            </w:r>
            <w:r w:rsidR="00B940D4" w:rsidRPr="00F63A29">
              <w:rPr>
                <w:rFonts w:hint="eastAsia"/>
                <w:b/>
                <w:sz w:val="21"/>
              </w:rPr>
              <w:t>募集资金投资项目“万吨水性环保汽车涂料项目</w:t>
            </w:r>
            <w:r w:rsidR="00095B7F" w:rsidRPr="00F63A29">
              <w:rPr>
                <w:rFonts w:hint="eastAsia"/>
                <w:b/>
                <w:sz w:val="21"/>
              </w:rPr>
              <w:t>”</w:t>
            </w:r>
            <w:r w:rsidR="00BC01E3" w:rsidRPr="00F63A29">
              <w:rPr>
                <w:rFonts w:hint="eastAsia"/>
                <w:b/>
                <w:sz w:val="21"/>
              </w:rPr>
              <w:t>，以及</w:t>
            </w:r>
            <w:r w:rsidR="00AB638A" w:rsidRPr="00F63A29">
              <w:rPr>
                <w:rFonts w:hint="eastAsia"/>
                <w:b/>
                <w:sz w:val="21"/>
              </w:rPr>
              <w:t>计划在</w:t>
            </w:r>
            <w:r w:rsidR="00B940D4" w:rsidRPr="00F63A29">
              <w:rPr>
                <w:rFonts w:hint="eastAsia"/>
                <w:b/>
                <w:sz w:val="21"/>
              </w:rPr>
              <w:t>中山市三角镇</w:t>
            </w:r>
            <w:r w:rsidR="006D3333" w:rsidRPr="00F63A29">
              <w:rPr>
                <w:rFonts w:hint="eastAsia"/>
                <w:b/>
                <w:sz w:val="21"/>
              </w:rPr>
              <w:t>投资</w:t>
            </w:r>
            <w:r w:rsidR="00E95919" w:rsidRPr="00F63A29">
              <w:rPr>
                <w:rFonts w:hint="eastAsia"/>
                <w:b/>
                <w:sz w:val="21"/>
              </w:rPr>
              <w:t>建设</w:t>
            </w:r>
            <w:r w:rsidR="00095B7F" w:rsidRPr="00F63A29">
              <w:rPr>
                <w:rFonts w:hint="eastAsia"/>
                <w:b/>
                <w:sz w:val="21"/>
              </w:rPr>
              <w:t>的</w:t>
            </w:r>
            <w:r w:rsidR="000D7E53" w:rsidRPr="00F63A29">
              <w:rPr>
                <w:rFonts w:hint="eastAsia"/>
                <w:b/>
                <w:sz w:val="21"/>
              </w:rPr>
              <w:t>华南总部</w:t>
            </w:r>
            <w:r w:rsidR="00095B7F" w:rsidRPr="00F63A29">
              <w:rPr>
                <w:rFonts w:hint="eastAsia"/>
                <w:b/>
                <w:sz w:val="21"/>
              </w:rPr>
              <w:t>项目</w:t>
            </w:r>
            <w:r w:rsidR="000D7E53" w:rsidRPr="00F63A29">
              <w:rPr>
                <w:rFonts w:hint="eastAsia"/>
                <w:b/>
                <w:sz w:val="21"/>
              </w:rPr>
              <w:t>，</w:t>
            </w:r>
            <w:r w:rsidR="006D3333" w:rsidRPr="00F63A29">
              <w:rPr>
                <w:rFonts w:hint="eastAsia"/>
                <w:b/>
                <w:sz w:val="21"/>
              </w:rPr>
              <w:t>进展</w:t>
            </w:r>
            <w:r w:rsidR="00095B7F" w:rsidRPr="00F63A29">
              <w:rPr>
                <w:rFonts w:hint="eastAsia"/>
                <w:b/>
                <w:sz w:val="21"/>
              </w:rPr>
              <w:t>分别</w:t>
            </w:r>
            <w:r w:rsidR="00B940D4" w:rsidRPr="00F63A29">
              <w:rPr>
                <w:rFonts w:hint="eastAsia"/>
                <w:b/>
                <w:sz w:val="21"/>
              </w:rPr>
              <w:t>如何</w:t>
            </w:r>
            <w:r w:rsidR="006D3333" w:rsidRPr="00F63A29">
              <w:rPr>
                <w:rFonts w:hint="eastAsia"/>
                <w:b/>
                <w:sz w:val="21"/>
              </w:rPr>
              <w:t>？</w:t>
            </w:r>
          </w:p>
          <w:p w14:paraId="2759F2E8" w14:textId="7D55D31E" w:rsidR="0058386E" w:rsidRPr="00F63A29" w:rsidRDefault="0058386E" w:rsidP="00B2508A">
            <w:pPr>
              <w:adjustRightInd w:val="0"/>
              <w:snapToGrid w:val="0"/>
              <w:spacing w:beforeLines="50" w:before="156" w:line="288" w:lineRule="auto"/>
              <w:rPr>
                <w:sz w:val="21"/>
              </w:rPr>
            </w:pPr>
            <w:r w:rsidRPr="00F63A29">
              <w:rPr>
                <w:rFonts w:hint="eastAsia"/>
                <w:sz w:val="21"/>
              </w:rPr>
              <w:t>回答：</w:t>
            </w:r>
          </w:p>
          <w:p w14:paraId="6091328A" w14:textId="1C10D375" w:rsidR="0016455E" w:rsidRPr="00F63A29" w:rsidRDefault="008B7115" w:rsidP="00B2508A">
            <w:pPr>
              <w:adjustRightInd w:val="0"/>
              <w:snapToGrid w:val="0"/>
              <w:spacing w:beforeLines="50" w:before="156" w:line="288" w:lineRule="auto"/>
              <w:rPr>
                <w:sz w:val="21"/>
              </w:rPr>
            </w:pPr>
            <w:r w:rsidRPr="00F63A29">
              <w:rPr>
                <w:rFonts w:hint="eastAsia"/>
                <w:sz w:val="21"/>
              </w:rPr>
              <w:t>（</w:t>
            </w:r>
            <w:r w:rsidRPr="00F63A29">
              <w:rPr>
                <w:rFonts w:hint="eastAsia"/>
                <w:sz w:val="21"/>
              </w:rPr>
              <w:t>1</w:t>
            </w:r>
            <w:r w:rsidRPr="00F63A29">
              <w:rPr>
                <w:rFonts w:hint="eastAsia"/>
                <w:sz w:val="21"/>
              </w:rPr>
              <w:t>）</w:t>
            </w:r>
            <w:r w:rsidR="0015118F" w:rsidRPr="00F63A29">
              <w:rPr>
                <w:rFonts w:hint="eastAsia"/>
                <w:sz w:val="21"/>
              </w:rPr>
              <w:t>万吨水性环保汽车涂料</w:t>
            </w:r>
            <w:r w:rsidR="0024721D" w:rsidRPr="00F63A29">
              <w:rPr>
                <w:rFonts w:hint="eastAsia"/>
                <w:sz w:val="21"/>
              </w:rPr>
              <w:t>项目</w:t>
            </w:r>
            <w:r w:rsidR="001F02F2" w:rsidRPr="00F63A29">
              <w:rPr>
                <w:rFonts w:hint="eastAsia"/>
                <w:sz w:val="21"/>
              </w:rPr>
              <w:t>：</w:t>
            </w:r>
            <w:r w:rsidR="0015118F" w:rsidRPr="00F63A29">
              <w:rPr>
                <w:rFonts w:hint="eastAsia"/>
                <w:sz w:val="21"/>
              </w:rPr>
              <w:t>公司于</w:t>
            </w:r>
            <w:r w:rsidR="0015118F" w:rsidRPr="00F63A29">
              <w:rPr>
                <w:rFonts w:hint="eastAsia"/>
                <w:sz w:val="21"/>
              </w:rPr>
              <w:t>2024</w:t>
            </w:r>
            <w:r w:rsidR="0024721D" w:rsidRPr="00F63A29">
              <w:rPr>
                <w:rFonts w:hint="eastAsia"/>
                <w:sz w:val="21"/>
              </w:rPr>
              <w:t>年二季度开始主体工程的建设</w:t>
            </w:r>
            <w:r w:rsidR="00981339">
              <w:rPr>
                <w:rFonts w:hint="eastAsia"/>
                <w:sz w:val="21"/>
              </w:rPr>
              <w:t>，</w:t>
            </w:r>
            <w:r w:rsidR="0024721D" w:rsidRPr="00F63A29">
              <w:rPr>
                <w:rFonts w:hint="eastAsia"/>
                <w:sz w:val="21"/>
              </w:rPr>
              <w:t>目前</w:t>
            </w:r>
            <w:r w:rsidR="00981339">
              <w:rPr>
                <w:rFonts w:hint="eastAsia"/>
                <w:sz w:val="21"/>
              </w:rPr>
              <w:t>大部分</w:t>
            </w:r>
            <w:r w:rsidR="0015118F" w:rsidRPr="00F63A29">
              <w:rPr>
                <w:rFonts w:hint="eastAsia"/>
                <w:sz w:val="21"/>
              </w:rPr>
              <w:t>建筑已封顶。</w:t>
            </w:r>
            <w:r w:rsidR="00981339">
              <w:rPr>
                <w:rFonts w:hint="eastAsia"/>
                <w:sz w:val="21"/>
              </w:rPr>
              <w:t>预计在</w:t>
            </w:r>
            <w:r w:rsidR="0015118F" w:rsidRPr="00F63A29">
              <w:rPr>
                <w:rFonts w:hint="eastAsia"/>
                <w:sz w:val="21"/>
              </w:rPr>
              <w:t>2026</w:t>
            </w:r>
            <w:r w:rsidR="0015118F" w:rsidRPr="00F63A29">
              <w:rPr>
                <w:rFonts w:hint="eastAsia"/>
                <w:sz w:val="21"/>
              </w:rPr>
              <w:t>年一季度</w:t>
            </w:r>
            <w:r w:rsidR="00981339">
              <w:rPr>
                <w:rFonts w:hint="eastAsia"/>
                <w:sz w:val="21"/>
              </w:rPr>
              <w:t>，</w:t>
            </w:r>
            <w:r w:rsidR="0015118F" w:rsidRPr="00F63A29">
              <w:rPr>
                <w:rFonts w:hint="eastAsia"/>
                <w:sz w:val="21"/>
              </w:rPr>
              <w:t>完成项目竣工。</w:t>
            </w:r>
          </w:p>
          <w:p w14:paraId="33CB3EB0" w14:textId="04F54ACD" w:rsidR="00AB638A" w:rsidRPr="00F63A29" w:rsidRDefault="00B940D4" w:rsidP="00B2508A">
            <w:pPr>
              <w:adjustRightInd w:val="0"/>
              <w:snapToGrid w:val="0"/>
              <w:spacing w:beforeLines="50" w:before="156" w:line="288" w:lineRule="auto"/>
              <w:rPr>
                <w:sz w:val="21"/>
              </w:rPr>
            </w:pPr>
            <w:r w:rsidRPr="00F63A29">
              <w:rPr>
                <w:rFonts w:hint="eastAsia"/>
                <w:sz w:val="21"/>
              </w:rPr>
              <w:t>（</w:t>
            </w:r>
            <w:r w:rsidRPr="00F63A29">
              <w:rPr>
                <w:rFonts w:hint="eastAsia"/>
                <w:sz w:val="21"/>
              </w:rPr>
              <w:t>2</w:t>
            </w:r>
            <w:r w:rsidRPr="00F63A29">
              <w:rPr>
                <w:rFonts w:hint="eastAsia"/>
                <w:sz w:val="21"/>
              </w:rPr>
              <w:t>）中山项目：</w:t>
            </w:r>
            <w:r w:rsidR="00EA6E6D" w:rsidRPr="00F63A29">
              <w:rPr>
                <w:rFonts w:hint="eastAsia"/>
                <w:sz w:val="21"/>
              </w:rPr>
              <w:t>与中山市三角镇人民政府签订了投资协议书，</w:t>
            </w:r>
            <w:r w:rsidR="0070100F" w:rsidRPr="00F63A29">
              <w:rPr>
                <w:rFonts w:hint="eastAsia"/>
                <w:sz w:val="21"/>
              </w:rPr>
              <w:t>设立华南总部，更好</w:t>
            </w:r>
            <w:r w:rsidR="00981339">
              <w:rPr>
                <w:rFonts w:hint="eastAsia"/>
                <w:sz w:val="21"/>
              </w:rPr>
              <w:t>的</w:t>
            </w:r>
            <w:r w:rsidR="0070100F" w:rsidRPr="00F63A29">
              <w:rPr>
                <w:rFonts w:hint="eastAsia"/>
                <w:sz w:val="21"/>
              </w:rPr>
              <w:t>服务在华南地区重要客户。</w:t>
            </w:r>
            <w:r w:rsidR="004C0FC5" w:rsidRPr="00F63A29">
              <w:rPr>
                <w:rFonts w:hint="eastAsia"/>
                <w:sz w:val="21"/>
              </w:rPr>
              <w:t>截至目前，该项目尚处于商议、筹划阶段，公司将积极落实本协议的约定事项。</w:t>
            </w:r>
          </w:p>
          <w:p w14:paraId="40C88918" w14:textId="37D039EE" w:rsidR="006D3333" w:rsidRPr="00F63A29" w:rsidRDefault="008B7115" w:rsidP="00B2508A">
            <w:pPr>
              <w:adjustRightInd w:val="0"/>
              <w:snapToGrid w:val="0"/>
              <w:spacing w:beforeLines="50" w:before="156" w:line="288" w:lineRule="auto"/>
              <w:rPr>
                <w:sz w:val="21"/>
              </w:rPr>
            </w:pPr>
            <w:r w:rsidRPr="00F63A29">
              <w:rPr>
                <w:rFonts w:hint="eastAsia"/>
                <w:sz w:val="21"/>
              </w:rPr>
              <w:t>以上项目</w:t>
            </w:r>
            <w:r w:rsidR="00AA56C9" w:rsidRPr="00F63A29">
              <w:rPr>
                <w:rFonts w:hint="eastAsia"/>
                <w:sz w:val="21"/>
              </w:rPr>
              <w:t>的后续进展，敬请关注</w:t>
            </w:r>
            <w:r w:rsidR="00E13074" w:rsidRPr="00F63A29">
              <w:rPr>
                <w:rFonts w:hint="eastAsia"/>
                <w:sz w:val="21"/>
              </w:rPr>
              <w:t>公司</w:t>
            </w:r>
            <w:r w:rsidR="00087628" w:rsidRPr="00F63A29">
              <w:rPr>
                <w:rFonts w:hint="eastAsia"/>
                <w:sz w:val="21"/>
              </w:rPr>
              <w:t>后续</w:t>
            </w:r>
            <w:r w:rsidR="00AA56C9" w:rsidRPr="00F63A29">
              <w:rPr>
                <w:rFonts w:hint="eastAsia"/>
                <w:sz w:val="21"/>
              </w:rPr>
              <w:t>公告。</w:t>
            </w:r>
          </w:p>
          <w:p w14:paraId="68403D40" w14:textId="77777777" w:rsidR="006D3333" w:rsidRPr="00F63A29" w:rsidRDefault="006D3333" w:rsidP="00B2508A">
            <w:pPr>
              <w:adjustRightInd w:val="0"/>
              <w:snapToGrid w:val="0"/>
              <w:spacing w:beforeLines="50" w:before="156" w:line="288" w:lineRule="auto"/>
              <w:rPr>
                <w:sz w:val="21"/>
              </w:rPr>
            </w:pPr>
          </w:p>
          <w:p w14:paraId="037AB0CC" w14:textId="5D40CFF2" w:rsidR="006D3333" w:rsidRPr="00F63A29" w:rsidRDefault="00150FC7" w:rsidP="00B2508A">
            <w:pPr>
              <w:adjustRightInd w:val="0"/>
              <w:snapToGrid w:val="0"/>
              <w:spacing w:beforeLines="50" w:before="156" w:line="288" w:lineRule="auto"/>
              <w:rPr>
                <w:b/>
                <w:sz w:val="21"/>
              </w:rPr>
            </w:pPr>
            <w:r w:rsidRPr="00F63A29">
              <w:rPr>
                <w:rFonts w:hint="eastAsia"/>
                <w:b/>
                <w:sz w:val="21"/>
              </w:rPr>
              <w:t>问题</w:t>
            </w:r>
            <w:r w:rsidRPr="00F63A29">
              <w:rPr>
                <w:rFonts w:hint="eastAsia"/>
                <w:b/>
                <w:sz w:val="21"/>
              </w:rPr>
              <w:t>6</w:t>
            </w:r>
            <w:r w:rsidRPr="00F63A29">
              <w:rPr>
                <w:rFonts w:hint="eastAsia"/>
                <w:b/>
                <w:sz w:val="21"/>
              </w:rPr>
              <w:t>、</w:t>
            </w:r>
            <w:r w:rsidR="00272FDE" w:rsidRPr="00F63A29">
              <w:rPr>
                <w:rFonts w:hint="eastAsia"/>
                <w:b/>
                <w:sz w:val="21"/>
              </w:rPr>
              <w:t>计划在中山项目中自制树脂，是</w:t>
            </w:r>
            <w:r w:rsidR="006D3333" w:rsidRPr="00F63A29">
              <w:rPr>
                <w:rFonts w:hint="eastAsia"/>
                <w:b/>
                <w:sz w:val="21"/>
              </w:rPr>
              <w:t>出于什么考量？</w:t>
            </w:r>
          </w:p>
          <w:p w14:paraId="14DD2ED8" w14:textId="77777777" w:rsidR="004266B0" w:rsidRPr="00F63A29" w:rsidRDefault="004266B0" w:rsidP="00B2508A">
            <w:pPr>
              <w:adjustRightInd w:val="0"/>
              <w:snapToGrid w:val="0"/>
              <w:spacing w:beforeLines="50" w:before="156" w:line="288" w:lineRule="auto"/>
              <w:rPr>
                <w:sz w:val="21"/>
              </w:rPr>
            </w:pPr>
            <w:r w:rsidRPr="00F63A29">
              <w:rPr>
                <w:rFonts w:hint="eastAsia"/>
                <w:sz w:val="21"/>
              </w:rPr>
              <w:t>回答：</w:t>
            </w:r>
          </w:p>
          <w:p w14:paraId="535BCCB9" w14:textId="77777777" w:rsidR="0011309B" w:rsidRPr="00F63A29" w:rsidRDefault="0011309B" w:rsidP="00B2508A">
            <w:pPr>
              <w:adjustRightInd w:val="0"/>
              <w:snapToGrid w:val="0"/>
              <w:spacing w:beforeLines="50" w:before="156" w:line="288" w:lineRule="auto"/>
              <w:rPr>
                <w:sz w:val="21"/>
              </w:rPr>
            </w:pPr>
            <w:r w:rsidRPr="00F63A29">
              <w:rPr>
                <w:rFonts w:hint="eastAsia"/>
                <w:sz w:val="21"/>
              </w:rPr>
              <w:t>2025</w:t>
            </w:r>
            <w:r w:rsidRPr="00F63A29">
              <w:rPr>
                <w:rFonts w:hint="eastAsia"/>
                <w:sz w:val="21"/>
              </w:rPr>
              <w:t>年</w:t>
            </w:r>
            <w:r w:rsidRPr="00F63A29">
              <w:rPr>
                <w:rFonts w:hint="eastAsia"/>
                <w:sz w:val="21"/>
              </w:rPr>
              <w:t>7</w:t>
            </w:r>
            <w:r w:rsidRPr="00F63A29">
              <w:rPr>
                <w:rFonts w:hint="eastAsia"/>
                <w:sz w:val="21"/>
              </w:rPr>
              <w:t>月末，公司披露了中山项目的投资进展，拟在一期协议的基础上增购二期用地，建设华南区域总部、研发中心、生产厂房及配套仓库，主要生产高性能汽车涂料及相关树脂。</w:t>
            </w:r>
          </w:p>
          <w:p w14:paraId="57A7BD39" w14:textId="327E1211" w:rsidR="00656BC4" w:rsidRPr="00F63A29" w:rsidRDefault="0011309B" w:rsidP="00B2508A">
            <w:pPr>
              <w:adjustRightInd w:val="0"/>
              <w:snapToGrid w:val="0"/>
              <w:spacing w:beforeLines="50" w:before="156" w:line="288" w:lineRule="auto"/>
              <w:rPr>
                <w:sz w:val="21"/>
              </w:rPr>
            </w:pPr>
            <w:r w:rsidRPr="00F63A29">
              <w:rPr>
                <w:rFonts w:hint="eastAsia"/>
                <w:sz w:val="21"/>
              </w:rPr>
              <w:t>该项目计划研发、生产与主营产品密切匹配的、具有特殊性能的树脂，作为未来实现产品高端化、差异化、创新化的重要原材料。有利于公司原材料价格稳定、产品质量稳定，有助于实现产品差异化竞争，以满足未来市场不断出现的创新需求。</w:t>
            </w:r>
          </w:p>
          <w:p w14:paraId="2C3C237D" w14:textId="77777777" w:rsidR="006D3333" w:rsidRPr="00F63A29" w:rsidRDefault="006D3333" w:rsidP="00B2508A">
            <w:pPr>
              <w:adjustRightInd w:val="0"/>
              <w:snapToGrid w:val="0"/>
              <w:spacing w:beforeLines="50" w:before="156" w:line="288" w:lineRule="auto"/>
              <w:rPr>
                <w:sz w:val="21"/>
              </w:rPr>
            </w:pPr>
          </w:p>
          <w:p w14:paraId="0F3A91FC" w14:textId="49A59B08" w:rsidR="007A6175" w:rsidRPr="00F63A29" w:rsidRDefault="007A6175" w:rsidP="00B2508A">
            <w:pPr>
              <w:adjustRightInd w:val="0"/>
              <w:snapToGrid w:val="0"/>
              <w:spacing w:beforeLines="50" w:before="156" w:line="288" w:lineRule="auto"/>
              <w:rPr>
                <w:b/>
                <w:sz w:val="21"/>
              </w:rPr>
            </w:pPr>
            <w:r w:rsidRPr="00F63A29">
              <w:rPr>
                <w:rFonts w:hint="eastAsia"/>
                <w:b/>
                <w:sz w:val="21"/>
              </w:rPr>
              <w:lastRenderedPageBreak/>
              <w:t>问题</w:t>
            </w:r>
            <w:r w:rsidRPr="00F63A29">
              <w:rPr>
                <w:rFonts w:hint="eastAsia"/>
                <w:b/>
                <w:sz w:val="21"/>
              </w:rPr>
              <w:t>7</w:t>
            </w:r>
            <w:r w:rsidRPr="00F63A29">
              <w:rPr>
                <w:rFonts w:hint="eastAsia"/>
                <w:b/>
                <w:sz w:val="21"/>
              </w:rPr>
              <w:t>、</w:t>
            </w:r>
            <w:r w:rsidRPr="00F63A29">
              <w:rPr>
                <w:rFonts w:hint="eastAsia"/>
                <w:b/>
                <w:sz w:val="21"/>
              </w:rPr>
              <w:t>2024</w:t>
            </w:r>
            <w:r w:rsidRPr="00F63A29">
              <w:rPr>
                <w:rFonts w:hint="eastAsia"/>
                <w:b/>
                <w:sz w:val="21"/>
              </w:rPr>
              <w:t>年毛利率水平有所提升，后续如何展望？</w:t>
            </w:r>
          </w:p>
          <w:p w14:paraId="54FF1EDA" w14:textId="77777777" w:rsidR="007A6175" w:rsidRPr="00F63A29" w:rsidRDefault="007A6175" w:rsidP="00B2508A">
            <w:pPr>
              <w:adjustRightInd w:val="0"/>
              <w:snapToGrid w:val="0"/>
              <w:spacing w:beforeLines="50" w:before="156" w:line="288" w:lineRule="auto"/>
              <w:rPr>
                <w:sz w:val="21"/>
              </w:rPr>
            </w:pPr>
            <w:r w:rsidRPr="00F63A29">
              <w:rPr>
                <w:rFonts w:hint="eastAsia"/>
                <w:sz w:val="21"/>
              </w:rPr>
              <w:t>回答：</w:t>
            </w:r>
          </w:p>
          <w:p w14:paraId="5A4F74C6" w14:textId="77777777" w:rsidR="007A6175" w:rsidRPr="00F63A29" w:rsidRDefault="007A6175" w:rsidP="00B2508A">
            <w:pPr>
              <w:adjustRightInd w:val="0"/>
              <w:snapToGrid w:val="0"/>
              <w:spacing w:beforeLines="50" w:before="156" w:line="288" w:lineRule="auto"/>
              <w:rPr>
                <w:sz w:val="21"/>
              </w:rPr>
            </w:pPr>
            <w:r w:rsidRPr="00F63A29">
              <w:rPr>
                <w:rFonts w:hint="eastAsia"/>
                <w:sz w:val="21"/>
              </w:rPr>
              <w:t>2024</w:t>
            </w:r>
            <w:r w:rsidRPr="00F63A29">
              <w:rPr>
                <w:rFonts w:hint="eastAsia"/>
                <w:sz w:val="21"/>
              </w:rPr>
              <w:t>年度，公司主营业务毛利率接近</w:t>
            </w:r>
            <w:r w:rsidRPr="00F63A29">
              <w:rPr>
                <w:rFonts w:hint="eastAsia"/>
                <w:sz w:val="21"/>
              </w:rPr>
              <w:t>40%</w:t>
            </w:r>
            <w:r w:rsidRPr="00F63A29">
              <w:rPr>
                <w:rFonts w:hint="eastAsia"/>
                <w:sz w:val="21"/>
              </w:rPr>
              <w:t>，目前处于平稳状态。</w:t>
            </w:r>
          </w:p>
          <w:p w14:paraId="549D809B" w14:textId="3FBFAB6B" w:rsidR="00FC67B4" w:rsidRPr="00F63A29" w:rsidRDefault="007A6175" w:rsidP="00B2508A">
            <w:pPr>
              <w:adjustRightInd w:val="0"/>
              <w:snapToGrid w:val="0"/>
              <w:spacing w:beforeLines="50" w:before="156" w:line="288" w:lineRule="auto"/>
              <w:rPr>
                <w:sz w:val="21"/>
              </w:rPr>
            </w:pPr>
            <w:r w:rsidRPr="00F63A29">
              <w:rPr>
                <w:rFonts w:hint="eastAsia"/>
                <w:sz w:val="21"/>
              </w:rPr>
              <w:t>目前，售后修补涂料和新车内外饰件涂料业务均处于良性增长状态，在成熟业务稳步增长的基础上，公司积极开展产品创新迭代、寻求乘用车</w:t>
            </w:r>
            <w:r w:rsidRPr="00F63A29">
              <w:rPr>
                <w:rFonts w:hint="eastAsia"/>
                <w:sz w:val="21"/>
              </w:rPr>
              <w:t>OEM</w:t>
            </w:r>
            <w:r w:rsidRPr="00F63A29">
              <w:rPr>
                <w:rFonts w:hint="eastAsia"/>
                <w:sz w:val="21"/>
              </w:rPr>
              <w:t>原厂车身涂料的突破，以实现第三业务</w:t>
            </w:r>
            <w:r w:rsidR="00981339">
              <w:rPr>
                <w:rFonts w:hint="eastAsia"/>
                <w:sz w:val="21"/>
              </w:rPr>
              <w:t>曲线的</w:t>
            </w:r>
            <w:r w:rsidRPr="00F63A29">
              <w:rPr>
                <w:rFonts w:hint="eastAsia"/>
                <w:sz w:val="21"/>
              </w:rPr>
              <w:t>增长。</w:t>
            </w:r>
          </w:p>
          <w:p w14:paraId="0A9995FF" w14:textId="77777777" w:rsidR="006D3333" w:rsidRPr="00F63A29" w:rsidRDefault="006D3333" w:rsidP="00B2508A">
            <w:pPr>
              <w:adjustRightInd w:val="0"/>
              <w:snapToGrid w:val="0"/>
              <w:spacing w:beforeLines="50" w:before="156" w:line="288" w:lineRule="auto"/>
              <w:rPr>
                <w:sz w:val="21"/>
              </w:rPr>
            </w:pPr>
          </w:p>
          <w:p w14:paraId="411C11A2" w14:textId="0FD8414B" w:rsidR="006D3333" w:rsidRPr="00F63A29" w:rsidRDefault="00A42013" w:rsidP="00B2508A">
            <w:pPr>
              <w:adjustRightInd w:val="0"/>
              <w:snapToGrid w:val="0"/>
              <w:spacing w:beforeLines="50" w:before="156" w:line="288" w:lineRule="auto"/>
              <w:rPr>
                <w:b/>
                <w:sz w:val="21"/>
              </w:rPr>
            </w:pPr>
            <w:r w:rsidRPr="00F63A29">
              <w:rPr>
                <w:rFonts w:hint="eastAsia"/>
                <w:b/>
                <w:sz w:val="21"/>
              </w:rPr>
              <w:t>问题</w:t>
            </w:r>
            <w:r w:rsidRPr="00F63A29">
              <w:rPr>
                <w:b/>
                <w:sz w:val="21"/>
              </w:rPr>
              <w:t>8</w:t>
            </w:r>
            <w:r w:rsidRPr="00F63A29">
              <w:rPr>
                <w:rFonts w:hint="eastAsia"/>
                <w:b/>
                <w:sz w:val="21"/>
              </w:rPr>
              <w:t>、</w:t>
            </w:r>
            <w:r w:rsidR="006D3333" w:rsidRPr="00F63A29">
              <w:rPr>
                <w:rFonts w:hint="eastAsia"/>
                <w:b/>
                <w:sz w:val="21"/>
              </w:rPr>
              <w:t>汽车涂料行业</w:t>
            </w:r>
            <w:r w:rsidR="00D443EC" w:rsidRPr="00F63A29">
              <w:rPr>
                <w:rFonts w:hint="eastAsia"/>
                <w:b/>
                <w:sz w:val="21"/>
              </w:rPr>
              <w:t>近年出现了哪些新技术、</w:t>
            </w:r>
            <w:r w:rsidR="006D3333" w:rsidRPr="00F63A29">
              <w:rPr>
                <w:rFonts w:hint="eastAsia"/>
                <w:b/>
                <w:sz w:val="21"/>
              </w:rPr>
              <w:t>新需求</w:t>
            </w:r>
            <w:r w:rsidR="000A3AFC" w:rsidRPr="00F63A29">
              <w:rPr>
                <w:rFonts w:hint="eastAsia"/>
                <w:b/>
                <w:sz w:val="21"/>
              </w:rPr>
              <w:t>？</w:t>
            </w:r>
          </w:p>
          <w:p w14:paraId="6CDD3DF4" w14:textId="77777777" w:rsidR="008F6ACE" w:rsidRPr="00F63A29" w:rsidRDefault="008F6ACE" w:rsidP="00B2508A">
            <w:pPr>
              <w:adjustRightInd w:val="0"/>
              <w:snapToGrid w:val="0"/>
              <w:spacing w:beforeLines="50" w:before="156" w:line="288" w:lineRule="auto"/>
              <w:rPr>
                <w:sz w:val="21"/>
              </w:rPr>
            </w:pPr>
            <w:r w:rsidRPr="00F63A29">
              <w:rPr>
                <w:rFonts w:hint="eastAsia"/>
                <w:sz w:val="21"/>
              </w:rPr>
              <w:t>回答：</w:t>
            </w:r>
          </w:p>
          <w:p w14:paraId="15A47A92" w14:textId="442B17B5" w:rsidR="0021735D" w:rsidRPr="00F63A29" w:rsidRDefault="0021735D" w:rsidP="00B2508A">
            <w:pPr>
              <w:adjustRightInd w:val="0"/>
              <w:snapToGrid w:val="0"/>
              <w:spacing w:beforeLines="50" w:before="156" w:line="288" w:lineRule="auto"/>
              <w:rPr>
                <w:sz w:val="21"/>
              </w:rPr>
            </w:pPr>
            <w:r w:rsidRPr="00F63A29">
              <w:rPr>
                <w:rFonts w:hint="eastAsia"/>
                <w:sz w:val="21"/>
              </w:rPr>
              <w:t>在乘用车涂料的新技术方面，</w:t>
            </w:r>
            <w:r w:rsidR="00981339">
              <w:rPr>
                <w:rFonts w:hint="eastAsia"/>
                <w:sz w:val="21"/>
              </w:rPr>
              <w:t>很多创新技术的需求确定且明显，比如</w:t>
            </w:r>
            <w:r w:rsidRPr="00F63A29">
              <w:rPr>
                <w:rFonts w:hint="eastAsia"/>
                <w:sz w:val="21"/>
              </w:rPr>
              <w:t>低温一体化涂装技术</w:t>
            </w:r>
            <w:r w:rsidR="00981339">
              <w:rPr>
                <w:rFonts w:hint="eastAsia"/>
                <w:sz w:val="21"/>
              </w:rPr>
              <w:t>、特殊功能型汽车</w:t>
            </w:r>
            <w:r w:rsidRPr="00F63A29">
              <w:rPr>
                <w:rFonts w:hint="eastAsia"/>
                <w:sz w:val="21"/>
              </w:rPr>
              <w:t>涂料</w:t>
            </w:r>
            <w:r w:rsidR="00981339">
              <w:rPr>
                <w:rFonts w:hint="eastAsia"/>
                <w:sz w:val="21"/>
              </w:rPr>
              <w:t>、</w:t>
            </w:r>
            <w:r w:rsidRPr="00F63A29">
              <w:rPr>
                <w:rFonts w:hint="eastAsia"/>
                <w:sz w:val="21"/>
              </w:rPr>
              <w:t>太阳能发电</w:t>
            </w:r>
            <w:r w:rsidR="00981339">
              <w:rPr>
                <w:rFonts w:hint="eastAsia"/>
                <w:sz w:val="21"/>
              </w:rPr>
              <w:t>汽车</w:t>
            </w:r>
            <w:r w:rsidRPr="00F63A29">
              <w:rPr>
                <w:rFonts w:hint="eastAsia"/>
                <w:sz w:val="21"/>
              </w:rPr>
              <w:t>涂料</w:t>
            </w:r>
            <w:r w:rsidR="00981339">
              <w:rPr>
                <w:rFonts w:hint="eastAsia"/>
                <w:sz w:val="21"/>
              </w:rPr>
              <w:t>、</w:t>
            </w:r>
            <w:bookmarkStart w:id="0" w:name="_GoBack"/>
            <w:bookmarkEnd w:id="0"/>
            <w:r w:rsidR="00981339">
              <w:rPr>
                <w:rFonts w:hint="eastAsia"/>
                <w:sz w:val="21"/>
              </w:rPr>
              <w:t>大大增加汽车颜值的颜色表现、快速提供更多数量的量产颜色等。</w:t>
            </w:r>
          </w:p>
          <w:p w14:paraId="78603051" w14:textId="5E54CF57" w:rsidR="006829D0" w:rsidRDefault="0021735D" w:rsidP="00B2508A">
            <w:pPr>
              <w:adjustRightInd w:val="0"/>
              <w:snapToGrid w:val="0"/>
              <w:spacing w:beforeLines="50" w:before="156" w:line="288" w:lineRule="auto"/>
              <w:rPr>
                <w:sz w:val="21"/>
              </w:rPr>
            </w:pPr>
            <w:r w:rsidRPr="00F63A29">
              <w:rPr>
                <w:rFonts w:hint="eastAsia"/>
                <w:sz w:val="21"/>
              </w:rPr>
              <w:t>东来持续关注涂料领域、乃至汽车材料领域的新技术、新需求，并基于先进石化化工新材料行业特性，充分重视与高校材料学院、产业链上游化工材料供应商的资源，进行协同利用和共同研发。</w:t>
            </w:r>
          </w:p>
          <w:p w14:paraId="76A31A43" w14:textId="6A337E7D" w:rsidR="00AA247E" w:rsidRDefault="00AA247E" w:rsidP="00B2508A">
            <w:pPr>
              <w:adjustRightInd w:val="0"/>
              <w:snapToGrid w:val="0"/>
              <w:spacing w:beforeLines="50" w:before="156" w:line="288" w:lineRule="auto"/>
              <w:rPr>
                <w:sz w:val="21"/>
              </w:rPr>
            </w:pPr>
          </w:p>
          <w:p w14:paraId="54886EE1" w14:textId="03BB8FB3" w:rsidR="00AA247E" w:rsidRPr="00AA247E" w:rsidRDefault="00AA247E" w:rsidP="00B2508A">
            <w:pPr>
              <w:adjustRightInd w:val="0"/>
              <w:snapToGrid w:val="0"/>
              <w:spacing w:beforeLines="50" w:before="156" w:line="288" w:lineRule="auto"/>
              <w:rPr>
                <w:b/>
                <w:sz w:val="21"/>
              </w:rPr>
            </w:pPr>
            <w:r w:rsidRPr="00AA247E">
              <w:rPr>
                <w:rFonts w:hint="eastAsia"/>
                <w:b/>
                <w:sz w:val="21"/>
              </w:rPr>
              <w:t>问题</w:t>
            </w:r>
            <w:r w:rsidRPr="00AA247E">
              <w:rPr>
                <w:rFonts w:hint="eastAsia"/>
                <w:b/>
                <w:sz w:val="21"/>
              </w:rPr>
              <w:t>9</w:t>
            </w:r>
            <w:r w:rsidRPr="00AA247E">
              <w:rPr>
                <w:rFonts w:hint="eastAsia"/>
                <w:b/>
                <w:sz w:val="21"/>
              </w:rPr>
              <w:t>、东来注重企业文化和核心价值观的建设，请结合员工激励和组织能力建设展开谈谈。</w:t>
            </w:r>
          </w:p>
          <w:p w14:paraId="4D847CB9" w14:textId="17D4DBD7" w:rsidR="00AA247E" w:rsidRDefault="00AA247E" w:rsidP="00B2508A">
            <w:pPr>
              <w:adjustRightInd w:val="0"/>
              <w:snapToGrid w:val="0"/>
              <w:spacing w:beforeLines="50" w:before="156" w:line="288" w:lineRule="auto"/>
              <w:rPr>
                <w:sz w:val="21"/>
              </w:rPr>
            </w:pPr>
            <w:r>
              <w:rPr>
                <w:rFonts w:hint="eastAsia"/>
                <w:sz w:val="21"/>
              </w:rPr>
              <w:t>回答：</w:t>
            </w:r>
          </w:p>
          <w:p w14:paraId="14B1EEFE" w14:textId="77777777" w:rsidR="00AA247E" w:rsidRPr="00AA247E" w:rsidRDefault="00AA247E" w:rsidP="00B2508A">
            <w:pPr>
              <w:adjustRightInd w:val="0"/>
              <w:snapToGrid w:val="0"/>
              <w:spacing w:beforeLines="50" w:before="156" w:line="288" w:lineRule="auto"/>
              <w:rPr>
                <w:sz w:val="21"/>
              </w:rPr>
            </w:pPr>
            <w:r w:rsidRPr="00AA247E">
              <w:rPr>
                <w:rFonts w:hint="eastAsia"/>
                <w:sz w:val="21"/>
              </w:rPr>
              <w:t>东来技术一直坚持“真诚共赢、有用务实、适合改善”的核心价值观和企业文化建设，我们所有活动的目的，是为了有尊严的生活。</w:t>
            </w:r>
          </w:p>
          <w:p w14:paraId="092A49B6" w14:textId="77777777" w:rsidR="00AA247E" w:rsidRPr="00AA247E" w:rsidRDefault="00AA247E" w:rsidP="00B2508A">
            <w:pPr>
              <w:adjustRightInd w:val="0"/>
              <w:snapToGrid w:val="0"/>
              <w:spacing w:beforeLines="50" w:before="156" w:line="288" w:lineRule="auto"/>
              <w:rPr>
                <w:sz w:val="21"/>
              </w:rPr>
            </w:pPr>
            <w:r w:rsidRPr="00AA247E">
              <w:rPr>
                <w:rFonts w:hint="eastAsia"/>
                <w:sz w:val="21"/>
              </w:rPr>
              <w:t>我们希望，东来技术是一家对社会有贡献的、优秀的企业，让每一位东来技术的员工，因此能获得广泛尊重和成就感。</w:t>
            </w:r>
          </w:p>
          <w:p w14:paraId="710D9E4D" w14:textId="48E28CE5" w:rsidR="00B8491C" w:rsidRPr="00F63A29" w:rsidRDefault="00AA247E" w:rsidP="00B2508A">
            <w:pPr>
              <w:adjustRightInd w:val="0"/>
              <w:snapToGrid w:val="0"/>
              <w:spacing w:beforeLines="50" w:before="156" w:line="288" w:lineRule="auto"/>
              <w:rPr>
                <w:sz w:val="21"/>
              </w:rPr>
            </w:pPr>
            <w:r w:rsidRPr="00AA247E">
              <w:rPr>
                <w:rFonts w:hint="eastAsia"/>
                <w:sz w:val="21"/>
              </w:rPr>
              <w:t>东来一直在致力于加强组织能力建设，持续推出管理层股权激励计划，健全长效激励机制，提高凝聚力，调动团队积极性，有效地将股东利益、公司利益和团队个人利益结合，使各方共同关注和推动东来技术的长远发展。</w:t>
            </w:r>
          </w:p>
          <w:p w14:paraId="44CB89C8" w14:textId="77777777" w:rsidR="00DA570B" w:rsidRPr="00F63A29" w:rsidRDefault="00DA570B" w:rsidP="00B2508A">
            <w:pPr>
              <w:adjustRightInd w:val="0"/>
              <w:snapToGrid w:val="0"/>
              <w:spacing w:before="50" w:line="288" w:lineRule="auto"/>
              <w:rPr>
                <w:sz w:val="21"/>
              </w:rPr>
            </w:pPr>
          </w:p>
          <w:p w14:paraId="74FC658E" w14:textId="224B6C37" w:rsidR="00B8491C" w:rsidRPr="00D443EC" w:rsidRDefault="00B8491C" w:rsidP="00B2508A">
            <w:pPr>
              <w:adjustRightInd w:val="0"/>
              <w:snapToGrid w:val="0"/>
              <w:spacing w:before="50" w:line="288" w:lineRule="auto"/>
              <w:rPr>
                <w:b/>
                <w:sz w:val="21"/>
              </w:rPr>
            </w:pPr>
            <w:r w:rsidRPr="00F63A29">
              <w:rPr>
                <w:rFonts w:hint="eastAsia"/>
                <w:b/>
                <w:sz w:val="21"/>
              </w:rPr>
              <w:t>风险提示：</w:t>
            </w:r>
            <w:r w:rsidR="00D443EC" w:rsidRPr="00F63A29">
              <w:rPr>
                <w:rFonts w:hint="eastAsia"/>
                <w:b/>
                <w:sz w:val="21"/>
              </w:rPr>
              <w:t>以上如涉及对行业的预测、公司发展战略规划等相关内容，不能视作公司或公司管理层对行业、公司发展的承诺和保证，敬请广大投资者注意投资风险。</w:t>
            </w:r>
          </w:p>
        </w:tc>
      </w:tr>
      <w:tr w:rsidR="00AF5750" w:rsidRPr="00D66B8F" w14:paraId="3B3EE2F1" w14:textId="77777777" w:rsidTr="00AA247E">
        <w:trPr>
          <w:trHeight w:val="397"/>
        </w:trPr>
        <w:tc>
          <w:tcPr>
            <w:tcW w:w="1598" w:type="dxa"/>
            <w:vAlign w:val="center"/>
          </w:tcPr>
          <w:p w14:paraId="14E2FD60" w14:textId="77777777" w:rsidR="00AF5750" w:rsidRPr="00D66B8F" w:rsidRDefault="00AF5750" w:rsidP="001C2711">
            <w:pPr>
              <w:rPr>
                <w:sz w:val="21"/>
              </w:rPr>
            </w:pPr>
            <w:r w:rsidRPr="00D66B8F">
              <w:rPr>
                <w:rFonts w:hint="eastAsia"/>
                <w:sz w:val="21"/>
              </w:rPr>
              <w:lastRenderedPageBreak/>
              <w:t>关于本次活动是否涉及应当披露重大信息的说明</w:t>
            </w:r>
          </w:p>
        </w:tc>
        <w:tc>
          <w:tcPr>
            <w:tcW w:w="6698" w:type="dxa"/>
            <w:vAlign w:val="center"/>
          </w:tcPr>
          <w:p w14:paraId="631F1A40" w14:textId="77777777" w:rsidR="00AF5750" w:rsidRPr="00D66B8F" w:rsidRDefault="00AF5750" w:rsidP="001C2711">
            <w:pPr>
              <w:rPr>
                <w:sz w:val="21"/>
              </w:rPr>
            </w:pPr>
            <w:r w:rsidRPr="00D66B8F">
              <w:rPr>
                <w:rFonts w:hint="eastAsia"/>
                <w:sz w:val="21"/>
              </w:rPr>
              <w:t>无</w:t>
            </w:r>
          </w:p>
        </w:tc>
      </w:tr>
      <w:tr w:rsidR="00AF5750" w:rsidRPr="00D66B8F" w14:paraId="592E02B8" w14:textId="77777777" w:rsidTr="00AA247E">
        <w:trPr>
          <w:trHeight w:val="397"/>
        </w:trPr>
        <w:tc>
          <w:tcPr>
            <w:tcW w:w="1598" w:type="dxa"/>
            <w:vAlign w:val="center"/>
          </w:tcPr>
          <w:p w14:paraId="7694FB48" w14:textId="77777777" w:rsidR="00AF5750" w:rsidRPr="00D66B8F" w:rsidRDefault="00AF5750" w:rsidP="001C2711">
            <w:pPr>
              <w:rPr>
                <w:sz w:val="21"/>
              </w:rPr>
            </w:pPr>
            <w:r w:rsidRPr="00D66B8F">
              <w:rPr>
                <w:rFonts w:hint="eastAsia"/>
                <w:sz w:val="21"/>
              </w:rPr>
              <w:lastRenderedPageBreak/>
              <w:t>附件清单（如有）</w:t>
            </w:r>
          </w:p>
        </w:tc>
        <w:tc>
          <w:tcPr>
            <w:tcW w:w="6698" w:type="dxa"/>
            <w:vAlign w:val="center"/>
          </w:tcPr>
          <w:p w14:paraId="4C790127" w14:textId="77777777" w:rsidR="00AF5750" w:rsidRPr="00D66B8F" w:rsidRDefault="004B632F" w:rsidP="001C2711">
            <w:pPr>
              <w:rPr>
                <w:sz w:val="21"/>
              </w:rPr>
            </w:pPr>
            <w:r>
              <w:rPr>
                <w:rFonts w:hint="eastAsia"/>
                <w:sz w:val="21"/>
              </w:rPr>
              <w:t>附件一：参会机构名单</w:t>
            </w:r>
          </w:p>
        </w:tc>
      </w:tr>
      <w:tr w:rsidR="00AF5750" w:rsidRPr="00D66B8F" w14:paraId="698FB562" w14:textId="77777777" w:rsidTr="00AA247E">
        <w:trPr>
          <w:trHeight w:val="397"/>
        </w:trPr>
        <w:tc>
          <w:tcPr>
            <w:tcW w:w="1598" w:type="dxa"/>
            <w:vAlign w:val="center"/>
          </w:tcPr>
          <w:p w14:paraId="552B269B" w14:textId="77777777" w:rsidR="00AF5750" w:rsidRPr="00D66B8F" w:rsidRDefault="00AF5750" w:rsidP="001C2711">
            <w:pPr>
              <w:rPr>
                <w:sz w:val="21"/>
              </w:rPr>
            </w:pPr>
            <w:r w:rsidRPr="00D66B8F">
              <w:rPr>
                <w:rFonts w:hint="eastAsia"/>
                <w:sz w:val="21"/>
              </w:rPr>
              <w:t>日期</w:t>
            </w:r>
          </w:p>
        </w:tc>
        <w:tc>
          <w:tcPr>
            <w:tcW w:w="6698" w:type="dxa"/>
            <w:vAlign w:val="center"/>
          </w:tcPr>
          <w:p w14:paraId="7374F95F" w14:textId="77777777" w:rsidR="00AF5750" w:rsidRPr="00D66B8F" w:rsidRDefault="004B632F" w:rsidP="001C2711">
            <w:pPr>
              <w:rPr>
                <w:sz w:val="21"/>
              </w:rPr>
            </w:pPr>
            <w:r>
              <w:rPr>
                <w:rFonts w:hint="eastAsia"/>
                <w:sz w:val="21"/>
              </w:rPr>
              <w:t>2025</w:t>
            </w:r>
            <w:r>
              <w:rPr>
                <w:rFonts w:hint="eastAsia"/>
                <w:sz w:val="21"/>
              </w:rPr>
              <w:t>年</w:t>
            </w:r>
            <w:r>
              <w:rPr>
                <w:rFonts w:hint="eastAsia"/>
                <w:sz w:val="21"/>
              </w:rPr>
              <w:t>8</w:t>
            </w:r>
            <w:r>
              <w:rPr>
                <w:rFonts w:hint="eastAsia"/>
                <w:sz w:val="21"/>
              </w:rPr>
              <w:t>月</w:t>
            </w:r>
            <w:r>
              <w:rPr>
                <w:rFonts w:hint="eastAsia"/>
                <w:sz w:val="21"/>
              </w:rPr>
              <w:t>13</w:t>
            </w:r>
            <w:r>
              <w:rPr>
                <w:rFonts w:hint="eastAsia"/>
                <w:sz w:val="21"/>
              </w:rPr>
              <w:t>日</w:t>
            </w:r>
          </w:p>
        </w:tc>
      </w:tr>
    </w:tbl>
    <w:p w14:paraId="492E64D1" w14:textId="77777777" w:rsidR="00AF5750" w:rsidRDefault="00AF5750" w:rsidP="00AF5750"/>
    <w:p w14:paraId="13DE7534" w14:textId="77777777" w:rsidR="00AF5750" w:rsidRDefault="00AF5750" w:rsidP="00AF5750">
      <w:pPr>
        <w:widowControl/>
        <w:jc w:val="left"/>
      </w:pPr>
      <w:r>
        <w:br w:type="page"/>
      </w:r>
    </w:p>
    <w:p w14:paraId="5843061C" w14:textId="77777777" w:rsidR="00641A38" w:rsidRPr="00134663" w:rsidRDefault="00134663" w:rsidP="00134663">
      <w:pPr>
        <w:spacing w:beforeLines="50" w:before="156" w:line="360" w:lineRule="auto"/>
        <w:rPr>
          <w:b/>
        </w:rPr>
      </w:pPr>
      <w:r w:rsidRPr="00134663">
        <w:rPr>
          <w:rFonts w:hint="eastAsia"/>
          <w:b/>
        </w:rPr>
        <w:lastRenderedPageBreak/>
        <w:t>附件一：</w:t>
      </w:r>
    </w:p>
    <w:p w14:paraId="1E4E3F2F" w14:textId="77777777" w:rsidR="00134663" w:rsidRDefault="00134663" w:rsidP="00134663">
      <w:pPr>
        <w:spacing w:beforeLines="50" w:before="156" w:line="360" w:lineRule="auto"/>
        <w:jc w:val="center"/>
        <w:rPr>
          <w:b/>
        </w:rPr>
      </w:pPr>
      <w:r w:rsidRPr="00134663">
        <w:rPr>
          <w:rFonts w:hint="eastAsia"/>
          <w:b/>
        </w:rPr>
        <w:t>参会机构名单</w:t>
      </w:r>
    </w:p>
    <w:tbl>
      <w:tblPr>
        <w:tblW w:w="5000" w:type="pct"/>
        <w:jc w:val="center"/>
        <w:tblBorders>
          <w:top w:val="single" w:sz="12" w:space="0" w:color="010000"/>
          <w:left w:val="single" w:sz="12" w:space="0" w:color="010000"/>
          <w:bottom w:val="single" w:sz="12" w:space="0" w:color="010000"/>
          <w:right w:val="single" w:sz="12" w:space="0" w:color="010000"/>
          <w:insideH w:val="single" w:sz="4" w:space="0" w:color="010000"/>
          <w:insideV w:val="single" w:sz="4" w:space="0" w:color="010000"/>
        </w:tblBorders>
        <w:tblLook w:val="04A0" w:firstRow="1" w:lastRow="0" w:firstColumn="1" w:lastColumn="0" w:noHBand="0" w:noVBand="1"/>
      </w:tblPr>
      <w:tblGrid>
        <w:gridCol w:w="2498"/>
        <w:gridCol w:w="5778"/>
      </w:tblGrid>
      <w:tr w:rsidR="00134663" w:rsidRPr="00134663" w14:paraId="631153A6" w14:textId="77777777" w:rsidTr="00B208CB">
        <w:trPr>
          <w:cantSplit/>
          <w:trHeight w:val="397"/>
          <w:tblHeader/>
          <w:jc w:val="center"/>
        </w:trPr>
        <w:tc>
          <w:tcPr>
            <w:tcW w:w="1509" w:type="pct"/>
            <w:tcBorders>
              <w:top w:val="single" w:sz="12" w:space="0" w:color="010000"/>
              <w:bottom w:val="single" w:sz="4" w:space="0" w:color="010000"/>
            </w:tcBorders>
            <w:noWrap/>
            <w:vAlign w:val="center"/>
          </w:tcPr>
          <w:p w14:paraId="3ADAADD7" w14:textId="77777777" w:rsidR="00134663" w:rsidRPr="00134663" w:rsidRDefault="00134663" w:rsidP="00134663">
            <w:pPr>
              <w:keepNext/>
              <w:jc w:val="center"/>
              <w:rPr>
                <w:b/>
                <w:color w:val="000000"/>
                <w:sz w:val="21"/>
              </w:rPr>
            </w:pPr>
            <w:r w:rsidRPr="00134663">
              <w:rPr>
                <w:rFonts w:hint="eastAsia"/>
                <w:b/>
                <w:color w:val="000000"/>
                <w:sz w:val="21"/>
              </w:rPr>
              <w:t>序号</w:t>
            </w:r>
          </w:p>
        </w:tc>
        <w:tc>
          <w:tcPr>
            <w:tcW w:w="3491" w:type="pct"/>
            <w:tcBorders>
              <w:top w:val="single" w:sz="12" w:space="0" w:color="010000"/>
              <w:bottom w:val="single" w:sz="4" w:space="0" w:color="010000"/>
            </w:tcBorders>
            <w:noWrap/>
            <w:vAlign w:val="center"/>
          </w:tcPr>
          <w:p w14:paraId="724BDAAF" w14:textId="77777777" w:rsidR="00134663" w:rsidRPr="00134663" w:rsidRDefault="00134663" w:rsidP="00134663">
            <w:pPr>
              <w:keepNext/>
              <w:jc w:val="center"/>
              <w:rPr>
                <w:b/>
                <w:color w:val="000000"/>
                <w:sz w:val="21"/>
              </w:rPr>
            </w:pPr>
            <w:r w:rsidRPr="00134663">
              <w:rPr>
                <w:rFonts w:hint="eastAsia"/>
                <w:b/>
                <w:color w:val="000000"/>
                <w:sz w:val="21"/>
              </w:rPr>
              <w:t>机构简称</w:t>
            </w:r>
          </w:p>
        </w:tc>
      </w:tr>
      <w:tr w:rsidR="00134663" w:rsidRPr="00134663" w14:paraId="53065716" w14:textId="77777777" w:rsidTr="00B208CB">
        <w:trPr>
          <w:cantSplit/>
          <w:trHeight w:val="397"/>
          <w:jc w:val="center"/>
        </w:trPr>
        <w:tc>
          <w:tcPr>
            <w:tcW w:w="1509" w:type="pct"/>
            <w:tcBorders>
              <w:top w:val="single" w:sz="4" w:space="0" w:color="010000"/>
            </w:tcBorders>
            <w:noWrap/>
            <w:vAlign w:val="center"/>
            <w:hideMark/>
          </w:tcPr>
          <w:p w14:paraId="2AC2ECAF" w14:textId="77777777" w:rsidR="00134663" w:rsidRPr="00134663" w:rsidRDefault="00134663" w:rsidP="00134663">
            <w:pPr>
              <w:jc w:val="center"/>
              <w:rPr>
                <w:color w:val="000000"/>
                <w:sz w:val="21"/>
              </w:rPr>
            </w:pPr>
            <w:r w:rsidRPr="00134663">
              <w:rPr>
                <w:color w:val="000000"/>
                <w:sz w:val="21"/>
              </w:rPr>
              <w:t>1</w:t>
            </w:r>
          </w:p>
        </w:tc>
        <w:tc>
          <w:tcPr>
            <w:tcW w:w="3491" w:type="pct"/>
            <w:tcBorders>
              <w:top w:val="single" w:sz="4" w:space="0" w:color="010000"/>
            </w:tcBorders>
            <w:noWrap/>
            <w:vAlign w:val="center"/>
            <w:hideMark/>
          </w:tcPr>
          <w:p w14:paraId="12FEC633" w14:textId="77777777" w:rsidR="00134663" w:rsidRPr="00134663" w:rsidRDefault="00134663" w:rsidP="00134663">
            <w:pPr>
              <w:jc w:val="center"/>
              <w:rPr>
                <w:color w:val="000000"/>
                <w:sz w:val="21"/>
              </w:rPr>
            </w:pPr>
            <w:r w:rsidRPr="00134663">
              <w:rPr>
                <w:color w:val="000000"/>
                <w:sz w:val="21"/>
              </w:rPr>
              <w:t>宝盈基金</w:t>
            </w:r>
          </w:p>
        </w:tc>
      </w:tr>
      <w:tr w:rsidR="00134663" w:rsidRPr="00134663" w14:paraId="0AC7CFDB" w14:textId="77777777" w:rsidTr="00B208CB">
        <w:trPr>
          <w:cantSplit/>
          <w:trHeight w:val="397"/>
          <w:jc w:val="center"/>
        </w:trPr>
        <w:tc>
          <w:tcPr>
            <w:tcW w:w="1509" w:type="pct"/>
            <w:noWrap/>
            <w:vAlign w:val="center"/>
            <w:hideMark/>
          </w:tcPr>
          <w:p w14:paraId="3547C88D" w14:textId="77777777" w:rsidR="00134663" w:rsidRPr="00134663" w:rsidRDefault="00134663" w:rsidP="00134663">
            <w:pPr>
              <w:jc w:val="center"/>
              <w:rPr>
                <w:color w:val="000000"/>
                <w:sz w:val="21"/>
              </w:rPr>
            </w:pPr>
            <w:r w:rsidRPr="00134663">
              <w:rPr>
                <w:color w:val="000000"/>
                <w:sz w:val="21"/>
              </w:rPr>
              <w:t>2</w:t>
            </w:r>
          </w:p>
        </w:tc>
        <w:tc>
          <w:tcPr>
            <w:tcW w:w="3491" w:type="pct"/>
            <w:noWrap/>
            <w:vAlign w:val="center"/>
            <w:hideMark/>
          </w:tcPr>
          <w:p w14:paraId="1DE58FBC" w14:textId="77777777" w:rsidR="00134663" w:rsidRPr="00134663" w:rsidRDefault="00134663" w:rsidP="00134663">
            <w:pPr>
              <w:jc w:val="center"/>
              <w:rPr>
                <w:color w:val="000000"/>
                <w:sz w:val="21"/>
              </w:rPr>
            </w:pPr>
            <w:r w:rsidRPr="00134663">
              <w:rPr>
                <w:color w:val="000000"/>
                <w:sz w:val="21"/>
              </w:rPr>
              <w:t>保银基金</w:t>
            </w:r>
          </w:p>
        </w:tc>
      </w:tr>
      <w:tr w:rsidR="00134663" w:rsidRPr="00134663" w14:paraId="2950D190" w14:textId="77777777" w:rsidTr="00B208CB">
        <w:trPr>
          <w:cantSplit/>
          <w:trHeight w:val="397"/>
          <w:jc w:val="center"/>
        </w:trPr>
        <w:tc>
          <w:tcPr>
            <w:tcW w:w="1509" w:type="pct"/>
            <w:noWrap/>
            <w:vAlign w:val="center"/>
            <w:hideMark/>
          </w:tcPr>
          <w:p w14:paraId="2E7DACA6" w14:textId="77777777" w:rsidR="00134663" w:rsidRPr="00134663" w:rsidRDefault="00134663" w:rsidP="00134663">
            <w:pPr>
              <w:jc w:val="center"/>
              <w:rPr>
                <w:color w:val="000000"/>
                <w:sz w:val="21"/>
              </w:rPr>
            </w:pPr>
            <w:r w:rsidRPr="00134663">
              <w:rPr>
                <w:color w:val="000000"/>
                <w:sz w:val="21"/>
              </w:rPr>
              <w:t>3</w:t>
            </w:r>
          </w:p>
        </w:tc>
        <w:tc>
          <w:tcPr>
            <w:tcW w:w="3491" w:type="pct"/>
            <w:noWrap/>
            <w:vAlign w:val="center"/>
            <w:hideMark/>
          </w:tcPr>
          <w:p w14:paraId="2655169A" w14:textId="77777777" w:rsidR="00134663" w:rsidRPr="00134663" w:rsidRDefault="00134663" w:rsidP="00134663">
            <w:pPr>
              <w:jc w:val="center"/>
              <w:rPr>
                <w:color w:val="000000"/>
                <w:sz w:val="21"/>
              </w:rPr>
            </w:pPr>
            <w:r w:rsidRPr="00134663">
              <w:rPr>
                <w:color w:val="000000"/>
                <w:sz w:val="21"/>
              </w:rPr>
              <w:t>博时基金</w:t>
            </w:r>
          </w:p>
        </w:tc>
      </w:tr>
      <w:tr w:rsidR="00134663" w:rsidRPr="00134663" w14:paraId="1D4C378F" w14:textId="77777777" w:rsidTr="00B208CB">
        <w:trPr>
          <w:cantSplit/>
          <w:trHeight w:val="397"/>
          <w:jc w:val="center"/>
        </w:trPr>
        <w:tc>
          <w:tcPr>
            <w:tcW w:w="1509" w:type="pct"/>
            <w:noWrap/>
            <w:vAlign w:val="center"/>
            <w:hideMark/>
          </w:tcPr>
          <w:p w14:paraId="1C843CF5" w14:textId="77777777" w:rsidR="00134663" w:rsidRPr="00134663" w:rsidRDefault="00134663" w:rsidP="00134663">
            <w:pPr>
              <w:jc w:val="center"/>
              <w:rPr>
                <w:color w:val="000000"/>
                <w:sz w:val="21"/>
              </w:rPr>
            </w:pPr>
            <w:r w:rsidRPr="00134663">
              <w:rPr>
                <w:color w:val="000000"/>
                <w:sz w:val="21"/>
              </w:rPr>
              <w:t>4</w:t>
            </w:r>
          </w:p>
        </w:tc>
        <w:tc>
          <w:tcPr>
            <w:tcW w:w="3491" w:type="pct"/>
            <w:noWrap/>
            <w:vAlign w:val="center"/>
            <w:hideMark/>
          </w:tcPr>
          <w:p w14:paraId="18234CF6" w14:textId="77777777" w:rsidR="00134663" w:rsidRPr="00134663" w:rsidRDefault="00134663" w:rsidP="00134663">
            <w:pPr>
              <w:jc w:val="center"/>
              <w:rPr>
                <w:rFonts w:cs="宋体"/>
                <w:color w:val="000000"/>
                <w:sz w:val="21"/>
              </w:rPr>
            </w:pPr>
            <w:r w:rsidRPr="00134663">
              <w:rPr>
                <w:rFonts w:cs="宋体" w:hint="eastAsia"/>
                <w:color w:val="000000"/>
                <w:sz w:val="21"/>
              </w:rPr>
              <w:t>承周资产</w:t>
            </w:r>
          </w:p>
        </w:tc>
      </w:tr>
      <w:tr w:rsidR="00134663" w:rsidRPr="00134663" w14:paraId="595BA8D0" w14:textId="77777777" w:rsidTr="00B208CB">
        <w:trPr>
          <w:cantSplit/>
          <w:trHeight w:val="397"/>
          <w:jc w:val="center"/>
        </w:trPr>
        <w:tc>
          <w:tcPr>
            <w:tcW w:w="1509" w:type="pct"/>
            <w:noWrap/>
            <w:vAlign w:val="center"/>
            <w:hideMark/>
          </w:tcPr>
          <w:p w14:paraId="0FFC39A6" w14:textId="77777777" w:rsidR="00134663" w:rsidRPr="00134663" w:rsidRDefault="00134663" w:rsidP="00134663">
            <w:pPr>
              <w:jc w:val="center"/>
              <w:rPr>
                <w:color w:val="000000"/>
                <w:sz w:val="21"/>
              </w:rPr>
            </w:pPr>
            <w:r w:rsidRPr="00134663">
              <w:rPr>
                <w:color w:val="000000"/>
                <w:sz w:val="21"/>
              </w:rPr>
              <w:t>5</w:t>
            </w:r>
          </w:p>
        </w:tc>
        <w:tc>
          <w:tcPr>
            <w:tcW w:w="3491" w:type="pct"/>
            <w:noWrap/>
            <w:vAlign w:val="center"/>
            <w:hideMark/>
          </w:tcPr>
          <w:p w14:paraId="5A3C60D5" w14:textId="77777777" w:rsidR="00134663" w:rsidRPr="00134663" w:rsidRDefault="00134663" w:rsidP="00134663">
            <w:pPr>
              <w:jc w:val="center"/>
              <w:rPr>
                <w:color w:val="000000"/>
                <w:sz w:val="21"/>
              </w:rPr>
            </w:pPr>
            <w:r w:rsidRPr="00134663">
              <w:rPr>
                <w:color w:val="000000"/>
                <w:sz w:val="21"/>
              </w:rPr>
              <w:t>德邦基金</w:t>
            </w:r>
          </w:p>
        </w:tc>
      </w:tr>
      <w:tr w:rsidR="00134663" w:rsidRPr="00134663" w14:paraId="19823F6E" w14:textId="77777777" w:rsidTr="00B208CB">
        <w:trPr>
          <w:cantSplit/>
          <w:trHeight w:val="397"/>
          <w:jc w:val="center"/>
        </w:trPr>
        <w:tc>
          <w:tcPr>
            <w:tcW w:w="1509" w:type="pct"/>
            <w:noWrap/>
            <w:vAlign w:val="center"/>
            <w:hideMark/>
          </w:tcPr>
          <w:p w14:paraId="2C6820CF" w14:textId="77777777" w:rsidR="00134663" w:rsidRPr="00134663" w:rsidRDefault="00134663" w:rsidP="00134663">
            <w:pPr>
              <w:jc w:val="center"/>
              <w:rPr>
                <w:color w:val="000000"/>
                <w:sz w:val="21"/>
              </w:rPr>
            </w:pPr>
            <w:r w:rsidRPr="00134663">
              <w:rPr>
                <w:color w:val="000000"/>
                <w:sz w:val="21"/>
              </w:rPr>
              <w:t>6</w:t>
            </w:r>
          </w:p>
        </w:tc>
        <w:tc>
          <w:tcPr>
            <w:tcW w:w="3491" w:type="pct"/>
            <w:noWrap/>
            <w:vAlign w:val="center"/>
            <w:hideMark/>
          </w:tcPr>
          <w:p w14:paraId="31BF7898" w14:textId="77777777" w:rsidR="00134663" w:rsidRPr="00134663" w:rsidRDefault="00134663" w:rsidP="00134663">
            <w:pPr>
              <w:jc w:val="center"/>
              <w:rPr>
                <w:color w:val="000000"/>
                <w:sz w:val="21"/>
              </w:rPr>
            </w:pPr>
            <w:r w:rsidRPr="00134663">
              <w:rPr>
                <w:color w:val="000000"/>
                <w:sz w:val="21"/>
              </w:rPr>
              <w:t>东方财富证券</w:t>
            </w:r>
          </w:p>
        </w:tc>
      </w:tr>
      <w:tr w:rsidR="00134663" w:rsidRPr="00134663" w14:paraId="65FFB220" w14:textId="77777777" w:rsidTr="00B208CB">
        <w:trPr>
          <w:cantSplit/>
          <w:trHeight w:val="397"/>
          <w:jc w:val="center"/>
        </w:trPr>
        <w:tc>
          <w:tcPr>
            <w:tcW w:w="1509" w:type="pct"/>
            <w:noWrap/>
            <w:vAlign w:val="center"/>
            <w:hideMark/>
          </w:tcPr>
          <w:p w14:paraId="34C81B21" w14:textId="77777777" w:rsidR="00134663" w:rsidRPr="00134663" w:rsidRDefault="00134663" w:rsidP="00134663">
            <w:pPr>
              <w:jc w:val="center"/>
              <w:rPr>
                <w:color w:val="000000"/>
                <w:sz w:val="21"/>
              </w:rPr>
            </w:pPr>
            <w:r w:rsidRPr="00134663">
              <w:rPr>
                <w:color w:val="000000"/>
                <w:sz w:val="21"/>
              </w:rPr>
              <w:t>7</w:t>
            </w:r>
          </w:p>
        </w:tc>
        <w:tc>
          <w:tcPr>
            <w:tcW w:w="3491" w:type="pct"/>
            <w:noWrap/>
            <w:vAlign w:val="center"/>
            <w:hideMark/>
          </w:tcPr>
          <w:p w14:paraId="7BC5955B" w14:textId="77777777" w:rsidR="00134663" w:rsidRPr="00134663" w:rsidRDefault="00134663" w:rsidP="00134663">
            <w:pPr>
              <w:jc w:val="center"/>
              <w:rPr>
                <w:color w:val="000000"/>
                <w:sz w:val="21"/>
              </w:rPr>
            </w:pPr>
            <w:r w:rsidRPr="00134663">
              <w:rPr>
                <w:color w:val="000000"/>
                <w:sz w:val="21"/>
              </w:rPr>
              <w:t>东证资管</w:t>
            </w:r>
          </w:p>
        </w:tc>
      </w:tr>
      <w:tr w:rsidR="00134663" w:rsidRPr="00134663" w14:paraId="5CDC01BA" w14:textId="77777777" w:rsidTr="00B208CB">
        <w:trPr>
          <w:cantSplit/>
          <w:trHeight w:val="397"/>
          <w:jc w:val="center"/>
        </w:trPr>
        <w:tc>
          <w:tcPr>
            <w:tcW w:w="1509" w:type="pct"/>
            <w:noWrap/>
            <w:vAlign w:val="center"/>
            <w:hideMark/>
          </w:tcPr>
          <w:p w14:paraId="1D616F63" w14:textId="77777777" w:rsidR="00134663" w:rsidRPr="00134663" w:rsidRDefault="00134663" w:rsidP="00134663">
            <w:pPr>
              <w:jc w:val="center"/>
              <w:rPr>
                <w:color w:val="000000"/>
                <w:sz w:val="21"/>
              </w:rPr>
            </w:pPr>
            <w:r w:rsidRPr="00134663">
              <w:rPr>
                <w:color w:val="000000"/>
                <w:sz w:val="21"/>
              </w:rPr>
              <w:t>8</w:t>
            </w:r>
          </w:p>
        </w:tc>
        <w:tc>
          <w:tcPr>
            <w:tcW w:w="3491" w:type="pct"/>
            <w:noWrap/>
            <w:vAlign w:val="center"/>
            <w:hideMark/>
          </w:tcPr>
          <w:p w14:paraId="3DFAE2CF" w14:textId="77777777" w:rsidR="00134663" w:rsidRPr="00134663" w:rsidRDefault="00134663" w:rsidP="00134663">
            <w:pPr>
              <w:jc w:val="center"/>
              <w:rPr>
                <w:color w:val="000000"/>
                <w:sz w:val="21"/>
              </w:rPr>
            </w:pPr>
            <w:r w:rsidRPr="00134663">
              <w:rPr>
                <w:color w:val="000000"/>
                <w:sz w:val="21"/>
              </w:rPr>
              <w:t>亘曦资产</w:t>
            </w:r>
          </w:p>
        </w:tc>
      </w:tr>
      <w:tr w:rsidR="00134663" w:rsidRPr="00134663" w14:paraId="3ADB4064" w14:textId="77777777" w:rsidTr="00B208CB">
        <w:trPr>
          <w:cantSplit/>
          <w:trHeight w:val="397"/>
          <w:jc w:val="center"/>
        </w:trPr>
        <w:tc>
          <w:tcPr>
            <w:tcW w:w="1509" w:type="pct"/>
            <w:noWrap/>
            <w:vAlign w:val="center"/>
            <w:hideMark/>
          </w:tcPr>
          <w:p w14:paraId="7F3B374D" w14:textId="77777777" w:rsidR="00134663" w:rsidRPr="00134663" w:rsidRDefault="00134663" w:rsidP="00134663">
            <w:pPr>
              <w:jc w:val="center"/>
              <w:rPr>
                <w:color w:val="000000"/>
                <w:sz w:val="21"/>
              </w:rPr>
            </w:pPr>
            <w:r w:rsidRPr="00134663">
              <w:rPr>
                <w:color w:val="000000"/>
                <w:sz w:val="21"/>
              </w:rPr>
              <w:t>9</w:t>
            </w:r>
          </w:p>
        </w:tc>
        <w:tc>
          <w:tcPr>
            <w:tcW w:w="3491" w:type="pct"/>
            <w:noWrap/>
            <w:vAlign w:val="center"/>
            <w:hideMark/>
          </w:tcPr>
          <w:p w14:paraId="1DC5730B" w14:textId="77777777" w:rsidR="00134663" w:rsidRPr="00134663" w:rsidRDefault="00134663" w:rsidP="00134663">
            <w:pPr>
              <w:jc w:val="center"/>
              <w:rPr>
                <w:color w:val="000000"/>
                <w:sz w:val="21"/>
              </w:rPr>
            </w:pPr>
            <w:r w:rsidRPr="00134663">
              <w:rPr>
                <w:color w:val="000000"/>
                <w:sz w:val="21"/>
              </w:rPr>
              <w:t>国金证券</w:t>
            </w:r>
          </w:p>
        </w:tc>
      </w:tr>
      <w:tr w:rsidR="00134663" w:rsidRPr="00134663" w14:paraId="1A8BDC58" w14:textId="77777777" w:rsidTr="00B208CB">
        <w:trPr>
          <w:cantSplit/>
          <w:trHeight w:val="397"/>
          <w:jc w:val="center"/>
        </w:trPr>
        <w:tc>
          <w:tcPr>
            <w:tcW w:w="1509" w:type="pct"/>
            <w:noWrap/>
            <w:vAlign w:val="center"/>
            <w:hideMark/>
          </w:tcPr>
          <w:p w14:paraId="08421C8A" w14:textId="77777777" w:rsidR="00134663" w:rsidRPr="00134663" w:rsidRDefault="00134663" w:rsidP="00134663">
            <w:pPr>
              <w:jc w:val="center"/>
              <w:rPr>
                <w:color w:val="000000"/>
                <w:sz w:val="21"/>
              </w:rPr>
            </w:pPr>
            <w:r w:rsidRPr="00134663">
              <w:rPr>
                <w:color w:val="000000"/>
                <w:sz w:val="21"/>
              </w:rPr>
              <w:t>10</w:t>
            </w:r>
          </w:p>
        </w:tc>
        <w:tc>
          <w:tcPr>
            <w:tcW w:w="3491" w:type="pct"/>
            <w:noWrap/>
            <w:vAlign w:val="center"/>
            <w:hideMark/>
          </w:tcPr>
          <w:p w14:paraId="6B4D964C" w14:textId="77777777" w:rsidR="00134663" w:rsidRPr="00134663" w:rsidRDefault="00134663" w:rsidP="00134663">
            <w:pPr>
              <w:jc w:val="center"/>
              <w:rPr>
                <w:color w:val="000000"/>
                <w:sz w:val="21"/>
              </w:rPr>
            </w:pPr>
            <w:r w:rsidRPr="00134663">
              <w:rPr>
                <w:color w:val="000000"/>
                <w:sz w:val="21"/>
              </w:rPr>
              <w:t>国寿安保</w:t>
            </w:r>
          </w:p>
        </w:tc>
      </w:tr>
      <w:tr w:rsidR="00134663" w:rsidRPr="00134663" w14:paraId="6D8D19A4" w14:textId="77777777" w:rsidTr="00B208CB">
        <w:trPr>
          <w:cantSplit/>
          <w:trHeight w:val="397"/>
          <w:jc w:val="center"/>
        </w:trPr>
        <w:tc>
          <w:tcPr>
            <w:tcW w:w="1509" w:type="pct"/>
            <w:noWrap/>
            <w:vAlign w:val="center"/>
            <w:hideMark/>
          </w:tcPr>
          <w:p w14:paraId="0290E3D4" w14:textId="77777777" w:rsidR="00134663" w:rsidRPr="00134663" w:rsidRDefault="00134663" w:rsidP="00134663">
            <w:pPr>
              <w:jc w:val="center"/>
              <w:rPr>
                <w:color w:val="000000"/>
                <w:sz w:val="21"/>
              </w:rPr>
            </w:pPr>
            <w:r w:rsidRPr="00134663">
              <w:rPr>
                <w:color w:val="000000"/>
                <w:sz w:val="21"/>
              </w:rPr>
              <w:t>11</w:t>
            </w:r>
          </w:p>
        </w:tc>
        <w:tc>
          <w:tcPr>
            <w:tcW w:w="3491" w:type="pct"/>
            <w:noWrap/>
            <w:vAlign w:val="center"/>
            <w:hideMark/>
          </w:tcPr>
          <w:p w14:paraId="0B80F6EA" w14:textId="77777777" w:rsidR="00134663" w:rsidRPr="00134663" w:rsidRDefault="00134663" w:rsidP="00134663">
            <w:pPr>
              <w:jc w:val="center"/>
              <w:rPr>
                <w:color w:val="000000"/>
                <w:sz w:val="21"/>
              </w:rPr>
            </w:pPr>
            <w:r w:rsidRPr="00134663">
              <w:rPr>
                <w:color w:val="000000"/>
                <w:sz w:val="21"/>
              </w:rPr>
              <w:t>和谐汇一</w:t>
            </w:r>
          </w:p>
        </w:tc>
      </w:tr>
      <w:tr w:rsidR="00134663" w:rsidRPr="00134663" w14:paraId="2490CB37" w14:textId="77777777" w:rsidTr="00B208CB">
        <w:trPr>
          <w:cantSplit/>
          <w:trHeight w:val="397"/>
          <w:jc w:val="center"/>
        </w:trPr>
        <w:tc>
          <w:tcPr>
            <w:tcW w:w="1509" w:type="pct"/>
            <w:noWrap/>
            <w:vAlign w:val="center"/>
            <w:hideMark/>
          </w:tcPr>
          <w:p w14:paraId="591DA6F9" w14:textId="77777777" w:rsidR="00134663" w:rsidRPr="00134663" w:rsidRDefault="00134663" w:rsidP="00134663">
            <w:pPr>
              <w:jc w:val="center"/>
              <w:rPr>
                <w:color w:val="000000"/>
                <w:sz w:val="21"/>
              </w:rPr>
            </w:pPr>
            <w:r w:rsidRPr="00134663">
              <w:rPr>
                <w:color w:val="000000"/>
                <w:sz w:val="21"/>
              </w:rPr>
              <w:t>12</w:t>
            </w:r>
          </w:p>
        </w:tc>
        <w:tc>
          <w:tcPr>
            <w:tcW w:w="3491" w:type="pct"/>
            <w:noWrap/>
            <w:vAlign w:val="center"/>
            <w:hideMark/>
          </w:tcPr>
          <w:p w14:paraId="619B797E" w14:textId="77777777" w:rsidR="00134663" w:rsidRPr="00134663" w:rsidRDefault="00134663" w:rsidP="00134663">
            <w:pPr>
              <w:jc w:val="center"/>
              <w:rPr>
                <w:color w:val="000000"/>
                <w:sz w:val="21"/>
              </w:rPr>
            </w:pPr>
            <w:r w:rsidRPr="00134663">
              <w:rPr>
                <w:color w:val="000000"/>
                <w:sz w:val="21"/>
              </w:rPr>
              <w:t>华安证券</w:t>
            </w:r>
          </w:p>
        </w:tc>
      </w:tr>
      <w:tr w:rsidR="00134663" w:rsidRPr="00134663" w14:paraId="17358EA7" w14:textId="77777777" w:rsidTr="00B208CB">
        <w:trPr>
          <w:cantSplit/>
          <w:trHeight w:val="397"/>
          <w:jc w:val="center"/>
        </w:trPr>
        <w:tc>
          <w:tcPr>
            <w:tcW w:w="1509" w:type="pct"/>
            <w:noWrap/>
            <w:vAlign w:val="center"/>
            <w:hideMark/>
          </w:tcPr>
          <w:p w14:paraId="61D0BACB" w14:textId="77777777" w:rsidR="00134663" w:rsidRPr="00134663" w:rsidRDefault="00134663" w:rsidP="00134663">
            <w:pPr>
              <w:jc w:val="center"/>
              <w:rPr>
                <w:color w:val="000000"/>
                <w:sz w:val="21"/>
              </w:rPr>
            </w:pPr>
            <w:r w:rsidRPr="00134663">
              <w:rPr>
                <w:color w:val="000000"/>
                <w:sz w:val="21"/>
              </w:rPr>
              <w:t>13</w:t>
            </w:r>
          </w:p>
        </w:tc>
        <w:tc>
          <w:tcPr>
            <w:tcW w:w="3491" w:type="pct"/>
            <w:noWrap/>
            <w:vAlign w:val="center"/>
            <w:hideMark/>
          </w:tcPr>
          <w:p w14:paraId="1F9AF855" w14:textId="77777777" w:rsidR="00134663" w:rsidRPr="00134663" w:rsidRDefault="00134663" w:rsidP="00134663">
            <w:pPr>
              <w:jc w:val="center"/>
              <w:rPr>
                <w:color w:val="000000"/>
                <w:sz w:val="21"/>
              </w:rPr>
            </w:pPr>
            <w:r w:rsidRPr="00134663">
              <w:rPr>
                <w:color w:val="000000"/>
                <w:sz w:val="21"/>
              </w:rPr>
              <w:t>华福证券</w:t>
            </w:r>
          </w:p>
        </w:tc>
      </w:tr>
      <w:tr w:rsidR="00134663" w:rsidRPr="00134663" w14:paraId="58CB4E7C" w14:textId="77777777" w:rsidTr="00B208CB">
        <w:trPr>
          <w:cantSplit/>
          <w:trHeight w:val="397"/>
          <w:jc w:val="center"/>
        </w:trPr>
        <w:tc>
          <w:tcPr>
            <w:tcW w:w="1509" w:type="pct"/>
            <w:noWrap/>
            <w:vAlign w:val="center"/>
            <w:hideMark/>
          </w:tcPr>
          <w:p w14:paraId="7CAE51DD" w14:textId="77777777" w:rsidR="00134663" w:rsidRPr="00134663" w:rsidRDefault="00134663" w:rsidP="00134663">
            <w:pPr>
              <w:jc w:val="center"/>
              <w:rPr>
                <w:color w:val="000000"/>
                <w:sz w:val="21"/>
              </w:rPr>
            </w:pPr>
            <w:r w:rsidRPr="00134663">
              <w:rPr>
                <w:color w:val="000000"/>
                <w:sz w:val="21"/>
              </w:rPr>
              <w:t>14</w:t>
            </w:r>
          </w:p>
        </w:tc>
        <w:tc>
          <w:tcPr>
            <w:tcW w:w="3491" w:type="pct"/>
            <w:noWrap/>
            <w:vAlign w:val="center"/>
            <w:hideMark/>
          </w:tcPr>
          <w:p w14:paraId="46878A24" w14:textId="77777777" w:rsidR="00134663" w:rsidRPr="00134663" w:rsidRDefault="00134663" w:rsidP="00134663">
            <w:pPr>
              <w:jc w:val="center"/>
              <w:rPr>
                <w:color w:val="000000"/>
                <w:sz w:val="21"/>
              </w:rPr>
            </w:pPr>
            <w:r w:rsidRPr="00134663">
              <w:rPr>
                <w:color w:val="000000"/>
                <w:sz w:val="21"/>
              </w:rPr>
              <w:t>华泰证券</w:t>
            </w:r>
          </w:p>
        </w:tc>
      </w:tr>
      <w:tr w:rsidR="00134663" w:rsidRPr="00134663" w14:paraId="3039A650" w14:textId="77777777" w:rsidTr="00B208CB">
        <w:trPr>
          <w:cantSplit/>
          <w:trHeight w:val="397"/>
          <w:jc w:val="center"/>
        </w:trPr>
        <w:tc>
          <w:tcPr>
            <w:tcW w:w="1509" w:type="pct"/>
            <w:noWrap/>
            <w:vAlign w:val="center"/>
            <w:hideMark/>
          </w:tcPr>
          <w:p w14:paraId="0A8EC8DC" w14:textId="77777777" w:rsidR="00134663" w:rsidRPr="00134663" w:rsidRDefault="00134663" w:rsidP="00134663">
            <w:pPr>
              <w:jc w:val="center"/>
              <w:rPr>
                <w:color w:val="000000"/>
                <w:sz w:val="21"/>
              </w:rPr>
            </w:pPr>
            <w:r w:rsidRPr="00134663">
              <w:rPr>
                <w:color w:val="000000"/>
                <w:sz w:val="21"/>
              </w:rPr>
              <w:t>15</w:t>
            </w:r>
          </w:p>
        </w:tc>
        <w:tc>
          <w:tcPr>
            <w:tcW w:w="3491" w:type="pct"/>
            <w:noWrap/>
            <w:vAlign w:val="center"/>
            <w:hideMark/>
          </w:tcPr>
          <w:p w14:paraId="22BC6349" w14:textId="77777777" w:rsidR="00134663" w:rsidRPr="00134663" w:rsidRDefault="00134663" w:rsidP="00134663">
            <w:pPr>
              <w:jc w:val="center"/>
              <w:rPr>
                <w:color w:val="000000"/>
                <w:sz w:val="21"/>
              </w:rPr>
            </w:pPr>
            <w:r w:rsidRPr="00134663">
              <w:rPr>
                <w:color w:val="000000"/>
                <w:sz w:val="21"/>
              </w:rPr>
              <w:t>华泰资管</w:t>
            </w:r>
          </w:p>
        </w:tc>
      </w:tr>
      <w:tr w:rsidR="00134663" w:rsidRPr="00134663" w14:paraId="6E94C932" w14:textId="77777777" w:rsidTr="00B208CB">
        <w:trPr>
          <w:cantSplit/>
          <w:trHeight w:val="397"/>
          <w:jc w:val="center"/>
        </w:trPr>
        <w:tc>
          <w:tcPr>
            <w:tcW w:w="1509" w:type="pct"/>
            <w:noWrap/>
            <w:vAlign w:val="center"/>
            <w:hideMark/>
          </w:tcPr>
          <w:p w14:paraId="2EAE06C8" w14:textId="77777777" w:rsidR="00134663" w:rsidRPr="00134663" w:rsidRDefault="00134663" w:rsidP="00134663">
            <w:pPr>
              <w:jc w:val="center"/>
              <w:rPr>
                <w:color w:val="000000"/>
                <w:sz w:val="21"/>
              </w:rPr>
            </w:pPr>
            <w:r w:rsidRPr="00134663">
              <w:rPr>
                <w:color w:val="000000"/>
                <w:sz w:val="21"/>
              </w:rPr>
              <w:t>16</w:t>
            </w:r>
          </w:p>
        </w:tc>
        <w:tc>
          <w:tcPr>
            <w:tcW w:w="3491" w:type="pct"/>
            <w:noWrap/>
            <w:vAlign w:val="center"/>
            <w:hideMark/>
          </w:tcPr>
          <w:p w14:paraId="6546F794" w14:textId="77777777" w:rsidR="00134663" w:rsidRPr="00134663" w:rsidRDefault="00134663" w:rsidP="00134663">
            <w:pPr>
              <w:jc w:val="center"/>
              <w:rPr>
                <w:color w:val="000000"/>
                <w:sz w:val="21"/>
              </w:rPr>
            </w:pPr>
            <w:r w:rsidRPr="00134663">
              <w:rPr>
                <w:color w:val="000000"/>
                <w:sz w:val="21"/>
              </w:rPr>
              <w:t>开源证券</w:t>
            </w:r>
          </w:p>
        </w:tc>
      </w:tr>
      <w:tr w:rsidR="00134663" w:rsidRPr="00134663" w14:paraId="03207237" w14:textId="77777777" w:rsidTr="00B208CB">
        <w:trPr>
          <w:cantSplit/>
          <w:trHeight w:val="397"/>
          <w:jc w:val="center"/>
        </w:trPr>
        <w:tc>
          <w:tcPr>
            <w:tcW w:w="1509" w:type="pct"/>
            <w:noWrap/>
            <w:vAlign w:val="center"/>
            <w:hideMark/>
          </w:tcPr>
          <w:p w14:paraId="5CF77A99" w14:textId="77777777" w:rsidR="00134663" w:rsidRPr="00134663" w:rsidRDefault="00134663" w:rsidP="00134663">
            <w:pPr>
              <w:jc w:val="center"/>
              <w:rPr>
                <w:color w:val="000000"/>
                <w:sz w:val="21"/>
              </w:rPr>
            </w:pPr>
            <w:r w:rsidRPr="00134663">
              <w:rPr>
                <w:color w:val="000000"/>
                <w:sz w:val="21"/>
              </w:rPr>
              <w:t>17</w:t>
            </w:r>
          </w:p>
        </w:tc>
        <w:tc>
          <w:tcPr>
            <w:tcW w:w="3491" w:type="pct"/>
            <w:noWrap/>
            <w:vAlign w:val="center"/>
            <w:hideMark/>
          </w:tcPr>
          <w:p w14:paraId="1D272E1B" w14:textId="77777777" w:rsidR="00134663" w:rsidRPr="00134663" w:rsidRDefault="00134663" w:rsidP="00134663">
            <w:pPr>
              <w:jc w:val="center"/>
              <w:rPr>
                <w:color w:val="000000"/>
                <w:sz w:val="21"/>
              </w:rPr>
            </w:pPr>
            <w:r w:rsidRPr="00134663">
              <w:rPr>
                <w:color w:val="000000"/>
                <w:sz w:val="21"/>
              </w:rPr>
              <w:t>浦银安盛</w:t>
            </w:r>
          </w:p>
        </w:tc>
      </w:tr>
      <w:tr w:rsidR="00134663" w:rsidRPr="00134663" w14:paraId="5162CCB7" w14:textId="77777777" w:rsidTr="00B208CB">
        <w:trPr>
          <w:cantSplit/>
          <w:trHeight w:val="397"/>
          <w:jc w:val="center"/>
        </w:trPr>
        <w:tc>
          <w:tcPr>
            <w:tcW w:w="1509" w:type="pct"/>
            <w:noWrap/>
            <w:vAlign w:val="center"/>
            <w:hideMark/>
          </w:tcPr>
          <w:p w14:paraId="0ECA687F" w14:textId="77777777" w:rsidR="00134663" w:rsidRPr="00134663" w:rsidRDefault="00134663" w:rsidP="00134663">
            <w:pPr>
              <w:jc w:val="center"/>
              <w:rPr>
                <w:color w:val="000000"/>
                <w:sz w:val="21"/>
              </w:rPr>
            </w:pPr>
            <w:r w:rsidRPr="00134663">
              <w:rPr>
                <w:color w:val="000000"/>
                <w:sz w:val="21"/>
              </w:rPr>
              <w:t>18</w:t>
            </w:r>
          </w:p>
        </w:tc>
        <w:tc>
          <w:tcPr>
            <w:tcW w:w="3491" w:type="pct"/>
            <w:noWrap/>
            <w:vAlign w:val="center"/>
            <w:hideMark/>
          </w:tcPr>
          <w:p w14:paraId="061792AE" w14:textId="77777777" w:rsidR="00134663" w:rsidRPr="00134663" w:rsidRDefault="00134663" w:rsidP="00134663">
            <w:pPr>
              <w:jc w:val="center"/>
              <w:rPr>
                <w:color w:val="000000"/>
                <w:sz w:val="21"/>
              </w:rPr>
            </w:pPr>
            <w:r w:rsidRPr="00134663">
              <w:rPr>
                <w:color w:val="000000"/>
                <w:sz w:val="21"/>
              </w:rPr>
              <w:t>泉果基金</w:t>
            </w:r>
          </w:p>
        </w:tc>
      </w:tr>
      <w:tr w:rsidR="00134663" w:rsidRPr="00134663" w14:paraId="3268344B" w14:textId="77777777" w:rsidTr="00B208CB">
        <w:trPr>
          <w:cantSplit/>
          <w:trHeight w:val="397"/>
          <w:jc w:val="center"/>
        </w:trPr>
        <w:tc>
          <w:tcPr>
            <w:tcW w:w="1509" w:type="pct"/>
            <w:noWrap/>
            <w:vAlign w:val="center"/>
            <w:hideMark/>
          </w:tcPr>
          <w:p w14:paraId="56546876" w14:textId="77777777" w:rsidR="00134663" w:rsidRPr="00134663" w:rsidRDefault="00134663" w:rsidP="00134663">
            <w:pPr>
              <w:jc w:val="center"/>
              <w:rPr>
                <w:color w:val="000000"/>
                <w:sz w:val="21"/>
              </w:rPr>
            </w:pPr>
            <w:r w:rsidRPr="00134663">
              <w:rPr>
                <w:color w:val="000000"/>
                <w:sz w:val="21"/>
              </w:rPr>
              <w:t>19</w:t>
            </w:r>
          </w:p>
        </w:tc>
        <w:tc>
          <w:tcPr>
            <w:tcW w:w="3491" w:type="pct"/>
            <w:noWrap/>
            <w:vAlign w:val="center"/>
            <w:hideMark/>
          </w:tcPr>
          <w:p w14:paraId="7F386ADA" w14:textId="77777777" w:rsidR="00134663" w:rsidRPr="00134663" w:rsidRDefault="00134663" w:rsidP="00134663">
            <w:pPr>
              <w:jc w:val="center"/>
              <w:rPr>
                <w:color w:val="000000"/>
                <w:sz w:val="21"/>
              </w:rPr>
            </w:pPr>
            <w:r w:rsidRPr="00134663">
              <w:rPr>
                <w:color w:val="000000"/>
                <w:sz w:val="21"/>
              </w:rPr>
              <w:t>山西证券</w:t>
            </w:r>
          </w:p>
        </w:tc>
      </w:tr>
      <w:tr w:rsidR="00134663" w:rsidRPr="00134663" w14:paraId="06730B24" w14:textId="77777777" w:rsidTr="00B208CB">
        <w:trPr>
          <w:cantSplit/>
          <w:trHeight w:val="397"/>
          <w:jc w:val="center"/>
        </w:trPr>
        <w:tc>
          <w:tcPr>
            <w:tcW w:w="1509" w:type="pct"/>
            <w:noWrap/>
            <w:vAlign w:val="center"/>
            <w:hideMark/>
          </w:tcPr>
          <w:p w14:paraId="62AAE7E7" w14:textId="77777777" w:rsidR="00134663" w:rsidRPr="00134663" w:rsidRDefault="00134663" w:rsidP="00134663">
            <w:pPr>
              <w:jc w:val="center"/>
              <w:rPr>
                <w:color w:val="000000"/>
                <w:sz w:val="21"/>
              </w:rPr>
            </w:pPr>
            <w:r w:rsidRPr="00134663">
              <w:rPr>
                <w:color w:val="000000"/>
                <w:sz w:val="21"/>
              </w:rPr>
              <w:t>20</w:t>
            </w:r>
          </w:p>
        </w:tc>
        <w:tc>
          <w:tcPr>
            <w:tcW w:w="3491" w:type="pct"/>
            <w:noWrap/>
            <w:vAlign w:val="center"/>
            <w:hideMark/>
          </w:tcPr>
          <w:p w14:paraId="518F6DC5" w14:textId="77777777" w:rsidR="00134663" w:rsidRPr="00134663" w:rsidRDefault="00134663" w:rsidP="00134663">
            <w:pPr>
              <w:jc w:val="center"/>
              <w:rPr>
                <w:color w:val="000000"/>
                <w:sz w:val="21"/>
              </w:rPr>
            </w:pPr>
            <w:r w:rsidRPr="00134663">
              <w:rPr>
                <w:color w:val="000000"/>
                <w:sz w:val="21"/>
              </w:rPr>
              <w:t>申万宏源</w:t>
            </w:r>
          </w:p>
        </w:tc>
      </w:tr>
      <w:tr w:rsidR="00B208CB" w:rsidRPr="00134663" w14:paraId="1EBBA853" w14:textId="77777777" w:rsidTr="00B208CB">
        <w:trPr>
          <w:cantSplit/>
          <w:trHeight w:val="397"/>
          <w:jc w:val="center"/>
        </w:trPr>
        <w:tc>
          <w:tcPr>
            <w:tcW w:w="1509" w:type="pct"/>
            <w:noWrap/>
            <w:vAlign w:val="center"/>
            <w:hideMark/>
          </w:tcPr>
          <w:p w14:paraId="067F1F20" w14:textId="77777777" w:rsidR="00B208CB" w:rsidRPr="00134663" w:rsidRDefault="00B208CB" w:rsidP="00134663">
            <w:pPr>
              <w:jc w:val="center"/>
              <w:rPr>
                <w:color w:val="000000"/>
                <w:sz w:val="21"/>
              </w:rPr>
            </w:pPr>
            <w:r w:rsidRPr="00134663">
              <w:rPr>
                <w:color w:val="000000"/>
                <w:sz w:val="21"/>
              </w:rPr>
              <w:t>21</w:t>
            </w:r>
          </w:p>
        </w:tc>
        <w:tc>
          <w:tcPr>
            <w:tcW w:w="3491" w:type="pct"/>
            <w:noWrap/>
            <w:vAlign w:val="center"/>
            <w:hideMark/>
          </w:tcPr>
          <w:p w14:paraId="55D9C732" w14:textId="2BDC2B60" w:rsidR="00B208CB" w:rsidRPr="00134663" w:rsidRDefault="00B208CB" w:rsidP="00134663">
            <w:pPr>
              <w:jc w:val="center"/>
              <w:rPr>
                <w:color w:val="000000"/>
                <w:sz w:val="21"/>
              </w:rPr>
            </w:pPr>
            <w:r w:rsidRPr="00134663">
              <w:rPr>
                <w:color w:val="000000"/>
                <w:sz w:val="21"/>
              </w:rPr>
              <w:t>申万菱信</w:t>
            </w:r>
          </w:p>
        </w:tc>
      </w:tr>
      <w:tr w:rsidR="00B208CB" w:rsidRPr="00134663" w14:paraId="572D7104" w14:textId="77777777" w:rsidTr="00B208CB">
        <w:trPr>
          <w:cantSplit/>
          <w:trHeight w:val="397"/>
          <w:jc w:val="center"/>
        </w:trPr>
        <w:tc>
          <w:tcPr>
            <w:tcW w:w="1509" w:type="pct"/>
            <w:noWrap/>
            <w:vAlign w:val="center"/>
            <w:hideMark/>
          </w:tcPr>
          <w:p w14:paraId="203545DB" w14:textId="77777777" w:rsidR="00B208CB" w:rsidRPr="00134663" w:rsidRDefault="00B208CB" w:rsidP="00134663">
            <w:pPr>
              <w:jc w:val="center"/>
              <w:rPr>
                <w:color w:val="000000"/>
                <w:sz w:val="21"/>
              </w:rPr>
            </w:pPr>
            <w:r w:rsidRPr="00134663">
              <w:rPr>
                <w:color w:val="000000"/>
                <w:sz w:val="21"/>
              </w:rPr>
              <w:t>22</w:t>
            </w:r>
          </w:p>
        </w:tc>
        <w:tc>
          <w:tcPr>
            <w:tcW w:w="3491" w:type="pct"/>
            <w:noWrap/>
            <w:vAlign w:val="center"/>
            <w:hideMark/>
          </w:tcPr>
          <w:p w14:paraId="36C5A3E6" w14:textId="0DD44134" w:rsidR="00B208CB" w:rsidRPr="00134663" w:rsidRDefault="00B208CB" w:rsidP="00134663">
            <w:pPr>
              <w:jc w:val="center"/>
              <w:rPr>
                <w:color w:val="000000"/>
                <w:sz w:val="21"/>
              </w:rPr>
            </w:pPr>
            <w:r w:rsidRPr="00134663">
              <w:rPr>
                <w:color w:val="000000"/>
                <w:sz w:val="21"/>
              </w:rPr>
              <w:t>泰康基金</w:t>
            </w:r>
          </w:p>
        </w:tc>
      </w:tr>
      <w:tr w:rsidR="00B208CB" w:rsidRPr="00134663" w14:paraId="3EDD0E4F" w14:textId="77777777" w:rsidTr="00B208CB">
        <w:trPr>
          <w:cantSplit/>
          <w:trHeight w:val="397"/>
          <w:jc w:val="center"/>
        </w:trPr>
        <w:tc>
          <w:tcPr>
            <w:tcW w:w="1509" w:type="pct"/>
            <w:noWrap/>
            <w:vAlign w:val="center"/>
            <w:hideMark/>
          </w:tcPr>
          <w:p w14:paraId="055584B8" w14:textId="77777777" w:rsidR="00B208CB" w:rsidRPr="00134663" w:rsidRDefault="00B208CB" w:rsidP="00134663">
            <w:pPr>
              <w:jc w:val="center"/>
              <w:rPr>
                <w:color w:val="000000"/>
                <w:sz w:val="21"/>
              </w:rPr>
            </w:pPr>
            <w:r w:rsidRPr="00134663">
              <w:rPr>
                <w:color w:val="000000"/>
                <w:sz w:val="21"/>
              </w:rPr>
              <w:t>23</w:t>
            </w:r>
          </w:p>
        </w:tc>
        <w:tc>
          <w:tcPr>
            <w:tcW w:w="3491" w:type="pct"/>
            <w:noWrap/>
            <w:vAlign w:val="center"/>
            <w:hideMark/>
          </w:tcPr>
          <w:p w14:paraId="3CD1274A" w14:textId="08D0EEC0" w:rsidR="00B208CB" w:rsidRPr="00134663" w:rsidRDefault="00B208CB" w:rsidP="00134663">
            <w:pPr>
              <w:jc w:val="center"/>
              <w:rPr>
                <w:color w:val="000000"/>
                <w:sz w:val="21"/>
              </w:rPr>
            </w:pPr>
            <w:r w:rsidRPr="00134663">
              <w:rPr>
                <w:color w:val="000000"/>
                <w:sz w:val="21"/>
              </w:rPr>
              <w:t>西部证券</w:t>
            </w:r>
          </w:p>
        </w:tc>
      </w:tr>
      <w:tr w:rsidR="00B208CB" w:rsidRPr="00134663" w14:paraId="054639EC" w14:textId="77777777" w:rsidTr="00B208CB">
        <w:trPr>
          <w:cantSplit/>
          <w:trHeight w:val="397"/>
          <w:jc w:val="center"/>
        </w:trPr>
        <w:tc>
          <w:tcPr>
            <w:tcW w:w="1509" w:type="pct"/>
            <w:noWrap/>
            <w:vAlign w:val="center"/>
            <w:hideMark/>
          </w:tcPr>
          <w:p w14:paraId="417AD107" w14:textId="77777777" w:rsidR="00B208CB" w:rsidRPr="00134663" w:rsidRDefault="00B208CB" w:rsidP="00134663">
            <w:pPr>
              <w:jc w:val="center"/>
              <w:rPr>
                <w:color w:val="000000"/>
                <w:sz w:val="21"/>
              </w:rPr>
            </w:pPr>
            <w:r w:rsidRPr="00134663">
              <w:rPr>
                <w:color w:val="000000"/>
                <w:sz w:val="21"/>
              </w:rPr>
              <w:t>24</w:t>
            </w:r>
          </w:p>
        </w:tc>
        <w:tc>
          <w:tcPr>
            <w:tcW w:w="3491" w:type="pct"/>
            <w:noWrap/>
            <w:vAlign w:val="center"/>
            <w:hideMark/>
          </w:tcPr>
          <w:p w14:paraId="1FB1DBB4" w14:textId="5E113EEC" w:rsidR="00B208CB" w:rsidRPr="00134663" w:rsidRDefault="00B208CB" w:rsidP="00134663">
            <w:pPr>
              <w:jc w:val="center"/>
              <w:rPr>
                <w:color w:val="000000"/>
                <w:sz w:val="21"/>
              </w:rPr>
            </w:pPr>
            <w:r w:rsidRPr="00134663">
              <w:rPr>
                <w:color w:val="000000"/>
                <w:sz w:val="21"/>
              </w:rPr>
              <w:t>兴业证券</w:t>
            </w:r>
          </w:p>
        </w:tc>
      </w:tr>
      <w:tr w:rsidR="00B208CB" w:rsidRPr="00134663" w14:paraId="398BB1BD" w14:textId="77777777" w:rsidTr="00B208CB">
        <w:trPr>
          <w:cantSplit/>
          <w:trHeight w:val="397"/>
          <w:jc w:val="center"/>
        </w:trPr>
        <w:tc>
          <w:tcPr>
            <w:tcW w:w="1509" w:type="pct"/>
            <w:noWrap/>
            <w:vAlign w:val="center"/>
            <w:hideMark/>
          </w:tcPr>
          <w:p w14:paraId="7228C8AE" w14:textId="77777777" w:rsidR="00B208CB" w:rsidRPr="00134663" w:rsidRDefault="00B208CB" w:rsidP="00134663">
            <w:pPr>
              <w:jc w:val="center"/>
              <w:rPr>
                <w:color w:val="000000"/>
                <w:sz w:val="21"/>
              </w:rPr>
            </w:pPr>
            <w:r w:rsidRPr="00134663">
              <w:rPr>
                <w:color w:val="000000"/>
                <w:sz w:val="21"/>
              </w:rPr>
              <w:t>25</w:t>
            </w:r>
          </w:p>
        </w:tc>
        <w:tc>
          <w:tcPr>
            <w:tcW w:w="3491" w:type="pct"/>
            <w:noWrap/>
            <w:vAlign w:val="center"/>
            <w:hideMark/>
          </w:tcPr>
          <w:p w14:paraId="21A7B306" w14:textId="7FA9F955" w:rsidR="00B208CB" w:rsidRPr="00134663" w:rsidRDefault="00B208CB" w:rsidP="00134663">
            <w:pPr>
              <w:jc w:val="center"/>
              <w:rPr>
                <w:color w:val="000000"/>
                <w:sz w:val="21"/>
              </w:rPr>
            </w:pPr>
            <w:r w:rsidRPr="00134663">
              <w:rPr>
                <w:color w:val="000000"/>
                <w:sz w:val="21"/>
              </w:rPr>
              <w:t>永赢基金</w:t>
            </w:r>
          </w:p>
        </w:tc>
      </w:tr>
      <w:tr w:rsidR="00B208CB" w:rsidRPr="00134663" w14:paraId="45DA0D1D" w14:textId="77777777" w:rsidTr="00B208CB">
        <w:trPr>
          <w:cantSplit/>
          <w:trHeight w:val="397"/>
          <w:jc w:val="center"/>
        </w:trPr>
        <w:tc>
          <w:tcPr>
            <w:tcW w:w="1509" w:type="pct"/>
            <w:noWrap/>
            <w:vAlign w:val="center"/>
            <w:hideMark/>
          </w:tcPr>
          <w:p w14:paraId="3F2E8138" w14:textId="77777777" w:rsidR="00B208CB" w:rsidRPr="00134663" w:rsidRDefault="00B208CB" w:rsidP="00134663">
            <w:pPr>
              <w:jc w:val="center"/>
              <w:rPr>
                <w:color w:val="000000"/>
                <w:sz w:val="21"/>
              </w:rPr>
            </w:pPr>
            <w:r w:rsidRPr="00134663">
              <w:rPr>
                <w:color w:val="000000"/>
                <w:sz w:val="21"/>
              </w:rPr>
              <w:t>26</w:t>
            </w:r>
          </w:p>
        </w:tc>
        <w:tc>
          <w:tcPr>
            <w:tcW w:w="3491" w:type="pct"/>
            <w:noWrap/>
            <w:vAlign w:val="center"/>
            <w:hideMark/>
          </w:tcPr>
          <w:p w14:paraId="762007D9" w14:textId="469E7758" w:rsidR="00B208CB" w:rsidRPr="00134663" w:rsidRDefault="00B208CB" w:rsidP="00134663">
            <w:pPr>
              <w:jc w:val="center"/>
              <w:rPr>
                <w:color w:val="000000"/>
                <w:sz w:val="21"/>
              </w:rPr>
            </w:pPr>
            <w:r w:rsidRPr="00134663">
              <w:rPr>
                <w:color w:val="000000"/>
                <w:sz w:val="21"/>
              </w:rPr>
              <w:t>招商证券</w:t>
            </w:r>
          </w:p>
        </w:tc>
      </w:tr>
      <w:tr w:rsidR="00B208CB" w:rsidRPr="00134663" w14:paraId="32C15BDF" w14:textId="77777777" w:rsidTr="00B208CB">
        <w:trPr>
          <w:cantSplit/>
          <w:trHeight w:val="397"/>
          <w:jc w:val="center"/>
        </w:trPr>
        <w:tc>
          <w:tcPr>
            <w:tcW w:w="1509" w:type="pct"/>
            <w:noWrap/>
            <w:vAlign w:val="center"/>
            <w:hideMark/>
          </w:tcPr>
          <w:p w14:paraId="5935DFFC" w14:textId="77777777" w:rsidR="00B208CB" w:rsidRPr="00134663" w:rsidRDefault="00B208CB" w:rsidP="00134663">
            <w:pPr>
              <w:jc w:val="center"/>
              <w:rPr>
                <w:color w:val="000000"/>
                <w:sz w:val="21"/>
              </w:rPr>
            </w:pPr>
            <w:r w:rsidRPr="00134663">
              <w:rPr>
                <w:color w:val="000000"/>
                <w:sz w:val="21"/>
              </w:rPr>
              <w:t>27</w:t>
            </w:r>
          </w:p>
        </w:tc>
        <w:tc>
          <w:tcPr>
            <w:tcW w:w="3491" w:type="pct"/>
            <w:noWrap/>
            <w:vAlign w:val="center"/>
            <w:hideMark/>
          </w:tcPr>
          <w:p w14:paraId="02DEA735" w14:textId="089CBDA1" w:rsidR="00B208CB" w:rsidRPr="00134663" w:rsidRDefault="00B208CB" w:rsidP="00134663">
            <w:pPr>
              <w:jc w:val="center"/>
              <w:rPr>
                <w:color w:val="000000"/>
                <w:sz w:val="21"/>
              </w:rPr>
            </w:pPr>
            <w:r w:rsidRPr="00134663">
              <w:rPr>
                <w:color w:val="000000"/>
                <w:sz w:val="21"/>
              </w:rPr>
              <w:t>浙商证券</w:t>
            </w:r>
          </w:p>
        </w:tc>
      </w:tr>
      <w:tr w:rsidR="00B208CB" w:rsidRPr="00134663" w14:paraId="6F1C1B65" w14:textId="77777777" w:rsidTr="00B208CB">
        <w:trPr>
          <w:cantSplit/>
          <w:trHeight w:val="397"/>
          <w:jc w:val="center"/>
        </w:trPr>
        <w:tc>
          <w:tcPr>
            <w:tcW w:w="1509" w:type="pct"/>
            <w:noWrap/>
            <w:vAlign w:val="center"/>
            <w:hideMark/>
          </w:tcPr>
          <w:p w14:paraId="3EEE35A8" w14:textId="77777777" w:rsidR="00B208CB" w:rsidRPr="00134663" w:rsidRDefault="00B208CB" w:rsidP="00134663">
            <w:pPr>
              <w:jc w:val="center"/>
              <w:rPr>
                <w:color w:val="000000"/>
                <w:sz w:val="21"/>
              </w:rPr>
            </w:pPr>
            <w:r w:rsidRPr="00134663">
              <w:rPr>
                <w:color w:val="000000"/>
                <w:sz w:val="21"/>
              </w:rPr>
              <w:t>28</w:t>
            </w:r>
          </w:p>
        </w:tc>
        <w:tc>
          <w:tcPr>
            <w:tcW w:w="3491" w:type="pct"/>
            <w:noWrap/>
            <w:vAlign w:val="center"/>
            <w:hideMark/>
          </w:tcPr>
          <w:p w14:paraId="538D4EFD" w14:textId="69FCDE3D" w:rsidR="00B208CB" w:rsidRPr="00134663" w:rsidRDefault="00B208CB" w:rsidP="00134663">
            <w:pPr>
              <w:jc w:val="center"/>
              <w:rPr>
                <w:color w:val="000000"/>
                <w:sz w:val="21"/>
              </w:rPr>
            </w:pPr>
            <w:r w:rsidRPr="00134663">
              <w:rPr>
                <w:color w:val="000000"/>
                <w:sz w:val="21"/>
              </w:rPr>
              <w:t>中金公司</w:t>
            </w:r>
          </w:p>
        </w:tc>
      </w:tr>
      <w:tr w:rsidR="00B208CB" w:rsidRPr="00134663" w14:paraId="77A6A0CF" w14:textId="77777777" w:rsidTr="00B208CB">
        <w:trPr>
          <w:cantSplit/>
          <w:trHeight w:val="397"/>
          <w:jc w:val="center"/>
        </w:trPr>
        <w:tc>
          <w:tcPr>
            <w:tcW w:w="1509" w:type="pct"/>
            <w:noWrap/>
            <w:vAlign w:val="center"/>
            <w:hideMark/>
          </w:tcPr>
          <w:p w14:paraId="2453E994" w14:textId="77777777" w:rsidR="00B208CB" w:rsidRPr="00134663" w:rsidRDefault="00B208CB" w:rsidP="00134663">
            <w:pPr>
              <w:jc w:val="center"/>
              <w:rPr>
                <w:color w:val="000000"/>
                <w:sz w:val="21"/>
              </w:rPr>
            </w:pPr>
            <w:r w:rsidRPr="00134663">
              <w:rPr>
                <w:color w:val="000000"/>
                <w:sz w:val="21"/>
              </w:rPr>
              <w:t>29</w:t>
            </w:r>
          </w:p>
        </w:tc>
        <w:tc>
          <w:tcPr>
            <w:tcW w:w="3491" w:type="pct"/>
            <w:noWrap/>
            <w:vAlign w:val="center"/>
            <w:hideMark/>
          </w:tcPr>
          <w:p w14:paraId="42349E38" w14:textId="449AD598" w:rsidR="00B208CB" w:rsidRPr="00134663" w:rsidRDefault="00B208CB" w:rsidP="00134663">
            <w:pPr>
              <w:jc w:val="center"/>
              <w:rPr>
                <w:color w:val="000000"/>
                <w:sz w:val="21"/>
              </w:rPr>
            </w:pPr>
            <w:r w:rsidRPr="00134663">
              <w:rPr>
                <w:color w:val="000000"/>
                <w:sz w:val="21"/>
              </w:rPr>
              <w:t>中信建投证券</w:t>
            </w:r>
          </w:p>
        </w:tc>
      </w:tr>
      <w:tr w:rsidR="00B208CB" w:rsidRPr="00134663" w14:paraId="4F08EF44" w14:textId="77777777" w:rsidTr="00B208CB">
        <w:trPr>
          <w:cantSplit/>
          <w:trHeight w:val="397"/>
          <w:jc w:val="center"/>
        </w:trPr>
        <w:tc>
          <w:tcPr>
            <w:tcW w:w="1509" w:type="pct"/>
            <w:noWrap/>
            <w:vAlign w:val="center"/>
            <w:hideMark/>
          </w:tcPr>
          <w:p w14:paraId="4E741691" w14:textId="77777777" w:rsidR="00B208CB" w:rsidRPr="00134663" w:rsidRDefault="00B208CB" w:rsidP="00134663">
            <w:pPr>
              <w:jc w:val="center"/>
              <w:rPr>
                <w:color w:val="000000"/>
                <w:sz w:val="21"/>
              </w:rPr>
            </w:pPr>
            <w:r w:rsidRPr="00134663">
              <w:rPr>
                <w:color w:val="000000"/>
                <w:sz w:val="21"/>
              </w:rPr>
              <w:t>30</w:t>
            </w:r>
          </w:p>
        </w:tc>
        <w:tc>
          <w:tcPr>
            <w:tcW w:w="3491" w:type="pct"/>
            <w:noWrap/>
            <w:vAlign w:val="center"/>
            <w:hideMark/>
          </w:tcPr>
          <w:p w14:paraId="56928BC5" w14:textId="58992C8B" w:rsidR="00B208CB" w:rsidRPr="00134663" w:rsidRDefault="00B208CB" w:rsidP="00134663">
            <w:pPr>
              <w:jc w:val="center"/>
              <w:rPr>
                <w:color w:val="000000"/>
                <w:sz w:val="21"/>
              </w:rPr>
            </w:pPr>
            <w:r w:rsidRPr="00134663">
              <w:rPr>
                <w:color w:val="000000"/>
                <w:sz w:val="21"/>
              </w:rPr>
              <w:t>中信证券</w:t>
            </w:r>
          </w:p>
        </w:tc>
      </w:tr>
      <w:tr w:rsidR="00B208CB" w:rsidRPr="00134663" w14:paraId="64E55140" w14:textId="77777777" w:rsidTr="00B208CB">
        <w:trPr>
          <w:cantSplit/>
          <w:trHeight w:val="397"/>
          <w:jc w:val="center"/>
        </w:trPr>
        <w:tc>
          <w:tcPr>
            <w:tcW w:w="1509" w:type="pct"/>
            <w:noWrap/>
            <w:vAlign w:val="center"/>
            <w:hideMark/>
          </w:tcPr>
          <w:p w14:paraId="24CFD05B" w14:textId="77777777" w:rsidR="00B208CB" w:rsidRPr="00134663" w:rsidRDefault="00B208CB" w:rsidP="00134663">
            <w:pPr>
              <w:jc w:val="center"/>
              <w:rPr>
                <w:color w:val="000000"/>
                <w:sz w:val="21"/>
              </w:rPr>
            </w:pPr>
            <w:r w:rsidRPr="00134663">
              <w:rPr>
                <w:color w:val="000000"/>
                <w:sz w:val="21"/>
              </w:rPr>
              <w:lastRenderedPageBreak/>
              <w:t>31</w:t>
            </w:r>
          </w:p>
        </w:tc>
        <w:tc>
          <w:tcPr>
            <w:tcW w:w="3491" w:type="pct"/>
            <w:noWrap/>
            <w:vAlign w:val="center"/>
            <w:hideMark/>
          </w:tcPr>
          <w:p w14:paraId="537905EE" w14:textId="70E3A2AA" w:rsidR="00B208CB" w:rsidRPr="00134663" w:rsidRDefault="00B208CB" w:rsidP="00134663">
            <w:pPr>
              <w:jc w:val="center"/>
              <w:rPr>
                <w:color w:val="000000"/>
                <w:sz w:val="21"/>
              </w:rPr>
            </w:pPr>
            <w:r w:rsidRPr="00134663">
              <w:rPr>
                <w:color w:val="000000"/>
                <w:sz w:val="21"/>
              </w:rPr>
              <w:t>中银基金</w:t>
            </w:r>
          </w:p>
        </w:tc>
      </w:tr>
      <w:tr w:rsidR="00B208CB" w:rsidRPr="00134663" w14:paraId="31AA2328" w14:textId="77777777" w:rsidTr="00B208CB">
        <w:trPr>
          <w:cantSplit/>
          <w:trHeight w:val="397"/>
          <w:jc w:val="center"/>
        </w:trPr>
        <w:tc>
          <w:tcPr>
            <w:tcW w:w="1509" w:type="pct"/>
            <w:noWrap/>
            <w:vAlign w:val="center"/>
            <w:hideMark/>
          </w:tcPr>
          <w:p w14:paraId="4C6B03A1" w14:textId="77777777" w:rsidR="00B208CB" w:rsidRPr="00134663" w:rsidRDefault="00B208CB" w:rsidP="00134663">
            <w:pPr>
              <w:jc w:val="center"/>
              <w:rPr>
                <w:color w:val="000000"/>
                <w:sz w:val="21"/>
              </w:rPr>
            </w:pPr>
            <w:r w:rsidRPr="00134663">
              <w:rPr>
                <w:color w:val="000000"/>
                <w:sz w:val="21"/>
              </w:rPr>
              <w:t>32</w:t>
            </w:r>
          </w:p>
        </w:tc>
        <w:tc>
          <w:tcPr>
            <w:tcW w:w="3491" w:type="pct"/>
            <w:noWrap/>
            <w:vAlign w:val="center"/>
            <w:hideMark/>
          </w:tcPr>
          <w:p w14:paraId="4077093C" w14:textId="3A0BFD6E" w:rsidR="00B208CB" w:rsidRPr="00134663" w:rsidRDefault="00B208CB" w:rsidP="00134663">
            <w:pPr>
              <w:jc w:val="center"/>
              <w:rPr>
                <w:color w:val="000000"/>
                <w:sz w:val="21"/>
              </w:rPr>
            </w:pPr>
            <w:r w:rsidRPr="00134663">
              <w:rPr>
                <w:color w:val="000000"/>
                <w:sz w:val="21"/>
              </w:rPr>
              <w:t>中邮证券</w:t>
            </w:r>
          </w:p>
        </w:tc>
      </w:tr>
      <w:tr w:rsidR="00B208CB" w:rsidRPr="00134663" w14:paraId="1227646D" w14:textId="77777777" w:rsidTr="00B208CB">
        <w:trPr>
          <w:cantSplit/>
          <w:trHeight w:val="397"/>
          <w:jc w:val="center"/>
        </w:trPr>
        <w:tc>
          <w:tcPr>
            <w:tcW w:w="1509" w:type="pct"/>
            <w:noWrap/>
            <w:vAlign w:val="center"/>
            <w:hideMark/>
          </w:tcPr>
          <w:p w14:paraId="67137FA2" w14:textId="77777777" w:rsidR="00B208CB" w:rsidRPr="00134663" w:rsidRDefault="00B208CB" w:rsidP="00134663">
            <w:pPr>
              <w:jc w:val="center"/>
              <w:rPr>
                <w:color w:val="000000"/>
                <w:sz w:val="21"/>
              </w:rPr>
            </w:pPr>
            <w:r w:rsidRPr="00134663">
              <w:rPr>
                <w:color w:val="000000"/>
                <w:sz w:val="21"/>
              </w:rPr>
              <w:t>33</w:t>
            </w:r>
          </w:p>
        </w:tc>
        <w:tc>
          <w:tcPr>
            <w:tcW w:w="3491" w:type="pct"/>
            <w:noWrap/>
            <w:vAlign w:val="center"/>
            <w:hideMark/>
          </w:tcPr>
          <w:p w14:paraId="72145C57" w14:textId="7EA43BA7" w:rsidR="00B208CB" w:rsidRPr="00134663" w:rsidRDefault="00B208CB" w:rsidP="00134663">
            <w:pPr>
              <w:jc w:val="center"/>
              <w:rPr>
                <w:color w:val="000000"/>
                <w:sz w:val="21"/>
              </w:rPr>
            </w:pPr>
            <w:r w:rsidRPr="00134663">
              <w:rPr>
                <w:color w:val="000000"/>
                <w:sz w:val="21"/>
              </w:rPr>
              <w:t>富国基金</w:t>
            </w:r>
          </w:p>
        </w:tc>
      </w:tr>
      <w:tr w:rsidR="00B208CB" w:rsidRPr="00134663" w14:paraId="43B6FB7E" w14:textId="77777777" w:rsidTr="00B208CB">
        <w:trPr>
          <w:cantSplit/>
          <w:trHeight w:val="397"/>
          <w:jc w:val="center"/>
        </w:trPr>
        <w:tc>
          <w:tcPr>
            <w:tcW w:w="1509" w:type="pct"/>
            <w:noWrap/>
            <w:vAlign w:val="center"/>
            <w:hideMark/>
          </w:tcPr>
          <w:p w14:paraId="0C4475F4" w14:textId="77777777" w:rsidR="00B208CB" w:rsidRPr="00134663" w:rsidRDefault="00B208CB" w:rsidP="00134663">
            <w:pPr>
              <w:jc w:val="center"/>
              <w:rPr>
                <w:color w:val="000000"/>
                <w:sz w:val="21"/>
              </w:rPr>
            </w:pPr>
            <w:r w:rsidRPr="00134663">
              <w:rPr>
                <w:color w:val="000000"/>
                <w:sz w:val="21"/>
              </w:rPr>
              <w:t>34</w:t>
            </w:r>
          </w:p>
        </w:tc>
        <w:tc>
          <w:tcPr>
            <w:tcW w:w="3491" w:type="pct"/>
            <w:noWrap/>
            <w:vAlign w:val="center"/>
            <w:hideMark/>
          </w:tcPr>
          <w:p w14:paraId="396DC8A4" w14:textId="4DCE9B81" w:rsidR="00B208CB" w:rsidRPr="00134663" w:rsidRDefault="00B208CB" w:rsidP="00134663">
            <w:pPr>
              <w:jc w:val="center"/>
              <w:rPr>
                <w:color w:val="000000"/>
                <w:sz w:val="21"/>
              </w:rPr>
            </w:pPr>
            <w:r w:rsidRPr="00134663">
              <w:rPr>
                <w:color w:val="000000"/>
                <w:sz w:val="21"/>
              </w:rPr>
              <w:t>国泰基金</w:t>
            </w:r>
          </w:p>
        </w:tc>
      </w:tr>
      <w:tr w:rsidR="00B208CB" w:rsidRPr="00134663" w14:paraId="6788D888" w14:textId="77777777" w:rsidTr="00B208CB">
        <w:trPr>
          <w:cantSplit/>
          <w:trHeight w:val="397"/>
          <w:jc w:val="center"/>
        </w:trPr>
        <w:tc>
          <w:tcPr>
            <w:tcW w:w="1509" w:type="pct"/>
            <w:noWrap/>
            <w:vAlign w:val="center"/>
            <w:hideMark/>
          </w:tcPr>
          <w:p w14:paraId="5DDAE84A" w14:textId="77777777" w:rsidR="00B208CB" w:rsidRPr="00134663" w:rsidRDefault="00B208CB" w:rsidP="00134663">
            <w:pPr>
              <w:jc w:val="center"/>
              <w:rPr>
                <w:color w:val="000000"/>
                <w:sz w:val="21"/>
              </w:rPr>
            </w:pPr>
            <w:r w:rsidRPr="00134663">
              <w:rPr>
                <w:color w:val="000000"/>
                <w:sz w:val="21"/>
              </w:rPr>
              <w:t>35</w:t>
            </w:r>
          </w:p>
        </w:tc>
        <w:tc>
          <w:tcPr>
            <w:tcW w:w="3491" w:type="pct"/>
            <w:noWrap/>
            <w:vAlign w:val="center"/>
            <w:hideMark/>
          </w:tcPr>
          <w:p w14:paraId="320E3EB8" w14:textId="00A0FC16" w:rsidR="00B208CB" w:rsidRPr="00134663" w:rsidRDefault="00B208CB" w:rsidP="00134663">
            <w:pPr>
              <w:jc w:val="center"/>
              <w:rPr>
                <w:color w:val="000000"/>
                <w:sz w:val="21"/>
              </w:rPr>
            </w:pPr>
            <w:r w:rsidRPr="00134663">
              <w:rPr>
                <w:color w:val="000000"/>
                <w:sz w:val="21"/>
              </w:rPr>
              <w:t>国投瑞银</w:t>
            </w:r>
          </w:p>
        </w:tc>
      </w:tr>
      <w:tr w:rsidR="00B208CB" w:rsidRPr="00134663" w14:paraId="14A65A41" w14:textId="77777777" w:rsidTr="00B208CB">
        <w:trPr>
          <w:cantSplit/>
          <w:trHeight w:val="397"/>
          <w:jc w:val="center"/>
        </w:trPr>
        <w:tc>
          <w:tcPr>
            <w:tcW w:w="1509" w:type="pct"/>
            <w:noWrap/>
            <w:vAlign w:val="center"/>
            <w:hideMark/>
          </w:tcPr>
          <w:p w14:paraId="07E7C262" w14:textId="77777777" w:rsidR="00B208CB" w:rsidRPr="00134663" w:rsidRDefault="00B208CB" w:rsidP="00134663">
            <w:pPr>
              <w:jc w:val="center"/>
              <w:rPr>
                <w:color w:val="000000"/>
                <w:sz w:val="21"/>
              </w:rPr>
            </w:pPr>
            <w:r w:rsidRPr="00134663">
              <w:rPr>
                <w:color w:val="000000"/>
                <w:sz w:val="21"/>
              </w:rPr>
              <w:t>36</w:t>
            </w:r>
          </w:p>
        </w:tc>
        <w:tc>
          <w:tcPr>
            <w:tcW w:w="3491" w:type="pct"/>
            <w:noWrap/>
            <w:vAlign w:val="center"/>
            <w:hideMark/>
          </w:tcPr>
          <w:p w14:paraId="6118EF6F" w14:textId="2A34E38C" w:rsidR="00B208CB" w:rsidRPr="00134663" w:rsidRDefault="00B208CB" w:rsidP="00134663">
            <w:pPr>
              <w:jc w:val="center"/>
              <w:rPr>
                <w:color w:val="000000"/>
                <w:sz w:val="21"/>
              </w:rPr>
            </w:pPr>
            <w:r w:rsidRPr="00134663">
              <w:rPr>
                <w:color w:val="000000"/>
                <w:sz w:val="21"/>
              </w:rPr>
              <w:t>海富通基金</w:t>
            </w:r>
          </w:p>
        </w:tc>
      </w:tr>
      <w:tr w:rsidR="00B208CB" w:rsidRPr="00134663" w14:paraId="4B01F56E" w14:textId="77777777" w:rsidTr="00B208CB">
        <w:trPr>
          <w:cantSplit/>
          <w:trHeight w:val="397"/>
          <w:jc w:val="center"/>
        </w:trPr>
        <w:tc>
          <w:tcPr>
            <w:tcW w:w="1509" w:type="pct"/>
            <w:noWrap/>
            <w:vAlign w:val="center"/>
            <w:hideMark/>
          </w:tcPr>
          <w:p w14:paraId="4CE13CCA" w14:textId="77777777" w:rsidR="00B208CB" w:rsidRPr="00134663" w:rsidRDefault="00B208CB" w:rsidP="00134663">
            <w:pPr>
              <w:jc w:val="center"/>
              <w:rPr>
                <w:color w:val="000000"/>
                <w:sz w:val="21"/>
              </w:rPr>
            </w:pPr>
            <w:r w:rsidRPr="00134663">
              <w:rPr>
                <w:color w:val="000000"/>
                <w:sz w:val="21"/>
              </w:rPr>
              <w:t>37</w:t>
            </w:r>
          </w:p>
        </w:tc>
        <w:tc>
          <w:tcPr>
            <w:tcW w:w="3491" w:type="pct"/>
            <w:noWrap/>
            <w:vAlign w:val="center"/>
            <w:hideMark/>
          </w:tcPr>
          <w:p w14:paraId="77E5EEAA" w14:textId="05DC1CAA" w:rsidR="00B208CB" w:rsidRPr="00134663" w:rsidRDefault="00B208CB" w:rsidP="00134663">
            <w:pPr>
              <w:jc w:val="center"/>
              <w:rPr>
                <w:color w:val="000000"/>
                <w:sz w:val="21"/>
              </w:rPr>
            </w:pPr>
            <w:r w:rsidRPr="00134663">
              <w:rPr>
                <w:color w:val="000000"/>
                <w:sz w:val="21"/>
              </w:rPr>
              <w:t>红土基金</w:t>
            </w:r>
          </w:p>
        </w:tc>
      </w:tr>
      <w:tr w:rsidR="00B208CB" w:rsidRPr="00134663" w14:paraId="1133FA36" w14:textId="77777777" w:rsidTr="00B208CB">
        <w:trPr>
          <w:cantSplit/>
          <w:trHeight w:val="397"/>
          <w:jc w:val="center"/>
        </w:trPr>
        <w:tc>
          <w:tcPr>
            <w:tcW w:w="1509" w:type="pct"/>
            <w:noWrap/>
            <w:vAlign w:val="center"/>
            <w:hideMark/>
          </w:tcPr>
          <w:p w14:paraId="2531589A" w14:textId="77777777" w:rsidR="00B208CB" w:rsidRPr="00134663" w:rsidRDefault="00B208CB" w:rsidP="00134663">
            <w:pPr>
              <w:jc w:val="center"/>
              <w:rPr>
                <w:color w:val="000000"/>
                <w:sz w:val="21"/>
              </w:rPr>
            </w:pPr>
            <w:r w:rsidRPr="00134663">
              <w:rPr>
                <w:color w:val="000000"/>
                <w:sz w:val="21"/>
              </w:rPr>
              <w:t>38</w:t>
            </w:r>
          </w:p>
        </w:tc>
        <w:tc>
          <w:tcPr>
            <w:tcW w:w="3491" w:type="pct"/>
            <w:noWrap/>
            <w:vAlign w:val="center"/>
            <w:hideMark/>
          </w:tcPr>
          <w:p w14:paraId="7120C50A" w14:textId="1F8516F7" w:rsidR="00B208CB" w:rsidRPr="00134663" w:rsidRDefault="00B208CB" w:rsidP="00134663">
            <w:pPr>
              <w:jc w:val="center"/>
              <w:rPr>
                <w:color w:val="000000"/>
                <w:sz w:val="21"/>
              </w:rPr>
            </w:pPr>
            <w:r w:rsidRPr="00134663">
              <w:rPr>
                <w:color w:val="000000"/>
                <w:sz w:val="21"/>
              </w:rPr>
              <w:t>华泰柏瑞</w:t>
            </w:r>
          </w:p>
        </w:tc>
      </w:tr>
      <w:tr w:rsidR="00B208CB" w:rsidRPr="00134663" w14:paraId="4BFA8C6F" w14:textId="77777777" w:rsidTr="00B208CB">
        <w:trPr>
          <w:cantSplit/>
          <w:trHeight w:val="397"/>
          <w:jc w:val="center"/>
        </w:trPr>
        <w:tc>
          <w:tcPr>
            <w:tcW w:w="1509" w:type="pct"/>
            <w:noWrap/>
            <w:vAlign w:val="center"/>
            <w:hideMark/>
          </w:tcPr>
          <w:p w14:paraId="12129A8C" w14:textId="77777777" w:rsidR="00B208CB" w:rsidRPr="00134663" w:rsidRDefault="00B208CB" w:rsidP="00134663">
            <w:pPr>
              <w:jc w:val="center"/>
              <w:rPr>
                <w:color w:val="000000"/>
                <w:sz w:val="21"/>
              </w:rPr>
            </w:pPr>
            <w:r w:rsidRPr="00134663">
              <w:rPr>
                <w:color w:val="000000"/>
                <w:sz w:val="21"/>
              </w:rPr>
              <w:t>39</w:t>
            </w:r>
          </w:p>
        </w:tc>
        <w:tc>
          <w:tcPr>
            <w:tcW w:w="3491" w:type="pct"/>
            <w:noWrap/>
            <w:vAlign w:val="center"/>
            <w:hideMark/>
          </w:tcPr>
          <w:p w14:paraId="6EBFB7C9" w14:textId="4A0D0CC7" w:rsidR="00B208CB" w:rsidRPr="00134663" w:rsidRDefault="00B208CB" w:rsidP="00134663">
            <w:pPr>
              <w:jc w:val="center"/>
              <w:rPr>
                <w:color w:val="000000"/>
                <w:sz w:val="21"/>
              </w:rPr>
            </w:pPr>
            <w:r w:rsidRPr="00134663">
              <w:rPr>
                <w:color w:val="000000"/>
                <w:sz w:val="21"/>
              </w:rPr>
              <w:t>华西证券</w:t>
            </w:r>
          </w:p>
        </w:tc>
      </w:tr>
      <w:tr w:rsidR="00B208CB" w:rsidRPr="00134663" w14:paraId="72F68B4B" w14:textId="77777777" w:rsidTr="00B208CB">
        <w:trPr>
          <w:cantSplit/>
          <w:trHeight w:val="397"/>
          <w:jc w:val="center"/>
        </w:trPr>
        <w:tc>
          <w:tcPr>
            <w:tcW w:w="1509" w:type="pct"/>
            <w:noWrap/>
            <w:vAlign w:val="center"/>
            <w:hideMark/>
          </w:tcPr>
          <w:p w14:paraId="65EA663F" w14:textId="77777777" w:rsidR="00B208CB" w:rsidRPr="00134663" w:rsidRDefault="00B208CB" w:rsidP="00134663">
            <w:pPr>
              <w:jc w:val="center"/>
              <w:rPr>
                <w:color w:val="000000"/>
                <w:sz w:val="21"/>
              </w:rPr>
            </w:pPr>
            <w:r w:rsidRPr="00134663">
              <w:rPr>
                <w:color w:val="000000"/>
                <w:sz w:val="21"/>
              </w:rPr>
              <w:t>40</w:t>
            </w:r>
          </w:p>
        </w:tc>
        <w:tc>
          <w:tcPr>
            <w:tcW w:w="3491" w:type="pct"/>
            <w:noWrap/>
            <w:vAlign w:val="center"/>
            <w:hideMark/>
          </w:tcPr>
          <w:p w14:paraId="6C617C9D" w14:textId="07D341EF" w:rsidR="00B208CB" w:rsidRPr="00134663" w:rsidRDefault="00B208CB" w:rsidP="00134663">
            <w:pPr>
              <w:jc w:val="center"/>
              <w:rPr>
                <w:color w:val="000000"/>
                <w:sz w:val="21"/>
              </w:rPr>
            </w:pPr>
            <w:r w:rsidRPr="00134663">
              <w:rPr>
                <w:color w:val="000000"/>
                <w:sz w:val="21"/>
              </w:rPr>
              <w:t>华夏基金</w:t>
            </w:r>
          </w:p>
        </w:tc>
      </w:tr>
      <w:tr w:rsidR="00B208CB" w:rsidRPr="00134663" w14:paraId="7FFCD822" w14:textId="77777777" w:rsidTr="00B208CB">
        <w:trPr>
          <w:cantSplit/>
          <w:trHeight w:val="397"/>
          <w:jc w:val="center"/>
        </w:trPr>
        <w:tc>
          <w:tcPr>
            <w:tcW w:w="1509" w:type="pct"/>
            <w:noWrap/>
            <w:vAlign w:val="center"/>
            <w:hideMark/>
          </w:tcPr>
          <w:p w14:paraId="774AAA9D" w14:textId="77777777" w:rsidR="00B208CB" w:rsidRPr="00134663" w:rsidRDefault="00B208CB" w:rsidP="00134663">
            <w:pPr>
              <w:jc w:val="center"/>
              <w:rPr>
                <w:color w:val="000000"/>
                <w:sz w:val="21"/>
              </w:rPr>
            </w:pPr>
            <w:r w:rsidRPr="00134663">
              <w:rPr>
                <w:color w:val="000000"/>
                <w:sz w:val="21"/>
              </w:rPr>
              <w:t>41</w:t>
            </w:r>
          </w:p>
        </w:tc>
        <w:tc>
          <w:tcPr>
            <w:tcW w:w="3491" w:type="pct"/>
            <w:noWrap/>
            <w:vAlign w:val="center"/>
            <w:hideMark/>
          </w:tcPr>
          <w:p w14:paraId="0680384F" w14:textId="4B564B32" w:rsidR="00B208CB" w:rsidRPr="00134663" w:rsidRDefault="00B208CB" w:rsidP="00134663">
            <w:pPr>
              <w:jc w:val="center"/>
              <w:rPr>
                <w:color w:val="000000"/>
                <w:sz w:val="21"/>
              </w:rPr>
            </w:pPr>
            <w:r w:rsidRPr="00134663">
              <w:rPr>
                <w:color w:val="000000"/>
                <w:sz w:val="21"/>
              </w:rPr>
              <w:t>汇丰晋信</w:t>
            </w:r>
          </w:p>
        </w:tc>
      </w:tr>
      <w:tr w:rsidR="00B208CB" w:rsidRPr="00134663" w14:paraId="33F5D34F" w14:textId="77777777" w:rsidTr="00B208CB">
        <w:trPr>
          <w:cantSplit/>
          <w:trHeight w:val="397"/>
          <w:jc w:val="center"/>
        </w:trPr>
        <w:tc>
          <w:tcPr>
            <w:tcW w:w="1509" w:type="pct"/>
            <w:noWrap/>
            <w:vAlign w:val="center"/>
            <w:hideMark/>
          </w:tcPr>
          <w:p w14:paraId="21FC7B5A" w14:textId="77777777" w:rsidR="00B208CB" w:rsidRPr="00134663" w:rsidRDefault="00B208CB" w:rsidP="00134663">
            <w:pPr>
              <w:jc w:val="center"/>
              <w:rPr>
                <w:color w:val="000000"/>
                <w:sz w:val="21"/>
              </w:rPr>
            </w:pPr>
            <w:r w:rsidRPr="00134663">
              <w:rPr>
                <w:color w:val="000000"/>
                <w:sz w:val="21"/>
              </w:rPr>
              <w:t>42</w:t>
            </w:r>
          </w:p>
        </w:tc>
        <w:tc>
          <w:tcPr>
            <w:tcW w:w="3491" w:type="pct"/>
            <w:noWrap/>
            <w:vAlign w:val="center"/>
            <w:hideMark/>
          </w:tcPr>
          <w:p w14:paraId="6E14EDDB" w14:textId="46929F31" w:rsidR="00B208CB" w:rsidRPr="00134663" w:rsidRDefault="00B208CB" w:rsidP="00134663">
            <w:pPr>
              <w:jc w:val="center"/>
              <w:rPr>
                <w:color w:val="000000"/>
                <w:sz w:val="21"/>
              </w:rPr>
            </w:pPr>
            <w:r w:rsidRPr="00134663">
              <w:rPr>
                <w:color w:val="000000"/>
                <w:sz w:val="21"/>
              </w:rPr>
              <w:t>汇添富基金</w:t>
            </w:r>
          </w:p>
        </w:tc>
      </w:tr>
      <w:tr w:rsidR="00B208CB" w:rsidRPr="00134663" w14:paraId="705AEDDF" w14:textId="77777777" w:rsidTr="00B208CB">
        <w:trPr>
          <w:cantSplit/>
          <w:trHeight w:val="397"/>
          <w:jc w:val="center"/>
        </w:trPr>
        <w:tc>
          <w:tcPr>
            <w:tcW w:w="1509" w:type="pct"/>
            <w:noWrap/>
            <w:vAlign w:val="center"/>
            <w:hideMark/>
          </w:tcPr>
          <w:p w14:paraId="78B85523" w14:textId="77777777" w:rsidR="00B208CB" w:rsidRPr="00134663" w:rsidRDefault="00B208CB" w:rsidP="00134663">
            <w:pPr>
              <w:jc w:val="center"/>
              <w:rPr>
                <w:color w:val="000000"/>
                <w:sz w:val="21"/>
              </w:rPr>
            </w:pPr>
            <w:r w:rsidRPr="00134663">
              <w:rPr>
                <w:color w:val="000000"/>
                <w:sz w:val="21"/>
              </w:rPr>
              <w:t>43</w:t>
            </w:r>
          </w:p>
        </w:tc>
        <w:tc>
          <w:tcPr>
            <w:tcW w:w="3491" w:type="pct"/>
            <w:noWrap/>
            <w:vAlign w:val="center"/>
            <w:hideMark/>
          </w:tcPr>
          <w:p w14:paraId="52A71EF1" w14:textId="3AC1838F" w:rsidR="00B208CB" w:rsidRPr="00134663" w:rsidRDefault="00B208CB" w:rsidP="00134663">
            <w:pPr>
              <w:jc w:val="center"/>
              <w:rPr>
                <w:color w:val="000000"/>
                <w:sz w:val="21"/>
              </w:rPr>
            </w:pPr>
            <w:r w:rsidRPr="00134663">
              <w:rPr>
                <w:color w:val="000000"/>
                <w:sz w:val="21"/>
              </w:rPr>
              <w:t>景顺长城</w:t>
            </w:r>
          </w:p>
        </w:tc>
      </w:tr>
      <w:tr w:rsidR="00B208CB" w:rsidRPr="00134663" w14:paraId="03F05AFB" w14:textId="77777777" w:rsidTr="00B208CB">
        <w:trPr>
          <w:cantSplit/>
          <w:trHeight w:val="397"/>
          <w:jc w:val="center"/>
        </w:trPr>
        <w:tc>
          <w:tcPr>
            <w:tcW w:w="1509" w:type="pct"/>
            <w:noWrap/>
            <w:vAlign w:val="center"/>
            <w:hideMark/>
          </w:tcPr>
          <w:p w14:paraId="6B647A8C" w14:textId="77777777" w:rsidR="00B208CB" w:rsidRPr="00134663" w:rsidRDefault="00B208CB" w:rsidP="00134663">
            <w:pPr>
              <w:jc w:val="center"/>
              <w:rPr>
                <w:color w:val="000000"/>
                <w:sz w:val="21"/>
              </w:rPr>
            </w:pPr>
            <w:r w:rsidRPr="00134663">
              <w:rPr>
                <w:color w:val="000000"/>
                <w:sz w:val="21"/>
              </w:rPr>
              <w:t>44</w:t>
            </w:r>
          </w:p>
        </w:tc>
        <w:tc>
          <w:tcPr>
            <w:tcW w:w="3491" w:type="pct"/>
            <w:noWrap/>
            <w:vAlign w:val="center"/>
            <w:hideMark/>
          </w:tcPr>
          <w:p w14:paraId="08BE347D" w14:textId="4B5102BA" w:rsidR="00B208CB" w:rsidRPr="00134663" w:rsidRDefault="00B208CB" w:rsidP="00134663">
            <w:pPr>
              <w:jc w:val="center"/>
              <w:rPr>
                <w:color w:val="000000"/>
                <w:sz w:val="21"/>
              </w:rPr>
            </w:pPr>
            <w:r w:rsidRPr="00134663">
              <w:rPr>
                <w:color w:val="000000"/>
                <w:sz w:val="21"/>
              </w:rPr>
              <w:t>民生证券</w:t>
            </w:r>
          </w:p>
        </w:tc>
      </w:tr>
      <w:tr w:rsidR="00B208CB" w:rsidRPr="00134663" w14:paraId="03EB07F0" w14:textId="77777777" w:rsidTr="00B208CB">
        <w:trPr>
          <w:cantSplit/>
          <w:trHeight w:val="397"/>
          <w:jc w:val="center"/>
        </w:trPr>
        <w:tc>
          <w:tcPr>
            <w:tcW w:w="1509" w:type="pct"/>
            <w:noWrap/>
            <w:vAlign w:val="center"/>
            <w:hideMark/>
          </w:tcPr>
          <w:p w14:paraId="36DF122C" w14:textId="77777777" w:rsidR="00B208CB" w:rsidRPr="00134663" w:rsidRDefault="00B208CB" w:rsidP="00134663">
            <w:pPr>
              <w:jc w:val="center"/>
              <w:rPr>
                <w:color w:val="000000"/>
                <w:sz w:val="21"/>
              </w:rPr>
            </w:pPr>
            <w:r w:rsidRPr="00134663">
              <w:rPr>
                <w:color w:val="000000"/>
                <w:sz w:val="21"/>
              </w:rPr>
              <w:t>45</w:t>
            </w:r>
          </w:p>
        </w:tc>
        <w:tc>
          <w:tcPr>
            <w:tcW w:w="3491" w:type="pct"/>
            <w:noWrap/>
            <w:vAlign w:val="center"/>
            <w:hideMark/>
          </w:tcPr>
          <w:p w14:paraId="26C8E44C" w14:textId="75805D26" w:rsidR="00B208CB" w:rsidRPr="00134663" w:rsidRDefault="00B208CB" w:rsidP="00134663">
            <w:pPr>
              <w:jc w:val="center"/>
              <w:rPr>
                <w:color w:val="000000"/>
                <w:sz w:val="21"/>
              </w:rPr>
            </w:pPr>
            <w:r w:rsidRPr="00134663">
              <w:rPr>
                <w:color w:val="000000"/>
                <w:sz w:val="21"/>
              </w:rPr>
              <w:t>诺安基金</w:t>
            </w:r>
          </w:p>
        </w:tc>
      </w:tr>
      <w:tr w:rsidR="00B208CB" w:rsidRPr="00134663" w14:paraId="3253A119" w14:textId="77777777" w:rsidTr="00B208CB">
        <w:trPr>
          <w:cantSplit/>
          <w:trHeight w:val="397"/>
          <w:jc w:val="center"/>
        </w:trPr>
        <w:tc>
          <w:tcPr>
            <w:tcW w:w="1509" w:type="pct"/>
            <w:noWrap/>
            <w:vAlign w:val="center"/>
            <w:hideMark/>
          </w:tcPr>
          <w:p w14:paraId="6A9C2ADF" w14:textId="77777777" w:rsidR="00B208CB" w:rsidRPr="00134663" w:rsidRDefault="00B208CB" w:rsidP="00134663">
            <w:pPr>
              <w:jc w:val="center"/>
              <w:rPr>
                <w:color w:val="000000"/>
                <w:sz w:val="21"/>
              </w:rPr>
            </w:pPr>
            <w:r w:rsidRPr="00134663">
              <w:rPr>
                <w:color w:val="000000"/>
                <w:sz w:val="21"/>
              </w:rPr>
              <w:t>46</w:t>
            </w:r>
          </w:p>
        </w:tc>
        <w:tc>
          <w:tcPr>
            <w:tcW w:w="3491" w:type="pct"/>
            <w:noWrap/>
            <w:vAlign w:val="center"/>
            <w:hideMark/>
          </w:tcPr>
          <w:p w14:paraId="04259F0E" w14:textId="1CDEB9B5" w:rsidR="00B208CB" w:rsidRPr="00134663" w:rsidRDefault="00B208CB" w:rsidP="00134663">
            <w:pPr>
              <w:jc w:val="center"/>
              <w:rPr>
                <w:color w:val="000000"/>
                <w:sz w:val="21"/>
              </w:rPr>
            </w:pPr>
            <w:r w:rsidRPr="00134663">
              <w:rPr>
                <w:color w:val="000000"/>
                <w:sz w:val="21"/>
              </w:rPr>
              <w:t>鹏华基金</w:t>
            </w:r>
          </w:p>
        </w:tc>
      </w:tr>
      <w:tr w:rsidR="00B208CB" w:rsidRPr="00134663" w14:paraId="3168D8DC" w14:textId="77777777" w:rsidTr="00B208CB">
        <w:trPr>
          <w:cantSplit/>
          <w:trHeight w:val="397"/>
          <w:jc w:val="center"/>
        </w:trPr>
        <w:tc>
          <w:tcPr>
            <w:tcW w:w="1509" w:type="pct"/>
            <w:noWrap/>
            <w:vAlign w:val="center"/>
            <w:hideMark/>
          </w:tcPr>
          <w:p w14:paraId="4D57FAB9" w14:textId="77777777" w:rsidR="00B208CB" w:rsidRPr="00134663" w:rsidRDefault="00B208CB" w:rsidP="00134663">
            <w:pPr>
              <w:jc w:val="center"/>
              <w:rPr>
                <w:color w:val="000000"/>
                <w:sz w:val="21"/>
              </w:rPr>
            </w:pPr>
            <w:r w:rsidRPr="00134663">
              <w:rPr>
                <w:color w:val="000000"/>
                <w:sz w:val="21"/>
              </w:rPr>
              <w:t>47</w:t>
            </w:r>
          </w:p>
        </w:tc>
        <w:tc>
          <w:tcPr>
            <w:tcW w:w="3491" w:type="pct"/>
            <w:noWrap/>
            <w:vAlign w:val="center"/>
            <w:hideMark/>
          </w:tcPr>
          <w:p w14:paraId="433A5F5A" w14:textId="01CC7730" w:rsidR="00B208CB" w:rsidRPr="00134663" w:rsidRDefault="00B208CB" w:rsidP="00134663">
            <w:pPr>
              <w:jc w:val="center"/>
              <w:rPr>
                <w:color w:val="000000"/>
                <w:sz w:val="21"/>
              </w:rPr>
            </w:pPr>
            <w:r w:rsidRPr="00134663">
              <w:rPr>
                <w:color w:val="000000"/>
                <w:sz w:val="21"/>
              </w:rPr>
              <w:t>融通基金</w:t>
            </w:r>
          </w:p>
        </w:tc>
      </w:tr>
      <w:tr w:rsidR="00B208CB" w:rsidRPr="00134663" w14:paraId="5168B173" w14:textId="77777777" w:rsidTr="00B208CB">
        <w:trPr>
          <w:cantSplit/>
          <w:trHeight w:val="397"/>
          <w:jc w:val="center"/>
        </w:trPr>
        <w:tc>
          <w:tcPr>
            <w:tcW w:w="1509" w:type="pct"/>
            <w:noWrap/>
            <w:vAlign w:val="center"/>
            <w:hideMark/>
          </w:tcPr>
          <w:p w14:paraId="1E544F9C" w14:textId="77777777" w:rsidR="00B208CB" w:rsidRPr="00134663" w:rsidRDefault="00B208CB" w:rsidP="00134663">
            <w:pPr>
              <w:jc w:val="center"/>
              <w:rPr>
                <w:color w:val="000000"/>
                <w:sz w:val="21"/>
              </w:rPr>
            </w:pPr>
            <w:r w:rsidRPr="00134663">
              <w:rPr>
                <w:color w:val="000000"/>
                <w:sz w:val="21"/>
              </w:rPr>
              <w:t>48</w:t>
            </w:r>
          </w:p>
        </w:tc>
        <w:tc>
          <w:tcPr>
            <w:tcW w:w="3491" w:type="pct"/>
            <w:noWrap/>
            <w:vAlign w:val="center"/>
            <w:hideMark/>
          </w:tcPr>
          <w:p w14:paraId="237EC56D" w14:textId="0BDCC33A" w:rsidR="00B208CB" w:rsidRPr="00134663" w:rsidRDefault="00B208CB" w:rsidP="00134663">
            <w:pPr>
              <w:jc w:val="center"/>
              <w:rPr>
                <w:color w:val="000000"/>
                <w:sz w:val="21"/>
              </w:rPr>
            </w:pPr>
            <w:r w:rsidRPr="00134663">
              <w:rPr>
                <w:color w:val="000000"/>
                <w:sz w:val="21"/>
              </w:rPr>
              <w:t>泰康资产</w:t>
            </w:r>
          </w:p>
        </w:tc>
      </w:tr>
      <w:tr w:rsidR="00B208CB" w:rsidRPr="00134663" w14:paraId="0C41D53D" w14:textId="77777777" w:rsidTr="00B208CB">
        <w:trPr>
          <w:cantSplit/>
          <w:trHeight w:val="397"/>
          <w:jc w:val="center"/>
        </w:trPr>
        <w:tc>
          <w:tcPr>
            <w:tcW w:w="1509" w:type="pct"/>
            <w:noWrap/>
            <w:vAlign w:val="center"/>
            <w:hideMark/>
          </w:tcPr>
          <w:p w14:paraId="386C743A" w14:textId="77777777" w:rsidR="00B208CB" w:rsidRPr="00134663" w:rsidRDefault="00B208CB" w:rsidP="00134663">
            <w:pPr>
              <w:jc w:val="center"/>
              <w:rPr>
                <w:color w:val="000000"/>
                <w:sz w:val="21"/>
              </w:rPr>
            </w:pPr>
            <w:r w:rsidRPr="00134663">
              <w:rPr>
                <w:color w:val="000000"/>
                <w:sz w:val="21"/>
              </w:rPr>
              <w:t>49</w:t>
            </w:r>
          </w:p>
        </w:tc>
        <w:tc>
          <w:tcPr>
            <w:tcW w:w="3491" w:type="pct"/>
            <w:noWrap/>
            <w:vAlign w:val="center"/>
            <w:hideMark/>
          </w:tcPr>
          <w:p w14:paraId="33B39AAE" w14:textId="6B301751" w:rsidR="00B208CB" w:rsidRPr="00134663" w:rsidRDefault="00B208CB" w:rsidP="00134663">
            <w:pPr>
              <w:jc w:val="center"/>
              <w:rPr>
                <w:color w:val="000000"/>
                <w:sz w:val="21"/>
              </w:rPr>
            </w:pPr>
            <w:r w:rsidRPr="00134663">
              <w:rPr>
                <w:color w:val="000000"/>
                <w:sz w:val="21"/>
              </w:rPr>
              <w:t>文多资产</w:t>
            </w:r>
          </w:p>
        </w:tc>
      </w:tr>
      <w:tr w:rsidR="00B208CB" w:rsidRPr="00134663" w14:paraId="4D62B44B" w14:textId="77777777" w:rsidTr="00B208CB">
        <w:trPr>
          <w:cantSplit/>
          <w:trHeight w:val="397"/>
          <w:jc w:val="center"/>
        </w:trPr>
        <w:tc>
          <w:tcPr>
            <w:tcW w:w="1509" w:type="pct"/>
            <w:noWrap/>
            <w:vAlign w:val="center"/>
            <w:hideMark/>
          </w:tcPr>
          <w:p w14:paraId="549E3856" w14:textId="77777777" w:rsidR="00B208CB" w:rsidRPr="00134663" w:rsidRDefault="00B208CB" w:rsidP="00134663">
            <w:pPr>
              <w:jc w:val="center"/>
              <w:rPr>
                <w:color w:val="000000"/>
                <w:sz w:val="21"/>
              </w:rPr>
            </w:pPr>
            <w:r w:rsidRPr="00134663">
              <w:rPr>
                <w:color w:val="000000"/>
                <w:sz w:val="21"/>
              </w:rPr>
              <w:t>50</w:t>
            </w:r>
          </w:p>
        </w:tc>
        <w:tc>
          <w:tcPr>
            <w:tcW w:w="3491" w:type="pct"/>
            <w:noWrap/>
            <w:vAlign w:val="center"/>
            <w:hideMark/>
          </w:tcPr>
          <w:p w14:paraId="54E41767" w14:textId="00B17E30" w:rsidR="00B208CB" w:rsidRPr="00134663" w:rsidRDefault="00B208CB" w:rsidP="00134663">
            <w:pPr>
              <w:jc w:val="center"/>
              <w:rPr>
                <w:color w:val="000000"/>
                <w:sz w:val="21"/>
              </w:rPr>
            </w:pPr>
            <w:r w:rsidRPr="00134663">
              <w:rPr>
                <w:color w:val="000000"/>
                <w:sz w:val="21"/>
              </w:rPr>
              <w:t>新华基金</w:t>
            </w:r>
          </w:p>
        </w:tc>
      </w:tr>
      <w:tr w:rsidR="00B208CB" w:rsidRPr="00134663" w14:paraId="259F0C48" w14:textId="77777777" w:rsidTr="00B208CB">
        <w:trPr>
          <w:cantSplit/>
          <w:trHeight w:val="397"/>
          <w:jc w:val="center"/>
        </w:trPr>
        <w:tc>
          <w:tcPr>
            <w:tcW w:w="1509" w:type="pct"/>
            <w:noWrap/>
            <w:vAlign w:val="center"/>
            <w:hideMark/>
          </w:tcPr>
          <w:p w14:paraId="5EAB6DF9" w14:textId="77777777" w:rsidR="00B208CB" w:rsidRPr="00134663" w:rsidRDefault="00B208CB" w:rsidP="00134663">
            <w:pPr>
              <w:jc w:val="center"/>
              <w:rPr>
                <w:color w:val="000000"/>
                <w:sz w:val="21"/>
              </w:rPr>
            </w:pPr>
            <w:r w:rsidRPr="00134663">
              <w:rPr>
                <w:color w:val="000000"/>
                <w:sz w:val="21"/>
              </w:rPr>
              <w:t>51</w:t>
            </w:r>
          </w:p>
        </w:tc>
        <w:tc>
          <w:tcPr>
            <w:tcW w:w="3491" w:type="pct"/>
            <w:noWrap/>
            <w:vAlign w:val="center"/>
            <w:hideMark/>
          </w:tcPr>
          <w:p w14:paraId="71A6C34B" w14:textId="7D477D4E" w:rsidR="00B208CB" w:rsidRPr="00134663" w:rsidRDefault="00B208CB" w:rsidP="00134663">
            <w:pPr>
              <w:jc w:val="center"/>
              <w:rPr>
                <w:color w:val="000000"/>
                <w:sz w:val="21"/>
              </w:rPr>
            </w:pPr>
            <w:r w:rsidRPr="00134663">
              <w:rPr>
                <w:color w:val="000000"/>
                <w:sz w:val="21"/>
              </w:rPr>
              <w:t>易米基金</w:t>
            </w:r>
          </w:p>
        </w:tc>
      </w:tr>
      <w:tr w:rsidR="00B208CB" w:rsidRPr="00134663" w14:paraId="0E1A2788" w14:textId="77777777" w:rsidTr="00B208CB">
        <w:trPr>
          <w:cantSplit/>
          <w:trHeight w:val="397"/>
          <w:jc w:val="center"/>
        </w:trPr>
        <w:tc>
          <w:tcPr>
            <w:tcW w:w="1509" w:type="pct"/>
            <w:noWrap/>
            <w:vAlign w:val="center"/>
            <w:hideMark/>
          </w:tcPr>
          <w:p w14:paraId="61A6FFB2" w14:textId="77777777" w:rsidR="00B208CB" w:rsidRPr="00134663" w:rsidRDefault="00B208CB" w:rsidP="00134663">
            <w:pPr>
              <w:jc w:val="center"/>
              <w:rPr>
                <w:color w:val="000000"/>
                <w:sz w:val="21"/>
              </w:rPr>
            </w:pPr>
            <w:r w:rsidRPr="00134663">
              <w:rPr>
                <w:color w:val="000000"/>
                <w:sz w:val="21"/>
              </w:rPr>
              <w:t>52</w:t>
            </w:r>
          </w:p>
        </w:tc>
        <w:tc>
          <w:tcPr>
            <w:tcW w:w="3491" w:type="pct"/>
            <w:noWrap/>
            <w:vAlign w:val="center"/>
            <w:hideMark/>
          </w:tcPr>
          <w:p w14:paraId="5EAC2BD3" w14:textId="059679EB" w:rsidR="00B208CB" w:rsidRPr="00134663" w:rsidRDefault="00B208CB" w:rsidP="00134663">
            <w:pPr>
              <w:jc w:val="center"/>
              <w:rPr>
                <w:color w:val="000000"/>
                <w:sz w:val="21"/>
              </w:rPr>
            </w:pPr>
            <w:r w:rsidRPr="00134663">
              <w:rPr>
                <w:color w:val="000000"/>
                <w:sz w:val="21"/>
              </w:rPr>
              <w:t>长江证券</w:t>
            </w:r>
          </w:p>
        </w:tc>
      </w:tr>
      <w:tr w:rsidR="00B208CB" w:rsidRPr="00134663" w14:paraId="05AF2C75" w14:textId="77777777" w:rsidTr="00B208CB">
        <w:trPr>
          <w:cantSplit/>
          <w:trHeight w:val="397"/>
          <w:jc w:val="center"/>
        </w:trPr>
        <w:tc>
          <w:tcPr>
            <w:tcW w:w="1509" w:type="pct"/>
            <w:noWrap/>
            <w:vAlign w:val="center"/>
            <w:hideMark/>
          </w:tcPr>
          <w:p w14:paraId="1C6B32C6" w14:textId="77777777" w:rsidR="00B208CB" w:rsidRPr="00134663" w:rsidRDefault="00B208CB" w:rsidP="00134663">
            <w:pPr>
              <w:jc w:val="center"/>
              <w:rPr>
                <w:color w:val="000000"/>
                <w:sz w:val="21"/>
              </w:rPr>
            </w:pPr>
            <w:r w:rsidRPr="00134663">
              <w:rPr>
                <w:color w:val="000000"/>
                <w:sz w:val="21"/>
              </w:rPr>
              <w:t>53</w:t>
            </w:r>
          </w:p>
        </w:tc>
        <w:tc>
          <w:tcPr>
            <w:tcW w:w="3491" w:type="pct"/>
            <w:noWrap/>
            <w:vAlign w:val="center"/>
            <w:hideMark/>
          </w:tcPr>
          <w:p w14:paraId="57878968" w14:textId="59CE3960" w:rsidR="00B208CB" w:rsidRPr="00134663" w:rsidRDefault="00B208CB" w:rsidP="00134663">
            <w:pPr>
              <w:jc w:val="center"/>
              <w:rPr>
                <w:color w:val="000000"/>
                <w:sz w:val="21"/>
              </w:rPr>
            </w:pPr>
            <w:r w:rsidRPr="00134663">
              <w:rPr>
                <w:rFonts w:cs="宋体" w:hint="eastAsia"/>
                <w:color w:val="000000"/>
                <w:sz w:val="21"/>
              </w:rPr>
              <w:t>长信基金</w:t>
            </w:r>
          </w:p>
        </w:tc>
      </w:tr>
      <w:tr w:rsidR="00B208CB" w:rsidRPr="00134663" w14:paraId="3F44549B" w14:textId="77777777" w:rsidTr="00B208CB">
        <w:trPr>
          <w:cantSplit/>
          <w:trHeight w:val="397"/>
          <w:jc w:val="center"/>
        </w:trPr>
        <w:tc>
          <w:tcPr>
            <w:tcW w:w="1509" w:type="pct"/>
            <w:noWrap/>
            <w:vAlign w:val="center"/>
            <w:hideMark/>
          </w:tcPr>
          <w:p w14:paraId="2C493788" w14:textId="77777777" w:rsidR="00B208CB" w:rsidRPr="00134663" w:rsidRDefault="00B208CB" w:rsidP="00134663">
            <w:pPr>
              <w:jc w:val="center"/>
              <w:rPr>
                <w:color w:val="000000"/>
                <w:sz w:val="21"/>
              </w:rPr>
            </w:pPr>
            <w:r w:rsidRPr="00134663">
              <w:rPr>
                <w:color w:val="000000"/>
                <w:sz w:val="21"/>
              </w:rPr>
              <w:t>54</w:t>
            </w:r>
          </w:p>
        </w:tc>
        <w:tc>
          <w:tcPr>
            <w:tcW w:w="3491" w:type="pct"/>
            <w:noWrap/>
            <w:vAlign w:val="center"/>
            <w:hideMark/>
          </w:tcPr>
          <w:p w14:paraId="0FE42AA2" w14:textId="484852E9" w:rsidR="00B208CB" w:rsidRPr="00134663" w:rsidRDefault="00B208CB" w:rsidP="00134663">
            <w:pPr>
              <w:jc w:val="center"/>
              <w:rPr>
                <w:rFonts w:cs="宋体"/>
                <w:color w:val="000000"/>
                <w:sz w:val="21"/>
              </w:rPr>
            </w:pPr>
            <w:r w:rsidRPr="00134663">
              <w:rPr>
                <w:rFonts w:cs="宋体" w:hint="eastAsia"/>
                <w:color w:val="000000"/>
                <w:sz w:val="21"/>
              </w:rPr>
              <w:t>指南基金</w:t>
            </w:r>
          </w:p>
        </w:tc>
      </w:tr>
    </w:tbl>
    <w:p w14:paraId="335FEED5" w14:textId="77777777" w:rsidR="00134663" w:rsidRPr="00134663" w:rsidRDefault="00134663" w:rsidP="00134663">
      <w:pPr>
        <w:jc w:val="center"/>
        <w:rPr>
          <w:b/>
        </w:rPr>
      </w:pPr>
    </w:p>
    <w:sectPr w:rsidR="00134663" w:rsidRPr="001346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BE470" w14:textId="77777777" w:rsidR="00042238" w:rsidRDefault="00042238" w:rsidP="004B632F">
      <w:r>
        <w:separator/>
      </w:r>
    </w:p>
  </w:endnote>
  <w:endnote w:type="continuationSeparator" w:id="0">
    <w:p w14:paraId="02CD2D1A" w14:textId="77777777" w:rsidR="00042238" w:rsidRDefault="00042238" w:rsidP="004B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D24D3" w14:textId="77777777" w:rsidR="00042238" w:rsidRDefault="00042238" w:rsidP="004B632F">
      <w:r>
        <w:separator/>
      </w:r>
    </w:p>
  </w:footnote>
  <w:footnote w:type="continuationSeparator" w:id="0">
    <w:p w14:paraId="5975546A" w14:textId="77777777" w:rsidR="00042238" w:rsidRDefault="00042238" w:rsidP="004B63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E2CC6"/>
    <w:multiLevelType w:val="multilevel"/>
    <w:tmpl w:val="85243032"/>
    <w:lvl w:ilvl="0">
      <w:start w:val="1"/>
      <w:numFmt w:val="chineseCounting"/>
      <w:lvlRestart w:val="0"/>
      <w:pStyle w:val="1"/>
      <w:suff w:val="space"/>
      <w:lvlText w:val="第%1节"/>
      <w:lvlJc w:val="left"/>
      <w:pPr>
        <w:ind w:left="0" w:firstLine="0"/>
      </w:pPr>
      <w:rPr>
        <w:rFonts w:ascii="黑体" w:eastAsia="黑体" w:hAnsi="黑体" w:hint="eastAsia"/>
        <w:b w:val="0"/>
        <w:i w:val="0"/>
        <w:sz w:val="32"/>
      </w:rPr>
    </w:lvl>
    <w:lvl w:ilvl="1">
      <w:start w:val="1"/>
      <w:numFmt w:val="chineseCounting"/>
      <w:pStyle w:val="2"/>
      <w:suff w:val="nothing"/>
      <w:lvlText w:val="%2、"/>
      <w:lvlJc w:val="left"/>
      <w:pPr>
        <w:ind w:left="0" w:firstLine="0"/>
      </w:pPr>
      <w:rPr>
        <w:rFonts w:hint="default"/>
        <w:b w:val="0"/>
        <w:i w:val="0"/>
        <w:sz w:val="28"/>
      </w:rPr>
    </w:lvl>
    <w:lvl w:ilvl="2">
      <w:start w:val="1"/>
      <w:numFmt w:val="chineseCounting"/>
      <w:pStyle w:val="3"/>
      <w:suff w:val="nothing"/>
      <w:lvlText w:val="（%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0" w:firstLine="0"/>
      </w:pPr>
      <w:rPr>
        <w:rFonts w:ascii="Times New Roman" w:hAnsi="Times New Roman" w:cs="Times New Roman" w:hint="default"/>
        <w:b/>
        <w:i w:val="0"/>
        <w:sz w:val="24"/>
      </w:rPr>
    </w:lvl>
    <w:lvl w:ilvl="4">
      <w:start w:val="1"/>
      <w:numFmt w:val="decimal"/>
      <w:pStyle w:val="5"/>
      <w:suff w:val="nothing"/>
      <w:lvlText w:val="（%5）"/>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0" w:firstLine="0"/>
      </w:pPr>
      <w:rPr>
        <w:rFonts w:ascii="Times New Roman" w:hAnsi="Times New Roman" w:cs="Times New Roman" w:hint="default"/>
        <w:b w:val="0"/>
        <w:i w:val="0"/>
        <w:sz w:val="24"/>
        <w:u w:val="none"/>
        <w:em w:val="none"/>
      </w:rPr>
    </w:lvl>
    <w:lvl w:ilvl="6">
      <w:start w:val="1"/>
      <w:numFmt w:val="decimalEnclosedCircle"/>
      <w:pStyle w:val="7"/>
      <w:suff w:val="nothing"/>
      <w:lvlText w:val="%7"/>
      <w:lvlJc w:val="left"/>
      <w:pPr>
        <w:ind w:left="0" w:firstLine="0"/>
      </w:pPr>
      <w:rPr>
        <w:rFonts w:ascii="Times New Roman" w:hAnsi="Times New Roman" w:cs="Times New Roman" w:hint="default"/>
        <w:b w:val="0"/>
        <w:i w:val="0"/>
        <w:sz w:val="24"/>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98"/>
    <w:rsid w:val="00003434"/>
    <w:rsid w:val="0000479B"/>
    <w:rsid w:val="00021709"/>
    <w:rsid w:val="00025BD2"/>
    <w:rsid w:val="000271FB"/>
    <w:rsid w:val="00030C39"/>
    <w:rsid w:val="00042238"/>
    <w:rsid w:val="00070B80"/>
    <w:rsid w:val="00075A78"/>
    <w:rsid w:val="00076451"/>
    <w:rsid w:val="00083403"/>
    <w:rsid w:val="00085661"/>
    <w:rsid w:val="000856B9"/>
    <w:rsid w:val="00087628"/>
    <w:rsid w:val="00087737"/>
    <w:rsid w:val="00095B7F"/>
    <w:rsid w:val="00096B62"/>
    <w:rsid w:val="000A0706"/>
    <w:rsid w:val="000A3AFC"/>
    <w:rsid w:val="000A3CE1"/>
    <w:rsid w:val="000C0C58"/>
    <w:rsid w:val="000D6BA4"/>
    <w:rsid w:val="000D7E53"/>
    <w:rsid w:val="00110638"/>
    <w:rsid w:val="0011309B"/>
    <w:rsid w:val="00120E4B"/>
    <w:rsid w:val="001317F7"/>
    <w:rsid w:val="00134663"/>
    <w:rsid w:val="00140422"/>
    <w:rsid w:val="0014714B"/>
    <w:rsid w:val="00150FC7"/>
    <w:rsid w:val="0015118F"/>
    <w:rsid w:val="0015693F"/>
    <w:rsid w:val="0016455E"/>
    <w:rsid w:val="001743B2"/>
    <w:rsid w:val="00177071"/>
    <w:rsid w:val="001C2B1E"/>
    <w:rsid w:val="001D79B2"/>
    <w:rsid w:val="001E379F"/>
    <w:rsid w:val="001E422A"/>
    <w:rsid w:val="001E712E"/>
    <w:rsid w:val="001F02F2"/>
    <w:rsid w:val="001F126A"/>
    <w:rsid w:val="001F231E"/>
    <w:rsid w:val="001F6B1D"/>
    <w:rsid w:val="0021735D"/>
    <w:rsid w:val="00221BF8"/>
    <w:rsid w:val="0024721D"/>
    <w:rsid w:val="00252422"/>
    <w:rsid w:val="00255194"/>
    <w:rsid w:val="002558A6"/>
    <w:rsid w:val="00260465"/>
    <w:rsid w:val="00265FE5"/>
    <w:rsid w:val="00266183"/>
    <w:rsid w:val="0027024F"/>
    <w:rsid w:val="00272FDE"/>
    <w:rsid w:val="002773CD"/>
    <w:rsid w:val="00296E4C"/>
    <w:rsid w:val="002A2CB2"/>
    <w:rsid w:val="002D0DE2"/>
    <w:rsid w:val="002F6E55"/>
    <w:rsid w:val="00301862"/>
    <w:rsid w:val="0031037B"/>
    <w:rsid w:val="0031425B"/>
    <w:rsid w:val="0031688D"/>
    <w:rsid w:val="00340763"/>
    <w:rsid w:val="003567CA"/>
    <w:rsid w:val="00373257"/>
    <w:rsid w:val="00397D6F"/>
    <w:rsid w:val="003A05C0"/>
    <w:rsid w:val="003C1B28"/>
    <w:rsid w:val="003C1E07"/>
    <w:rsid w:val="003C6962"/>
    <w:rsid w:val="003C76B4"/>
    <w:rsid w:val="003D48C4"/>
    <w:rsid w:val="003E0B57"/>
    <w:rsid w:val="003E2E84"/>
    <w:rsid w:val="00423162"/>
    <w:rsid w:val="00426171"/>
    <w:rsid w:val="004266B0"/>
    <w:rsid w:val="00430062"/>
    <w:rsid w:val="00431BE9"/>
    <w:rsid w:val="00432D00"/>
    <w:rsid w:val="0043428B"/>
    <w:rsid w:val="00454151"/>
    <w:rsid w:val="00461CDF"/>
    <w:rsid w:val="0046460A"/>
    <w:rsid w:val="00464880"/>
    <w:rsid w:val="004654F6"/>
    <w:rsid w:val="00492C74"/>
    <w:rsid w:val="0049689D"/>
    <w:rsid w:val="004A09A3"/>
    <w:rsid w:val="004B1074"/>
    <w:rsid w:val="004B632F"/>
    <w:rsid w:val="004C0FC5"/>
    <w:rsid w:val="004E5592"/>
    <w:rsid w:val="004E5D95"/>
    <w:rsid w:val="004F066A"/>
    <w:rsid w:val="004F2300"/>
    <w:rsid w:val="004F790A"/>
    <w:rsid w:val="00510AEF"/>
    <w:rsid w:val="00515B68"/>
    <w:rsid w:val="00531DAB"/>
    <w:rsid w:val="00554F2E"/>
    <w:rsid w:val="00556977"/>
    <w:rsid w:val="005720E9"/>
    <w:rsid w:val="005824AB"/>
    <w:rsid w:val="0058386E"/>
    <w:rsid w:val="0059646C"/>
    <w:rsid w:val="005D2F41"/>
    <w:rsid w:val="005E2DE6"/>
    <w:rsid w:val="005E3CD6"/>
    <w:rsid w:val="005F6B15"/>
    <w:rsid w:val="006127DF"/>
    <w:rsid w:val="00612F97"/>
    <w:rsid w:val="00614719"/>
    <w:rsid w:val="00630214"/>
    <w:rsid w:val="00636DD8"/>
    <w:rsid w:val="00641A38"/>
    <w:rsid w:val="00656BC4"/>
    <w:rsid w:val="00667C0C"/>
    <w:rsid w:val="0067707D"/>
    <w:rsid w:val="006829D0"/>
    <w:rsid w:val="006A4A80"/>
    <w:rsid w:val="006B6478"/>
    <w:rsid w:val="006C2869"/>
    <w:rsid w:val="006C44A9"/>
    <w:rsid w:val="006D1B98"/>
    <w:rsid w:val="006D3333"/>
    <w:rsid w:val="006E09D3"/>
    <w:rsid w:val="006E0FFA"/>
    <w:rsid w:val="006E15DD"/>
    <w:rsid w:val="006E2726"/>
    <w:rsid w:val="006E2EC5"/>
    <w:rsid w:val="006E4C23"/>
    <w:rsid w:val="006E5BBD"/>
    <w:rsid w:val="006F1BF7"/>
    <w:rsid w:val="006F36E3"/>
    <w:rsid w:val="006F4E11"/>
    <w:rsid w:val="0070100F"/>
    <w:rsid w:val="00705379"/>
    <w:rsid w:val="00707CAB"/>
    <w:rsid w:val="00713C5D"/>
    <w:rsid w:val="00716062"/>
    <w:rsid w:val="00731AE1"/>
    <w:rsid w:val="00734BE6"/>
    <w:rsid w:val="00747D69"/>
    <w:rsid w:val="0076144B"/>
    <w:rsid w:val="007650DC"/>
    <w:rsid w:val="0077199A"/>
    <w:rsid w:val="0078197F"/>
    <w:rsid w:val="00790334"/>
    <w:rsid w:val="00797315"/>
    <w:rsid w:val="00797B03"/>
    <w:rsid w:val="007A0F2A"/>
    <w:rsid w:val="007A6175"/>
    <w:rsid w:val="007A68B5"/>
    <w:rsid w:val="007D5A99"/>
    <w:rsid w:val="007D7A31"/>
    <w:rsid w:val="007D7D0D"/>
    <w:rsid w:val="007E0C23"/>
    <w:rsid w:val="007E1548"/>
    <w:rsid w:val="007E7963"/>
    <w:rsid w:val="007F3296"/>
    <w:rsid w:val="007F6BF3"/>
    <w:rsid w:val="00804405"/>
    <w:rsid w:val="00806240"/>
    <w:rsid w:val="00806BDF"/>
    <w:rsid w:val="008115AD"/>
    <w:rsid w:val="00821182"/>
    <w:rsid w:val="008308A2"/>
    <w:rsid w:val="0083413E"/>
    <w:rsid w:val="008353D9"/>
    <w:rsid w:val="00847DDF"/>
    <w:rsid w:val="0086337B"/>
    <w:rsid w:val="0087569A"/>
    <w:rsid w:val="0088215C"/>
    <w:rsid w:val="008824F3"/>
    <w:rsid w:val="00882ACE"/>
    <w:rsid w:val="00891710"/>
    <w:rsid w:val="008A48C2"/>
    <w:rsid w:val="008B7115"/>
    <w:rsid w:val="008E4294"/>
    <w:rsid w:val="008E4458"/>
    <w:rsid w:val="008F6ACE"/>
    <w:rsid w:val="00915F50"/>
    <w:rsid w:val="009164B6"/>
    <w:rsid w:val="00925C66"/>
    <w:rsid w:val="00934D41"/>
    <w:rsid w:val="0094300F"/>
    <w:rsid w:val="00953411"/>
    <w:rsid w:val="009563DD"/>
    <w:rsid w:val="0095705B"/>
    <w:rsid w:val="00962CE8"/>
    <w:rsid w:val="00981339"/>
    <w:rsid w:val="00981817"/>
    <w:rsid w:val="00982EE5"/>
    <w:rsid w:val="00987CBC"/>
    <w:rsid w:val="009A0B92"/>
    <w:rsid w:val="009A6CBA"/>
    <w:rsid w:val="009B248C"/>
    <w:rsid w:val="009C0202"/>
    <w:rsid w:val="009D1834"/>
    <w:rsid w:val="009E33F5"/>
    <w:rsid w:val="009F544D"/>
    <w:rsid w:val="00A0229E"/>
    <w:rsid w:val="00A10F3E"/>
    <w:rsid w:val="00A21B70"/>
    <w:rsid w:val="00A3142C"/>
    <w:rsid w:val="00A36504"/>
    <w:rsid w:val="00A37C20"/>
    <w:rsid w:val="00A42013"/>
    <w:rsid w:val="00A4628B"/>
    <w:rsid w:val="00A70063"/>
    <w:rsid w:val="00A730E8"/>
    <w:rsid w:val="00A73D06"/>
    <w:rsid w:val="00A81E75"/>
    <w:rsid w:val="00A83CDA"/>
    <w:rsid w:val="00A855E1"/>
    <w:rsid w:val="00A972E3"/>
    <w:rsid w:val="00AA045D"/>
    <w:rsid w:val="00AA247E"/>
    <w:rsid w:val="00AA47C9"/>
    <w:rsid w:val="00AA56C9"/>
    <w:rsid w:val="00AB638A"/>
    <w:rsid w:val="00AC7233"/>
    <w:rsid w:val="00AD0821"/>
    <w:rsid w:val="00AD19B1"/>
    <w:rsid w:val="00AF2045"/>
    <w:rsid w:val="00AF5750"/>
    <w:rsid w:val="00B04930"/>
    <w:rsid w:val="00B05F0A"/>
    <w:rsid w:val="00B10AE7"/>
    <w:rsid w:val="00B118D1"/>
    <w:rsid w:val="00B16710"/>
    <w:rsid w:val="00B208CB"/>
    <w:rsid w:val="00B2508A"/>
    <w:rsid w:val="00B354C9"/>
    <w:rsid w:val="00B45C73"/>
    <w:rsid w:val="00B46CC7"/>
    <w:rsid w:val="00B52832"/>
    <w:rsid w:val="00B654E9"/>
    <w:rsid w:val="00B7289F"/>
    <w:rsid w:val="00B847F1"/>
    <w:rsid w:val="00B8491C"/>
    <w:rsid w:val="00B92D39"/>
    <w:rsid w:val="00B940D4"/>
    <w:rsid w:val="00BA65E3"/>
    <w:rsid w:val="00BA6717"/>
    <w:rsid w:val="00BC01E3"/>
    <w:rsid w:val="00BF3503"/>
    <w:rsid w:val="00BF3D1D"/>
    <w:rsid w:val="00C10B68"/>
    <w:rsid w:val="00C11092"/>
    <w:rsid w:val="00C1198B"/>
    <w:rsid w:val="00C13D04"/>
    <w:rsid w:val="00C165E0"/>
    <w:rsid w:val="00C21F5E"/>
    <w:rsid w:val="00C23EAB"/>
    <w:rsid w:val="00C24110"/>
    <w:rsid w:val="00C27260"/>
    <w:rsid w:val="00C33045"/>
    <w:rsid w:val="00C366BF"/>
    <w:rsid w:val="00C51E6E"/>
    <w:rsid w:val="00C606BA"/>
    <w:rsid w:val="00C71181"/>
    <w:rsid w:val="00C80CA7"/>
    <w:rsid w:val="00C818E7"/>
    <w:rsid w:val="00C97EBD"/>
    <w:rsid w:val="00CA20C2"/>
    <w:rsid w:val="00CA6177"/>
    <w:rsid w:val="00CC49A5"/>
    <w:rsid w:val="00CC52FA"/>
    <w:rsid w:val="00CC730E"/>
    <w:rsid w:val="00D0340A"/>
    <w:rsid w:val="00D03D97"/>
    <w:rsid w:val="00D24908"/>
    <w:rsid w:val="00D27017"/>
    <w:rsid w:val="00D4137D"/>
    <w:rsid w:val="00D443EC"/>
    <w:rsid w:val="00D66B8F"/>
    <w:rsid w:val="00D94009"/>
    <w:rsid w:val="00D96BA1"/>
    <w:rsid w:val="00DA0CEA"/>
    <w:rsid w:val="00DA570B"/>
    <w:rsid w:val="00DB1D47"/>
    <w:rsid w:val="00DC15A5"/>
    <w:rsid w:val="00DC5D00"/>
    <w:rsid w:val="00DD4492"/>
    <w:rsid w:val="00DD6A02"/>
    <w:rsid w:val="00DF1173"/>
    <w:rsid w:val="00E01497"/>
    <w:rsid w:val="00E062C2"/>
    <w:rsid w:val="00E12D0E"/>
    <w:rsid w:val="00E13074"/>
    <w:rsid w:val="00E24A27"/>
    <w:rsid w:val="00E25EEC"/>
    <w:rsid w:val="00E322F1"/>
    <w:rsid w:val="00E3283D"/>
    <w:rsid w:val="00E50FBF"/>
    <w:rsid w:val="00E52FBF"/>
    <w:rsid w:val="00E57AC6"/>
    <w:rsid w:val="00E65431"/>
    <w:rsid w:val="00E71E83"/>
    <w:rsid w:val="00E80272"/>
    <w:rsid w:val="00E9557C"/>
    <w:rsid w:val="00E95919"/>
    <w:rsid w:val="00EA14F1"/>
    <w:rsid w:val="00EA2951"/>
    <w:rsid w:val="00EA6E6D"/>
    <w:rsid w:val="00EB0940"/>
    <w:rsid w:val="00EE0117"/>
    <w:rsid w:val="00EE206A"/>
    <w:rsid w:val="00EE7B8F"/>
    <w:rsid w:val="00F03CE5"/>
    <w:rsid w:val="00F05EF2"/>
    <w:rsid w:val="00F1074D"/>
    <w:rsid w:val="00F12D66"/>
    <w:rsid w:val="00F1454F"/>
    <w:rsid w:val="00F149CC"/>
    <w:rsid w:val="00F22152"/>
    <w:rsid w:val="00F41F0B"/>
    <w:rsid w:val="00F612C7"/>
    <w:rsid w:val="00F617FF"/>
    <w:rsid w:val="00F63A29"/>
    <w:rsid w:val="00F63CBB"/>
    <w:rsid w:val="00F66A72"/>
    <w:rsid w:val="00F67FC0"/>
    <w:rsid w:val="00F831A4"/>
    <w:rsid w:val="00FA2255"/>
    <w:rsid w:val="00FA237D"/>
    <w:rsid w:val="00FA36D7"/>
    <w:rsid w:val="00FB2712"/>
    <w:rsid w:val="00FC35D2"/>
    <w:rsid w:val="00FC67B4"/>
    <w:rsid w:val="00FD45A4"/>
    <w:rsid w:val="00FD666B"/>
    <w:rsid w:val="00FE3A01"/>
    <w:rsid w:val="00FE746D"/>
    <w:rsid w:val="00FF1C46"/>
    <w:rsid w:val="00FF3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54868"/>
  <w15:chartTrackingRefBased/>
  <w15:docId w15:val="{3B00639E-E7BF-4518-B77A-5C5B1ABA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4"/>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83D"/>
    <w:pPr>
      <w:widowControl w:val="0"/>
      <w:jc w:val="both"/>
    </w:pPr>
  </w:style>
  <w:style w:type="paragraph" w:styleId="1">
    <w:name w:val="heading 1"/>
    <w:next w:val="a0"/>
    <w:link w:val="10"/>
    <w:autoRedefine/>
    <w:uiPriority w:val="1"/>
    <w:qFormat/>
    <w:rsid w:val="00630214"/>
    <w:pPr>
      <w:keepNext/>
      <w:keepLines/>
      <w:pageBreakBefore/>
      <w:numPr>
        <w:numId w:val="15"/>
      </w:numPr>
      <w:spacing w:beforeLines="50" w:before="50" w:afterLines="50" w:after="50" w:line="360" w:lineRule="auto"/>
      <w:jc w:val="center"/>
      <w:outlineLvl w:val="0"/>
    </w:pPr>
    <w:rPr>
      <w:rFonts w:eastAsia="黑体" w:cs="Times New Roman"/>
      <w:bCs/>
      <w:kern w:val="0"/>
      <w:sz w:val="32"/>
      <w:szCs w:val="44"/>
    </w:rPr>
  </w:style>
  <w:style w:type="paragraph" w:styleId="2">
    <w:name w:val="heading 2"/>
    <w:next w:val="a0"/>
    <w:link w:val="20"/>
    <w:autoRedefine/>
    <w:uiPriority w:val="1"/>
    <w:qFormat/>
    <w:rsid w:val="00630214"/>
    <w:pPr>
      <w:keepNext/>
      <w:keepLines/>
      <w:numPr>
        <w:ilvl w:val="1"/>
        <w:numId w:val="15"/>
      </w:numPr>
      <w:spacing w:beforeLines="50" w:before="50" w:afterLines="50" w:line="360" w:lineRule="auto"/>
      <w:jc w:val="both"/>
      <w:outlineLvl w:val="1"/>
    </w:pPr>
    <w:rPr>
      <w:rFonts w:eastAsia="黑体" w:cs="Times New Roman"/>
      <w:bCs/>
      <w:sz w:val="28"/>
      <w:szCs w:val="32"/>
    </w:rPr>
  </w:style>
  <w:style w:type="paragraph" w:styleId="3">
    <w:name w:val="heading 3"/>
    <w:next w:val="a0"/>
    <w:link w:val="30"/>
    <w:autoRedefine/>
    <w:uiPriority w:val="1"/>
    <w:qFormat/>
    <w:rsid w:val="00630214"/>
    <w:pPr>
      <w:keepNext/>
      <w:keepLines/>
      <w:numPr>
        <w:ilvl w:val="2"/>
        <w:numId w:val="15"/>
      </w:numPr>
      <w:spacing w:beforeLines="50" w:before="50" w:afterLines="50" w:line="360" w:lineRule="auto"/>
      <w:jc w:val="both"/>
      <w:outlineLvl w:val="2"/>
    </w:pPr>
    <w:rPr>
      <w:rFonts w:eastAsia="黑体" w:cs="Times New Roman"/>
      <w:bCs/>
      <w:color w:val="000000"/>
      <w:kern w:val="0"/>
      <w:szCs w:val="24"/>
      <w:lang w:eastAsia="ar-SA"/>
    </w:rPr>
  </w:style>
  <w:style w:type="paragraph" w:styleId="4">
    <w:name w:val="heading 4"/>
    <w:next w:val="a0"/>
    <w:link w:val="40"/>
    <w:autoRedefine/>
    <w:uiPriority w:val="1"/>
    <w:qFormat/>
    <w:rsid w:val="00630214"/>
    <w:pPr>
      <w:keepNext/>
      <w:keepLines/>
      <w:numPr>
        <w:ilvl w:val="3"/>
        <w:numId w:val="15"/>
      </w:numPr>
      <w:spacing w:beforeLines="50" w:before="50" w:afterLines="50" w:after="50" w:line="360" w:lineRule="auto"/>
      <w:jc w:val="both"/>
      <w:outlineLvl w:val="3"/>
    </w:pPr>
    <w:rPr>
      <w:rFonts w:cs="Times New Roman"/>
      <w:b/>
      <w:bCs/>
      <w:szCs w:val="28"/>
    </w:rPr>
  </w:style>
  <w:style w:type="paragraph" w:styleId="5">
    <w:name w:val="heading 5"/>
    <w:next w:val="a0"/>
    <w:link w:val="50"/>
    <w:autoRedefine/>
    <w:uiPriority w:val="1"/>
    <w:qFormat/>
    <w:rsid w:val="00630214"/>
    <w:pPr>
      <w:keepNext/>
      <w:keepLines/>
      <w:numPr>
        <w:ilvl w:val="4"/>
        <w:numId w:val="14"/>
      </w:numPr>
      <w:spacing w:beforeLines="50" w:before="50" w:afterLines="50" w:after="50" w:line="360" w:lineRule="auto"/>
      <w:ind w:firstLine="482"/>
      <w:outlineLvl w:val="4"/>
    </w:pPr>
    <w:rPr>
      <w:rFonts w:cs="Times New Roman"/>
      <w:bCs/>
      <w:szCs w:val="28"/>
    </w:rPr>
  </w:style>
  <w:style w:type="paragraph" w:styleId="6">
    <w:name w:val="heading 6"/>
    <w:next w:val="a0"/>
    <w:link w:val="60"/>
    <w:autoRedefine/>
    <w:uiPriority w:val="1"/>
    <w:qFormat/>
    <w:rsid w:val="00630214"/>
    <w:pPr>
      <w:numPr>
        <w:ilvl w:val="5"/>
        <w:numId w:val="15"/>
      </w:numPr>
      <w:spacing w:beforeLines="50" w:before="50" w:afterLines="50" w:after="50" w:line="360" w:lineRule="auto"/>
      <w:jc w:val="both"/>
      <w:outlineLvl w:val="5"/>
    </w:pPr>
    <w:rPr>
      <w:rFonts w:cs="Times New Roman"/>
      <w:bCs/>
      <w:szCs w:val="24"/>
    </w:rPr>
  </w:style>
  <w:style w:type="paragraph" w:styleId="7">
    <w:name w:val="heading 7"/>
    <w:next w:val="a0"/>
    <w:link w:val="70"/>
    <w:autoRedefine/>
    <w:uiPriority w:val="2"/>
    <w:unhideWhenUsed/>
    <w:qFormat/>
    <w:rsid w:val="00630214"/>
    <w:pPr>
      <w:keepNext/>
      <w:keepLines/>
      <w:numPr>
        <w:ilvl w:val="6"/>
        <w:numId w:val="15"/>
      </w:numPr>
      <w:spacing w:beforeLines="50" w:before="50" w:afterLines="50" w:after="50" w:line="360" w:lineRule="auto"/>
      <w:outlineLvl w:val="6"/>
    </w:pPr>
    <w:rPr>
      <w:rFonts w:cs="Times New Roman"/>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1"/>
    <w:rsid w:val="009D1834"/>
    <w:rPr>
      <w:rFonts w:ascii="Times New Roman" w:eastAsia="黑体" w:hAnsi="Times New Roman" w:cs="Times New Roman"/>
      <w:bCs/>
      <w:kern w:val="0"/>
      <w:sz w:val="32"/>
      <w:szCs w:val="44"/>
    </w:rPr>
  </w:style>
  <w:style w:type="paragraph" w:styleId="a0">
    <w:name w:val="Normal Indent"/>
    <w:autoRedefine/>
    <w:qFormat/>
    <w:rsid w:val="00003434"/>
    <w:pPr>
      <w:spacing w:beforeLines="50" w:before="50" w:line="360" w:lineRule="auto"/>
      <w:ind w:firstLineChars="200" w:firstLine="200"/>
      <w:jc w:val="both"/>
    </w:pPr>
    <w:rPr>
      <w:rFonts w:cs="Times New Roman"/>
      <w:szCs w:val="23"/>
    </w:rPr>
  </w:style>
  <w:style w:type="character" w:customStyle="1" w:styleId="20">
    <w:name w:val="标题 2 字符"/>
    <w:basedOn w:val="a1"/>
    <w:link w:val="2"/>
    <w:uiPriority w:val="1"/>
    <w:rsid w:val="009D1834"/>
    <w:rPr>
      <w:rFonts w:ascii="Times New Roman" w:eastAsia="黑体" w:hAnsi="Times New Roman" w:cs="Times New Roman"/>
      <w:bCs/>
      <w:sz w:val="28"/>
      <w:szCs w:val="32"/>
    </w:rPr>
  </w:style>
  <w:style w:type="character" w:customStyle="1" w:styleId="30">
    <w:name w:val="标题 3 字符"/>
    <w:basedOn w:val="a1"/>
    <w:link w:val="3"/>
    <w:uiPriority w:val="1"/>
    <w:rsid w:val="009D1834"/>
    <w:rPr>
      <w:rFonts w:ascii="Times New Roman" w:eastAsia="黑体" w:hAnsi="Times New Roman" w:cs="Times New Roman"/>
      <w:bCs/>
      <w:color w:val="000000"/>
      <w:kern w:val="0"/>
      <w:sz w:val="24"/>
      <w:szCs w:val="24"/>
      <w:lang w:eastAsia="ar-SA"/>
    </w:rPr>
  </w:style>
  <w:style w:type="character" w:customStyle="1" w:styleId="40">
    <w:name w:val="标题 4 字符"/>
    <w:basedOn w:val="a1"/>
    <w:link w:val="4"/>
    <w:uiPriority w:val="1"/>
    <w:rsid w:val="00340763"/>
    <w:rPr>
      <w:rFonts w:ascii="Times New Roman" w:eastAsia="宋体" w:hAnsi="Times New Roman" w:cs="Times New Roman"/>
      <w:b/>
      <w:bCs/>
      <w:sz w:val="24"/>
      <w:szCs w:val="28"/>
    </w:rPr>
  </w:style>
  <w:style w:type="character" w:customStyle="1" w:styleId="50">
    <w:name w:val="标题 5 字符"/>
    <w:basedOn w:val="a1"/>
    <w:link w:val="5"/>
    <w:uiPriority w:val="1"/>
    <w:rsid w:val="00630214"/>
    <w:rPr>
      <w:rFonts w:ascii="Times New Roman" w:eastAsia="宋体" w:hAnsi="Times New Roman" w:cs="Times New Roman"/>
      <w:bCs/>
      <w:sz w:val="24"/>
      <w:szCs w:val="28"/>
    </w:rPr>
  </w:style>
  <w:style w:type="character" w:customStyle="1" w:styleId="60">
    <w:name w:val="标题 6 字符"/>
    <w:basedOn w:val="a1"/>
    <w:link w:val="6"/>
    <w:uiPriority w:val="1"/>
    <w:rsid w:val="009E33F5"/>
    <w:rPr>
      <w:rFonts w:ascii="Times New Roman" w:eastAsia="宋体" w:hAnsi="Times New Roman" w:cs="Times New Roman"/>
      <w:bCs/>
      <w:sz w:val="24"/>
      <w:szCs w:val="24"/>
    </w:rPr>
  </w:style>
  <w:style w:type="character" w:customStyle="1" w:styleId="70">
    <w:name w:val="标题 7 字符"/>
    <w:basedOn w:val="a1"/>
    <w:link w:val="7"/>
    <w:uiPriority w:val="2"/>
    <w:rsid w:val="009D1834"/>
    <w:rPr>
      <w:rFonts w:ascii="Times New Roman" w:eastAsia="宋体" w:hAnsi="Times New Roman" w:cs="Times New Roman"/>
      <w:bCs/>
      <w:sz w:val="24"/>
      <w:szCs w:val="24"/>
    </w:rPr>
  </w:style>
  <w:style w:type="paragraph" w:customStyle="1" w:styleId="a4">
    <w:name w:val="表格后说明"/>
    <w:next w:val="a0"/>
    <w:autoRedefine/>
    <w:uiPriority w:val="3"/>
    <w:qFormat/>
    <w:rsid w:val="00F03CE5"/>
    <w:pPr>
      <w:jc w:val="both"/>
    </w:pPr>
    <w:rPr>
      <w:rFonts w:cs="Times New Roman"/>
      <w:szCs w:val="24"/>
    </w:rPr>
  </w:style>
  <w:style w:type="paragraph" w:customStyle="1" w:styleId="a5">
    <w:name w:val="表格前单位"/>
    <w:next w:val="a0"/>
    <w:autoRedefine/>
    <w:uiPriority w:val="2"/>
    <w:qFormat/>
    <w:rsid w:val="00F03CE5"/>
    <w:pPr>
      <w:keepNext/>
      <w:jc w:val="right"/>
    </w:pPr>
    <w:rPr>
      <w:rFonts w:cs="Times New Roman"/>
      <w:szCs w:val="24"/>
    </w:rPr>
  </w:style>
  <w:style w:type="table" w:customStyle="1" w:styleId="a6">
    <w:name w:val="报告表格"/>
    <w:basedOn w:val="a2"/>
    <w:uiPriority w:val="99"/>
    <w:rsid w:val="00F22152"/>
    <w:rPr>
      <w:sz w:val="18"/>
    </w:rPr>
    <w:tblPr/>
  </w:style>
  <w:style w:type="paragraph" w:styleId="TOC">
    <w:name w:val="TOC Heading"/>
    <w:basedOn w:val="1"/>
    <w:next w:val="a"/>
    <w:uiPriority w:val="39"/>
    <w:unhideWhenUsed/>
    <w:qFormat/>
    <w:rsid w:val="00EE0117"/>
    <w:pPr>
      <w:pageBreakBefore w:val="0"/>
      <w:numPr>
        <w:numId w:val="0"/>
      </w:numPr>
      <w:snapToGrid w:val="0"/>
      <w:spacing w:beforeLines="0" w:before="240" w:afterLines="0" w:after="0" w:line="259" w:lineRule="auto"/>
      <w:outlineLvl w:val="9"/>
    </w:pPr>
    <w:rPr>
      <w:bCs w:val="0"/>
      <w:szCs w:val="32"/>
    </w:rPr>
  </w:style>
  <w:style w:type="paragraph" w:styleId="11">
    <w:name w:val="toc 1"/>
    <w:basedOn w:val="a"/>
    <w:next w:val="a"/>
    <w:autoRedefine/>
    <w:uiPriority w:val="39"/>
    <w:unhideWhenUsed/>
    <w:rsid w:val="00EE0117"/>
    <w:rPr>
      <w:rFonts w:eastAsia="黑体"/>
    </w:rPr>
  </w:style>
  <w:style w:type="paragraph" w:styleId="21">
    <w:name w:val="toc 2"/>
    <w:basedOn w:val="a"/>
    <w:next w:val="a"/>
    <w:autoRedefine/>
    <w:uiPriority w:val="39"/>
    <w:unhideWhenUsed/>
    <w:rsid w:val="00EE0117"/>
    <w:pPr>
      <w:ind w:leftChars="200" w:left="420"/>
    </w:pPr>
    <w:rPr>
      <w:rFonts w:eastAsia="黑体"/>
    </w:rPr>
  </w:style>
  <w:style w:type="paragraph" w:styleId="31">
    <w:name w:val="toc 3"/>
    <w:basedOn w:val="a"/>
    <w:next w:val="a"/>
    <w:autoRedefine/>
    <w:uiPriority w:val="39"/>
    <w:unhideWhenUsed/>
    <w:rsid w:val="00EE0117"/>
    <w:pPr>
      <w:ind w:leftChars="400" w:left="840"/>
    </w:pPr>
    <w:rPr>
      <w:rFonts w:eastAsia="黑体"/>
    </w:rPr>
  </w:style>
  <w:style w:type="table" w:styleId="a7">
    <w:name w:val="Table Grid"/>
    <w:basedOn w:val="a2"/>
    <w:uiPriority w:val="39"/>
    <w:rsid w:val="00641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B632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rsid w:val="004B632F"/>
    <w:rPr>
      <w:sz w:val="18"/>
      <w:szCs w:val="18"/>
    </w:rPr>
  </w:style>
  <w:style w:type="paragraph" w:styleId="aa">
    <w:name w:val="footer"/>
    <w:basedOn w:val="a"/>
    <w:link w:val="ab"/>
    <w:uiPriority w:val="99"/>
    <w:unhideWhenUsed/>
    <w:rsid w:val="004B632F"/>
    <w:pPr>
      <w:tabs>
        <w:tab w:val="center" w:pos="4153"/>
        <w:tab w:val="right" w:pos="8306"/>
      </w:tabs>
      <w:snapToGrid w:val="0"/>
      <w:jc w:val="left"/>
    </w:pPr>
    <w:rPr>
      <w:sz w:val="18"/>
      <w:szCs w:val="18"/>
    </w:rPr>
  </w:style>
  <w:style w:type="character" w:customStyle="1" w:styleId="ab">
    <w:name w:val="页脚 字符"/>
    <w:basedOn w:val="a1"/>
    <w:link w:val="aa"/>
    <w:uiPriority w:val="99"/>
    <w:rsid w:val="004B632F"/>
    <w:rPr>
      <w:sz w:val="18"/>
      <w:szCs w:val="18"/>
    </w:rPr>
  </w:style>
  <w:style w:type="character" w:styleId="ac">
    <w:name w:val="annotation reference"/>
    <w:basedOn w:val="a1"/>
    <w:uiPriority w:val="99"/>
    <w:semiHidden/>
    <w:unhideWhenUsed/>
    <w:rsid w:val="00731AE1"/>
    <w:rPr>
      <w:sz w:val="21"/>
      <w:szCs w:val="21"/>
    </w:rPr>
  </w:style>
  <w:style w:type="paragraph" w:styleId="ad">
    <w:name w:val="annotation text"/>
    <w:basedOn w:val="a"/>
    <w:link w:val="ae"/>
    <w:uiPriority w:val="99"/>
    <w:semiHidden/>
    <w:unhideWhenUsed/>
    <w:rsid w:val="00731AE1"/>
    <w:pPr>
      <w:jc w:val="left"/>
    </w:pPr>
  </w:style>
  <w:style w:type="character" w:customStyle="1" w:styleId="ae">
    <w:name w:val="批注文字 字符"/>
    <w:basedOn w:val="a1"/>
    <w:link w:val="ad"/>
    <w:uiPriority w:val="99"/>
    <w:semiHidden/>
    <w:rsid w:val="00731AE1"/>
  </w:style>
  <w:style w:type="paragraph" w:styleId="af">
    <w:name w:val="annotation subject"/>
    <w:basedOn w:val="ad"/>
    <w:next w:val="ad"/>
    <w:link w:val="af0"/>
    <w:uiPriority w:val="99"/>
    <w:semiHidden/>
    <w:unhideWhenUsed/>
    <w:rsid w:val="00731AE1"/>
    <w:rPr>
      <w:b/>
      <w:bCs/>
    </w:rPr>
  </w:style>
  <w:style w:type="character" w:customStyle="1" w:styleId="af0">
    <w:name w:val="批注主题 字符"/>
    <w:basedOn w:val="ae"/>
    <w:link w:val="af"/>
    <w:uiPriority w:val="99"/>
    <w:semiHidden/>
    <w:rsid w:val="00731AE1"/>
    <w:rPr>
      <w:b/>
      <w:bCs/>
    </w:rPr>
  </w:style>
  <w:style w:type="paragraph" w:styleId="af1">
    <w:name w:val="Balloon Text"/>
    <w:basedOn w:val="a"/>
    <w:link w:val="af2"/>
    <w:uiPriority w:val="99"/>
    <w:semiHidden/>
    <w:unhideWhenUsed/>
    <w:rsid w:val="00731AE1"/>
    <w:rPr>
      <w:sz w:val="18"/>
      <w:szCs w:val="18"/>
    </w:rPr>
  </w:style>
  <w:style w:type="character" w:customStyle="1" w:styleId="af2">
    <w:name w:val="批注框文本 字符"/>
    <w:basedOn w:val="a1"/>
    <w:link w:val="af1"/>
    <w:uiPriority w:val="99"/>
    <w:semiHidden/>
    <w:rsid w:val="00731AE1"/>
    <w:rPr>
      <w:sz w:val="18"/>
      <w:szCs w:val="18"/>
    </w:rPr>
  </w:style>
  <w:style w:type="paragraph" w:styleId="af3">
    <w:name w:val="List Paragraph"/>
    <w:basedOn w:val="a"/>
    <w:uiPriority w:val="34"/>
    <w:qFormat/>
    <w:rsid w:val="006829D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700360">
      <w:bodyDiv w:val="1"/>
      <w:marLeft w:val="0"/>
      <w:marRight w:val="0"/>
      <w:marTop w:val="0"/>
      <w:marBottom w:val="0"/>
      <w:divBdr>
        <w:top w:val="none" w:sz="0" w:space="0" w:color="auto"/>
        <w:left w:val="none" w:sz="0" w:space="0" w:color="auto"/>
        <w:bottom w:val="none" w:sz="0" w:space="0" w:color="auto"/>
        <w:right w:val="none" w:sz="0" w:space="0" w:color="auto"/>
      </w:divBdr>
    </w:div>
    <w:div w:id="1890217352">
      <w:bodyDiv w:val="1"/>
      <w:marLeft w:val="0"/>
      <w:marRight w:val="0"/>
      <w:marTop w:val="0"/>
      <w:marBottom w:val="0"/>
      <w:divBdr>
        <w:top w:val="none" w:sz="0" w:space="0" w:color="auto"/>
        <w:left w:val="none" w:sz="0" w:space="0" w:color="auto"/>
        <w:bottom w:val="none" w:sz="0" w:space="0" w:color="auto"/>
        <w:right w:val="none" w:sz="0" w:space="0" w:color="auto"/>
      </w:divBdr>
    </w:div>
    <w:div w:id="204520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孙奕然</dc:creator>
  <cp:keywords/>
  <dc:description/>
  <cp:lastModifiedBy>Chris</cp:lastModifiedBy>
  <cp:revision>198</cp:revision>
  <dcterms:created xsi:type="dcterms:W3CDTF">2025-04-03T06:51:00Z</dcterms:created>
  <dcterms:modified xsi:type="dcterms:W3CDTF">2025-08-13T10:01:00Z</dcterms:modified>
</cp:coreProperties>
</file>