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FCB70" w14:textId="35599ED9" w:rsidR="00D4636F" w:rsidRPr="00B666AD" w:rsidRDefault="00ED009B">
      <w:pPr>
        <w:spacing w:line="360" w:lineRule="auto"/>
        <w:rPr>
          <w:rFonts w:ascii="楷体" w:eastAsia="楷体" w:hAnsi="楷体"/>
          <w:sz w:val="24"/>
          <w:szCs w:val="24"/>
        </w:rPr>
      </w:pPr>
      <w:r w:rsidRPr="00B666AD">
        <w:rPr>
          <w:rFonts w:ascii="楷体" w:eastAsia="楷体" w:hAnsi="楷体" w:hint="eastAsia"/>
          <w:sz w:val="24"/>
          <w:szCs w:val="24"/>
        </w:rPr>
        <w:t>证券代码：6</w:t>
      </w:r>
      <w:r w:rsidRPr="00B666AD">
        <w:rPr>
          <w:rFonts w:ascii="楷体" w:eastAsia="楷体" w:hAnsi="楷体"/>
          <w:sz w:val="24"/>
          <w:szCs w:val="24"/>
        </w:rPr>
        <w:t xml:space="preserve">88269                                 </w:t>
      </w:r>
      <w:r w:rsidR="001835A4">
        <w:rPr>
          <w:rFonts w:ascii="楷体" w:eastAsia="楷体" w:hAnsi="楷体"/>
          <w:sz w:val="24"/>
          <w:szCs w:val="24"/>
        </w:rPr>
        <w:t xml:space="preserve"> </w:t>
      </w:r>
      <w:r w:rsidRPr="00B666AD">
        <w:rPr>
          <w:rFonts w:ascii="楷体" w:eastAsia="楷体" w:hAnsi="楷体"/>
          <w:sz w:val="24"/>
          <w:szCs w:val="24"/>
        </w:rPr>
        <w:t xml:space="preserve"> </w:t>
      </w:r>
      <w:r w:rsidRPr="00B666AD">
        <w:rPr>
          <w:rFonts w:ascii="楷体" w:eastAsia="楷体" w:hAnsi="楷体" w:hint="eastAsia"/>
          <w:sz w:val="24"/>
          <w:szCs w:val="24"/>
        </w:rPr>
        <w:t>证券简称：</w:t>
      </w:r>
      <w:proofErr w:type="gramStart"/>
      <w:r w:rsidRPr="00B666AD">
        <w:rPr>
          <w:rFonts w:ascii="楷体" w:eastAsia="楷体" w:hAnsi="楷体" w:hint="eastAsia"/>
          <w:sz w:val="24"/>
          <w:szCs w:val="24"/>
        </w:rPr>
        <w:t>凯</w:t>
      </w:r>
      <w:proofErr w:type="gramEnd"/>
      <w:r w:rsidRPr="00B666AD">
        <w:rPr>
          <w:rFonts w:ascii="楷体" w:eastAsia="楷体" w:hAnsi="楷体" w:hint="eastAsia"/>
          <w:sz w:val="24"/>
          <w:szCs w:val="24"/>
        </w:rPr>
        <w:t>立新材</w:t>
      </w:r>
    </w:p>
    <w:p w14:paraId="1C0C73F6" w14:textId="77777777" w:rsidR="00D4636F" w:rsidRPr="00B666AD" w:rsidRDefault="00D4636F">
      <w:pPr>
        <w:spacing w:line="360" w:lineRule="auto"/>
        <w:jc w:val="center"/>
        <w:rPr>
          <w:rFonts w:ascii="楷体" w:eastAsia="楷体" w:hAnsi="楷体" w:cs="宋体"/>
          <w:b/>
          <w:bCs/>
          <w:sz w:val="24"/>
          <w:szCs w:val="24"/>
        </w:rPr>
      </w:pPr>
    </w:p>
    <w:p w14:paraId="24C969E7" w14:textId="77777777" w:rsidR="00D4636F" w:rsidRPr="00B666AD" w:rsidRDefault="00ED009B">
      <w:pPr>
        <w:spacing w:line="360" w:lineRule="auto"/>
        <w:jc w:val="center"/>
        <w:rPr>
          <w:rFonts w:ascii="楷体" w:eastAsia="楷体" w:hAnsi="楷体" w:cs="宋体"/>
          <w:b/>
          <w:sz w:val="24"/>
          <w:szCs w:val="24"/>
        </w:rPr>
      </w:pPr>
      <w:r w:rsidRPr="00B666AD">
        <w:rPr>
          <w:rFonts w:ascii="楷体" w:eastAsia="楷体" w:hAnsi="楷体" w:cs="宋体" w:hint="eastAsia"/>
          <w:b/>
          <w:bCs/>
          <w:sz w:val="24"/>
          <w:szCs w:val="24"/>
        </w:rPr>
        <w:t>西安凯立新材料股份有限公司投资者关系活动记录表</w:t>
      </w:r>
    </w:p>
    <w:p w14:paraId="5DF08BF9" w14:textId="77777777" w:rsidR="00D4636F" w:rsidRPr="00B666AD" w:rsidRDefault="00D4636F">
      <w:pPr>
        <w:spacing w:before="51" w:after="32" w:line="360" w:lineRule="auto"/>
        <w:ind w:right="1739"/>
        <w:jc w:val="right"/>
        <w:rPr>
          <w:rFonts w:ascii="楷体" w:eastAsia="楷体" w:hAnsi="楷体" w:cs="宋体"/>
          <w:sz w:val="21"/>
          <w:szCs w:val="21"/>
        </w:rPr>
      </w:pPr>
    </w:p>
    <w:tbl>
      <w:tblPr>
        <w:tblW w:w="10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55"/>
        <w:gridCol w:w="1134"/>
        <w:gridCol w:w="3118"/>
        <w:gridCol w:w="1701"/>
        <w:gridCol w:w="3119"/>
      </w:tblGrid>
      <w:tr w:rsidR="00D4636F" w:rsidRPr="00B666AD" w14:paraId="2D22DEFD" w14:textId="77777777" w:rsidTr="00C92825">
        <w:trPr>
          <w:trHeight w:val="2801"/>
          <w:jc w:val="center"/>
        </w:trPr>
        <w:tc>
          <w:tcPr>
            <w:tcW w:w="1555" w:type="dxa"/>
            <w:vAlign w:val="center"/>
          </w:tcPr>
          <w:p w14:paraId="7C9C33AF" w14:textId="77777777" w:rsidR="00D4636F" w:rsidRPr="00B666AD" w:rsidRDefault="00ED009B" w:rsidP="007F14AC">
            <w:pPr>
              <w:pStyle w:val="TableParagraph"/>
              <w:spacing w:before="1" w:line="360" w:lineRule="auto"/>
              <w:rPr>
                <w:rFonts w:ascii="楷体" w:eastAsia="楷体" w:hAnsi="楷体" w:cs="宋体"/>
                <w:sz w:val="21"/>
                <w:szCs w:val="21"/>
              </w:rPr>
            </w:pPr>
            <w:r w:rsidRPr="00B666AD">
              <w:rPr>
                <w:rFonts w:ascii="楷体" w:eastAsia="楷体" w:hAnsi="楷体" w:cs="宋体" w:hint="eastAsia"/>
                <w:sz w:val="21"/>
                <w:szCs w:val="21"/>
              </w:rPr>
              <w:t>投资者关系活动类别</w:t>
            </w:r>
          </w:p>
        </w:tc>
        <w:tc>
          <w:tcPr>
            <w:tcW w:w="9072" w:type="dxa"/>
            <w:gridSpan w:val="4"/>
            <w:vAlign w:val="center"/>
          </w:tcPr>
          <w:p w14:paraId="0F77AE0C" w14:textId="77777777" w:rsidR="00D4636F" w:rsidRPr="00B666AD" w:rsidRDefault="00D4636F">
            <w:pPr>
              <w:pStyle w:val="TableParagraph"/>
              <w:spacing w:before="7" w:line="360" w:lineRule="auto"/>
              <w:rPr>
                <w:rFonts w:ascii="楷体" w:eastAsia="楷体" w:hAnsi="楷体" w:cs="宋体"/>
                <w:sz w:val="21"/>
                <w:szCs w:val="21"/>
              </w:rPr>
            </w:pPr>
          </w:p>
          <w:p w14:paraId="7D5CC45E" w14:textId="396DBE3E" w:rsidR="00D4636F" w:rsidRPr="00B666AD" w:rsidRDefault="00ED009B" w:rsidP="004D23D0">
            <w:pPr>
              <w:pStyle w:val="TableParagraph"/>
              <w:tabs>
                <w:tab w:val="left" w:pos="2418"/>
              </w:tabs>
              <w:spacing w:before="1" w:line="360" w:lineRule="auto"/>
              <w:ind w:left="107"/>
              <w:jc w:val="center"/>
              <w:rPr>
                <w:rFonts w:ascii="楷体" w:eastAsia="楷体" w:hAnsi="楷体" w:cs="宋体"/>
                <w:sz w:val="21"/>
                <w:szCs w:val="21"/>
              </w:rPr>
            </w:pPr>
            <w:r w:rsidRPr="00B666AD">
              <w:rPr>
                <w:rFonts w:ascii="楷体" w:eastAsia="楷体" w:hAnsi="楷体" w:cs="宋体" w:hint="eastAsia"/>
                <w:sz w:val="21"/>
                <w:szCs w:val="21"/>
              </w:rPr>
              <w:t>□特</w:t>
            </w:r>
            <w:r w:rsidRPr="00B666AD">
              <w:rPr>
                <w:rFonts w:ascii="楷体" w:eastAsia="楷体" w:hAnsi="楷体" w:cs="宋体" w:hint="eastAsia"/>
                <w:spacing w:val="-3"/>
                <w:sz w:val="21"/>
                <w:szCs w:val="21"/>
              </w:rPr>
              <w:t>定</w:t>
            </w:r>
            <w:r w:rsidRPr="00B666AD">
              <w:rPr>
                <w:rFonts w:ascii="楷体" w:eastAsia="楷体" w:hAnsi="楷体" w:cs="宋体" w:hint="eastAsia"/>
                <w:sz w:val="21"/>
                <w:szCs w:val="21"/>
              </w:rPr>
              <w:t>对</w:t>
            </w:r>
            <w:r w:rsidRPr="00B666AD">
              <w:rPr>
                <w:rFonts w:ascii="楷体" w:eastAsia="楷体" w:hAnsi="楷体" w:cs="宋体" w:hint="eastAsia"/>
                <w:spacing w:val="-3"/>
                <w:sz w:val="21"/>
                <w:szCs w:val="21"/>
              </w:rPr>
              <w:t>象</w:t>
            </w:r>
            <w:r w:rsidRPr="00B666AD">
              <w:rPr>
                <w:rFonts w:ascii="楷体" w:eastAsia="楷体" w:hAnsi="楷体" w:cs="宋体" w:hint="eastAsia"/>
                <w:sz w:val="21"/>
                <w:szCs w:val="21"/>
              </w:rPr>
              <w:t>调研</w:t>
            </w:r>
            <w:r w:rsidRPr="00B666AD">
              <w:rPr>
                <w:rFonts w:ascii="楷体" w:eastAsia="楷体" w:hAnsi="楷体" w:cs="宋体" w:hint="eastAsia"/>
                <w:sz w:val="21"/>
                <w:szCs w:val="21"/>
              </w:rPr>
              <w:tab/>
            </w:r>
            <w:r w:rsidR="00055688" w:rsidRPr="00B666AD">
              <w:rPr>
                <w:rFonts w:ascii="楷体" w:eastAsia="楷体" w:hAnsi="楷体" w:cs="宋体" w:hint="eastAsia"/>
                <w:sz w:val="21"/>
                <w:szCs w:val="21"/>
              </w:rPr>
              <w:t>□</w:t>
            </w:r>
            <w:r w:rsidRPr="00B666AD">
              <w:rPr>
                <w:rFonts w:ascii="楷体" w:eastAsia="楷体" w:hAnsi="楷体" w:cs="宋体" w:hint="eastAsia"/>
                <w:sz w:val="21"/>
                <w:szCs w:val="21"/>
              </w:rPr>
              <w:t>分</w:t>
            </w:r>
            <w:r w:rsidRPr="00B666AD">
              <w:rPr>
                <w:rFonts w:ascii="楷体" w:eastAsia="楷体" w:hAnsi="楷体" w:cs="宋体" w:hint="eastAsia"/>
                <w:spacing w:val="-3"/>
                <w:sz w:val="21"/>
                <w:szCs w:val="21"/>
              </w:rPr>
              <w:t>析</w:t>
            </w:r>
            <w:r w:rsidRPr="00B666AD">
              <w:rPr>
                <w:rFonts w:ascii="楷体" w:eastAsia="楷体" w:hAnsi="楷体" w:cs="宋体" w:hint="eastAsia"/>
                <w:sz w:val="21"/>
                <w:szCs w:val="21"/>
              </w:rPr>
              <w:t>师</w:t>
            </w:r>
            <w:r w:rsidRPr="00B666AD">
              <w:rPr>
                <w:rFonts w:ascii="楷体" w:eastAsia="楷体" w:hAnsi="楷体" w:cs="宋体" w:hint="eastAsia"/>
                <w:spacing w:val="-3"/>
                <w:sz w:val="21"/>
                <w:szCs w:val="21"/>
              </w:rPr>
              <w:t>会</w:t>
            </w:r>
            <w:r w:rsidRPr="00B666AD">
              <w:rPr>
                <w:rFonts w:ascii="楷体" w:eastAsia="楷体" w:hAnsi="楷体" w:cs="宋体" w:hint="eastAsia"/>
                <w:sz w:val="21"/>
                <w:szCs w:val="21"/>
              </w:rPr>
              <w:t>议</w:t>
            </w:r>
          </w:p>
          <w:p w14:paraId="6AE64B53" w14:textId="77777777" w:rsidR="00D4636F" w:rsidRPr="00B666AD" w:rsidRDefault="00D4636F" w:rsidP="004D23D0">
            <w:pPr>
              <w:pStyle w:val="TableParagraph"/>
              <w:spacing w:before="11" w:line="360" w:lineRule="auto"/>
              <w:jc w:val="center"/>
              <w:rPr>
                <w:rFonts w:ascii="楷体" w:eastAsia="楷体" w:hAnsi="楷体" w:cs="宋体"/>
                <w:sz w:val="21"/>
                <w:szCs w:val="21"/>
              </w:rPr>
            </w:pPr>
          </w:p>
          <w:p w14:paraId="1FE48EB0" w14:textId="77777777" w:rsidR="00D4636F" w:rsidRPr="00B666AD" w:rsidRDefault="00ED009B" w:rsidP="004D23D0">
            <w:pPr>
              <w:pStyle w:val="TableParagraph"/>
              <w:tabs>
                <w:tab w:val="left" w:pos="2418"/>
              </w:tabs>
              <w:spacing w:line="360" w:lineRule="auto"/>
              <w:ind w:left="107"/>
              <w:jc w:val="center"/>
              <w:rPr>
                <w:rFonts w:ascii="楷体" w:eastAsia="楷体" w:hAnsi="楷体" w:cs="宋体"/>
                <w:sz w:val="21"/>
                <w:szCs w:val="21"/>
              </w:rPr>
            </w:pPr>
            <w:r w:rsidRPr="00B666AD">
              <w:rPr>
                <w:rFonts w:ascii="楷体" w:eastAsia="楷体" w:hAnsi="楷体" w:cs="宋体" w:hint="eastAsia"/>
                <w:sz w:val="21"/>
                <w:szCs w:val="21"/>
              </w:rPr>
              <w:t>□媒</w:t>
            </w:r>
            <w:r w:rsidRPr="00B666AD">
              <w:rPr>
                <w:rFonts w:ascii="楷体" w:eastAsia="楷体" w:hAnsi="楷体" w:cs="宋体" w:hint="eastAsia"/>
                <w:spacing w:val="-3"/>
                <w:sz w:val="21"/>
                <w:szCs w:val="21"/>
              </w:rPr>
              <w:t>体</w:t>
            </w:r>
            <w:r w:rsidRPr="00B666AD">
              <w:rPr>
                <w:rFonts w:ascii="楷体" w:eastAsia="楷体" w:hAnsi="楷体" w:cs="宋体" w:hint="eastAsia"/>
                <w:sz w:val="21"/>
                <w:szCs w:val="21"/>
              </w:rPr>
              <w:t>采访</w:t>
            </w:r>
            <w:r w:rsidRPr="00B666AD">
              <w:rPr>
                <w:rFonts w:ascii="楷体" w:eastAsia="楷体" w:hAnsi="楷体" w:cs="宋体" w:hint="eastAsia"/>
                <w:sz w:val="21"/>
                <w:szCs w:val="21"/>
              </w:rPr>
              <w:tab/>
              <w:t>□业</w:t>
            </w:r>
            <w:r w:rsidRPr="00B666AD">
              <w:rPr>
                <w:rFonts w:ascii="楷体" w:eastAsia="楷体" w:hAnsi="楷体" w:cs="宋体" w:hint="eastAsia"/>
                <w:spacing w:val="-3"/>
                <w:sz w:val="21"/>
                <w:szCs w:val="21"/>
              </w:rPr>
              <w:t>绩</w:t>
            </w:r>
            <w:r w:rsidRPr="00B666AD">
              <w:rPr>
                <w:rFonts w:ascii="楷体" w:eastAsia="楷体" w:hAnsi="楷体" w:cs="宋体" w:hint="eastAsia"/>
                <w:sz w:val="21"/>
                <w:szCs w:val="21"/>
              </w:rPr>
              <w:t>说</w:t>
            </w:r>
            <w:r w:rsidRPr="00B666AD">
              <w:rPr>
                <w:rFonts w:ascii="楷体" w:eastAsia="楷体" w:hAnsi="楷体" w:cs="宋体" w:hint="eastAsia"/>
                <w:spacing w:val="-3"/>
                <w:sz w:val="21"/>
                <w:szCs w:val="21"/>
              </w:rPr>
              <w:t>明</w:t>
            </w:r>
            <w:r w:rsidRPr="00B666AD">
              <w:rPr>
                <w:rFonts w:ascii="楷体" w:eastAsia="楷体" w:hAnsi="楷体" w:cs="宋体" w:hint="eastAsia"/>
                <w:sz w:val="21"/>
                <w:szCs w:val="21"/>
              </w:rPr>
              <w:t>会</w:t>
            </w:r>
          </w:p>
          <w:p w14:paraId="1E42C032" w14:textId="77777777" w:rsidR="00D4636F" w:rsidRPr="00B666AD" w:rsidRDefault="00D4636F" w:rsidP="004D23D0">
            <w:pPr>
              <w:pStyle w:val="TableParagraph"/>
              <w:spacing w:before="8" w:line="360" w:lineRule="auto"/>
              <w:jc w:val="center"/>
              <w:rPr>
                <w:rFonts w:ascii="楷体" w:eastAsia="楷体" w:hAnsi="楷体" w:cs="宋体"/>
                <w:sz w:val="21"/>
                <w:szCs w:val="21"/>
              </w:rPr>
            </w:pPr>
          </w:p>
          <w:p w14:paraId="01D3F1DE" w14:textId="77777777" w:rsidR="00D4636F" w:rsidRPr="00B666AD" w:rsidRDefault="00ED009B" w:rsidP="004D23D0">
            <w:pPr>
              <w:pStyle w:val="TableParagraph"/>
              <w:tabs>
                <w:tab w:val="left" w:pos="2418"/>
              </w:tabs>
              <w:spacing w:line="360" w:lineRule="auto"/>
              <w:ind w:left="107"/>
              <w:jc w:val="center"/>
              <w:rPr>
                <w:rFonts w:ascii="楷体" w:eastAsia="楷体" w:hAnsi="楷体" w:cs="宋体"/>
                <w:sz w:val="21"/>
                <w:szCs w:val="21"/>
              </w:rPr>
            </w:pPr>
            <w:r w:rsidRPr="00B666AD">
              <w:rPr>
                <w:rFonts w:ascii="楷体" w:eastAsia="楷体" w:hAnsi="楷体" w:cs="宋体" w:hint="eastAsia"/>
                <w:sz w:val="21"/>
                <w:szCs w:val="21"/>
              </w:rPr>
              <w:t>□新</w:t>
            </w:r>
            <w:r w:rsidRPr="00B666AD">
              <w:rPr>
                <w:rFonts w:ascii="楷体" w:eastAsia="楷体" w:hAnsi="楷体" w:cs="宋体" w:hint="eastAsia"/>
                <w:spacing w:val="-3"/>
                <w:sz w:val="21"/>
                <w:szCs w:val="21"/>
              </w:rPr>
              <w:t>闻</w:t>
            </w:r>
            <w:r w:rsidRPr="00B666AD">
              <w:rPr>
                <w:rFonts w:ascii="楷体" w:eastAsia="楷体" w:hAnsi="楷体" w:cs="宋体" w:hint="eastAsia"/>
                <w:sz w:val="21"/>
                <w:szCs w:val="21"/>
              </w:rPr>
              <w:t>发</w:t>
            </w:r>
            <w:r w:rsidRPr="00B666AD">
              <w:rPr>
                <w:rFonts w:ascii="楷体" w:eastAsia="楷体" w:hAnsi="楷体" w:cs="宋体" w:hint="eastAsia"/>
                <w:spacing w:val="-3"/>
                <w:sz w:val="21"/>
                <w:szCs w:val="21"/>
              </w:rPr>
              <w:t>布</w:t>
            </w:r>
            <w:r w:rsidRPr="00B666AD">
              <w:rPr>
                <w:rFonts w:ascii="楷体" w:eastAsia="楷体" w:hAnsi="楷体" w:cs="宋体" w:hint="eastAsia"/>
                <w:sz w:val="21"/>
                <w:szCs w:val="21"/>
              </w:rPr>
              <w:t>会</w:t>
            </w:r>
            <w:r w:rsidRPr="00B666AD">
              <w:rPr>
                <w:rFonts w:ascii="楷体" w:eastAsia="楷体" w:hAnsi="楷体" w:cs="宋体" w:hint="eastAsia"/>
                <w:sz w:val="21"/>
                <w:szCs w:val="21"/>
              </w:rPr>
              <w:tab/>
              <w:t>□路</w:t>
            </w:r>
            <w:r w:rsidRPr="00B666AD">
              <w:rPr>
                <w:rFonts w:ascii="楷体" w:eastAsia="楷体" w:hAnsi="楷体" w:cs="宋体" w:hint="eastAsia"/>
                <w:spacing w:val="-3"/>
                <w:sz w:val="21"/>
                <w:szCs w:val="21"/>
              </w:rPr>
              <w:t>演</w:t>
            </w:r>
            <w:r w:rsidRPr="00B666AD">
              <w:rPr>
                <w:rFonts w:ascii="楷体" w:eastAsia="楷体" w:hAnsi="楷体" w:cs="宋体" w:hint="eastAsia"/>
                <w:sz w:val="21"/>
                <w:szCs w:val="21"/>
              </w:rPr>
              <w:t>活动</w:t>
            </w:r>
          </w:p>
          <w:p w14:paraId="3AF291DD" w14:textId="77777777" w:rsidR="00D4636F" w:rsidRPr="00B666AD" w:rsidRDefault="00D4636F" w:rsidP="004D23D0">
            <w:pPr>
              <w:pStyle w:val="TableParagraph"/>
              <w:spacing w:before="8" w:line="360" w:lineRule="auto"/>
              <w:jc w:val="center"/>
              <w:rPr>
                <w:rFonts w:ascii="楷体" w:eastAsia="楷体" w:hAnsi="楷体" w:cs="宋体"/>
                <w:sz w:val="21"/>
                <w:szCs w:val="21"/>
              </w:rPr>
            </w:pPr>
          </w:p>
          <w:p w14:paraId="06D29851" w14:textId="10AF12BF" w:rsidR="00D4636F" w:rsidRPr="00B666AD" w:rsidRDefault="00475891" w:rsidP="004D23D0">
            <w:pPr>
              <w:pStyle w:val="TableParagraph"/>
              <w:spacing w:line="360" w:lineRule="auto"/>
              <w:ind w:left="107"/>
              <w:jc w:val="center"/>
              <w:rPr>
                <w:rFonts w:ascii="楷体" w:eastAsia="楷体" w:hAnsi="楷体" w:cs="宋体"/>
                <w:sz w:val="21"/>
                <w:szCs w:val="21"/>
              </w:rPr>
            </w:pPr>
            <w:r w:rsidRPr="00B666AD">
              <w:rPr>
                <w:rFonts w:ascii="楷体" w:eastAsia="楷体" w:hAnsi="楷体" w:cs="宋体" w:hint="eastAsia"/>
                <w:sz w:val="21"/>
                <w:szCs w:val="21"/>
              </w:rPr>
              <w:t>□</w:t>
            </w:r>
            <w:r w:rsidR="00ED009B" w:rsidRPr="00B666AD">
              <w:rPr>
                <w:rFonts w:ascii="楷体" w:eastAsia="楷体" w:hAnsi="楷体" w:cs="宋体" w:hint="eastAsia"/>
                <w:sz w:val="21"/>
                <w:szCs w:val="21"/>
              </w:rPr>
              <w:t>现场参观</w:t>
            </w:r>
          </w:p>
          <w:p w14:paraId="582A1B6A" w14:textId="77777777" w:rsidR="00D4636F" w:rsidRPr="00B666AD" w:rsidRDefault="00D4636F" w:rsidP="004D23D0">
            <w:pPr>
              <w:pStyle w:val="TableParagraph"/>
              <w:spacing w:before="11" w:line="360" w:lineRule="auto"/>
              <w:jc w:val="center"/>
              <w:rPr>
                <w:rFonts w:ascii="楷体" w:eastAsia="楷体" w:hAnsi="楷体" w:cs="宋体"/>
                <w:sz w:val="21"/>
                <w:szCs w:val="21"/>
              </w:rPr>
            </w:pPr>
          </w:p>
          <w:p w14:paraId="626A8FFE" w14:textId="675091E6" w:rsidR="00D4636F" w:rsidRPr="00B666AD" w:rsidRDefault="00475891" w:rsidP="004D23D0">
            <w:pPr>
              <w:pStyle w:val="TableParagraph"/>
              <w:spacing w:line="360" w:lineRule="auto"/>
              <w:ind w:left="107"/>
              <w:jc w:val="center"/>
              <w:rPr>
                <w:rFonts w:ascii="楷体" w:eastAsia="楷体" w:hAnsi="楷体" w:cs="宋体"/>
                <w:sz w:val="21"/>
                <w:szCs w:val="21"/>
              </w:rPr>
            </w:pPr>
            <w:r w:rsidRPr="00B666AD">
              <w:rPr>
                <w:rFonts w:ascii="楷体" w:eastAsia="楷体" w:hAnsi="楷体" w:cs="宋体" w:hint="eastAsia"/>
                <w:sz w:val="21"/>
                <w:szCs w:val="21"/>
              </w:rPr>
              <w:sym w:font="Wingdings 2" w:char="F052"/>
            </w:r>
            <w:r w:rsidR="00ED009B" w:rsidRPr="00B666AD">
              <w:rPr>
                <w:rFonts w:ascii="楷体" w:eastAsia="楷体" w:hAnsi="楷体" w:cs="宋体" w:hint="eastAsia"/>
                <w:sz w:val="21"/>
                <w:szCs w:val="21"/>
              </w:rPr>
              <w:t>其他（电话交流会）</w:t>
            </w:r>
          </w:p>
        </w:tc>
      </w:tr>
      <w:tr w:rsidR="00B658CA" w:rsidRPr="00B666AD" w14:paraId="68F9F3F0" w14:textId="77777777" w:rsidTr="00BF723E">
        <w:trPr>
          <w:trHeight w:val="39"/>
          <w:jc w:val="center"/>
        </w:trPr>
        <w:tc>
          <w:tcPr>
            <w:tcW w:w="1555" w:type="dxa"/>
            <w:vMerge w:val="restart"/>
            <w:vAlign w:val="center"/>
          </w:tcPr>
          <w:p w14:paraId="2DD14FFA" w14:textId="77777777" w:rsidR="00B658CA" w:rsidRPr="00B666AD" w:rsidRDefault="00B658CA">
            <w:pPr>
              <w:pStyle w:val="TableParagraph"/>
              <w:spacing w:line="360" w:lineRule="auto"/>
              <w:ind w:left="107" w:right="96"/>
              <w:rPr>
                <w:rFonts w:ascii="楷体" w:eastAsia="楷体" w:hAnsi="楷体" w:cs="宋体"/>
                <w:sz w:val="21"/>
                <w:szCs w:val="21"/>
              </w:rPr>
            </w:pPr>
            <w:r w:rsidRPr="00B666AD">
              <w:rPr>
                <w:rFonts w:ascii="楷体" w:eastAsia="楷体" w:hAnsi="楷体" w:cs="宋体" w:hint="eastAsia"/>
                <w:sz w:val="21"/>
                <w:szCs w:val="21"/>
              </w:rPr>
              <w:t>参与单位名称及人员姓名</w:t>
            </w:r>
          </w:p>
        </w:tc>
        <w:tc>
          <w:tcPr>
            <w:tcW w:w="1134" w:type="dxa"/>
            <w:vAlign w:val="center"/>
          </w:tcPr>
          <w:p w14:paraId="51F5E8E9" w14:textId="77777777" w:rsidR="00B658CA" w:rsidRPr="00B666AD" w:rsidRDefault="00B658CA" w:rsidP="00011670">
            <w:pPr>
              <w:pStyle w:val="TableParagraph"/>
              <w:spacing w:line="360" w:lineRule="auto"/>
              <w:ind w:left="107" w:right="96"/>
              <w:jc w:val="center"/>
              <w:rPr>
                <w:rFonts w:ascii="楷体" w:eastAsia="楷体" w:hAnsi="楷体"/>
                <w:color w:val="000000"/>
                <w:sz w:val="21"/>
                <w:szCs w:val="21"/>
                <w:lang w:val="en-US"/>
              </w:rPr>
            </w:pPr>
            <w:r w:rsidRPr="00B666AD">
              <w:rPr>
                <w:rFonts w:ascii="楷体" w:eastAsia="楷体" w:hAnsi="楷体" w:cs="宋体" w:hint="eastAsia"/>
                <w:color w:val="000000"/>
                <w:sz w:val="21"/>
                <w:szCs w:val="21"/>
              </w:rPr>
              <w:t>机构名称</w:t>
            </w:r>
          </w:p>
        </w:tc>
        <w:tc>
          <w:tcPr>
            <w:tcW w:w="3118" w:type="dxa"/>
            <w:vAlign w:val="center"/>
          </w:tcPr>
          <w:p w14:paraId="61F50A3C" w14:textId="77777777" w:rsidR="00B658CA" w:rsidRPr="00B666AD" w:rsidRDefault="00B658CA" w:rsidP="00011670">
            <w:pPr>
              <w:pStyle w:val="TableParagraph"/>
              <w:spacing w:line="360" w:lineRule="auto"/>
              <w:ind w:left="107" w:right="96"/>
              <w:jc w:val="center"/>
              <w:rPr>
                <w:rFonts w:ascii="楷体" w:eastAsia="楷体" w:hAnsi="楷体"/>
                <w:color w:val="000000"/>
                <w:sz w:val="21"/>
                <w:szCs w:val="21"/>
                <w:lang w:val="en-US"/>
              </w:rPr>
            </w:pPr>
            <w:r w:rsidRPr="00B666AD">
              <w:rPr>
                <w:rFonts w:ascii="楷体" w:eastAsia="楷体" w:hAnsi="楷体" w:cs="宋体" w:hint="eastAsia"/>
                <w:color w:val="000000"/>
                <w:sz w:val="21"/>
                <w:szCs w:val="21"/>
              </w:rPr>
              <w:t>参与人员</w:t>
            </w:r>
          </w:p>
        </w:tc>
        <w:tc>
          <w:tcPr>
            <w:tcW w:w="1701" w:type="dxa"/>
            <w:vAlign w:val="center"/>
          </w:tcPr>
          <w:p w14:paraId="1096869A" w14:textId="77777777" w:rsidR="00B658CA" w:rsidRPr="00B666AD" w:rsidRDefault="00B658CA" w:rsidP="00011670">
            <w:pPr>
              <w:pStyle w:val="TableParagraph"/>
              <w:spacing w:line="360" w:lineRule="auto"/>
              <w:ind w:left="107" w:right="96"/>
              <w:jc w:val="center"/>
              <w:rPr>
                <w:rFonts w:ascii="楷体" w:eastAsia="楷体" w:hAnsi="楷体"/>
                <w:color w:val="000000"/>
                <w:sz w:val="21"/>
                <w:szCs w:val="21"/>
                <w:lang w:val="en-US"/>
              </w:rPr>
            </w:pPr>
            <w:r w:rsidRPr="00B666AD">
              <w:rPr>
                <w:rFonts w:ascii="楷体" w:eastAsia="楷体" w:hAnsi="楷体" w:cs="宋体" w:hint="eastAsia"/>
                <w:color w:val="000000"/>
                <w:sz w:val="21"/>
                <w:szCs w:val="21"/>
              </w:rPr>
              <w:t>机构名称</w:t>
            </w:r>
          </w:p>
        </w:tc>
        <w:tc>
          <w:tcPr>
            <w:tcW w:w="3119" w:type="dxa"/>
            <w:vAlign w:val="center"/>
          </w:tcPr>
          <w:p w14:paraId="79B67D83" w14:textId="77777777" w:rsidR="00B658CA" w:rsidRPr="00B666AD" w:rsidRDefault="00B658CA" w:rsidP="00011670">
            <w:pPr>
              <w:pStyle w:val="TableParagraph"/>
              <w:spacing w:line="360" w:lineRule="auto"/>
              <w:ind w:left="107" w:right="96"/>
              <w:jc w:val="center"/>
              <w:rPr>
                <w:rFonts w:ascii="楷体" w:eastAsia="楷体" w:hAnsi="楷体"/>
                <w:color w:val="000000"/>
                <w:sz w:val="21"/>
                <w:szCs w:val="21"/>
                <w:lang w:val="en-US"/>
              </w:rPr>
            </w:pPr>
            <w:r w:rsidRPr="00B666AD">
              <w:rPr>
                <w:rFonts w:ascii="楷体" w:eastAsia="楷体" w:hAnsi="楷体" w:cs="宋体" w:hint="eastAsia"/>
                <w:color w:val="000000"/>
                <w:sz w:val="21"/>
                <w:szCs w:val="21"/>
              </w:rPr>
              <w:t>参与人员</w:t>
            </w:r>
          </w:p>
        </w:tc>
      </w:tr>
      <w:tr w:rsidR="00E970EF" w:rsidRPr="00B666AD" w14:paraId="61E1FA39" w14:textId="77777777" w:rsidTr="00BF723E">
        <w:trPr>
          <w:trHeight w:val="39"/>
          <w:jc w:val="center"/>
        </w:trPr>
        <w:tc>
          <w:tcPr>
            <w:tcW w:w="1555" w:type="dxa"/>
            <w:vMerge/>
            <w:vAlign w:val="center"/>
          </w:tcPr>
          <w:p w14:paraId="2A68EAEA" w14:textId="77777777" w:rsidR="00E970EF" w:rsidRPr="00B666AD" w:rsidRDefault="00E970EF" w:rsidP="00E970EF">
            <w:pPr>
              <w:pStyle w:val="TableParagraph"/>
              <w:spacing w:line="360" w:lineRule="auto"/>
              <w:ind w:left="107" w:right="96"/>
              <w:rPr>
                <w:rFonts w:ascii="楷体" w:eastAsia="楷体" w:hAnsi="楷体" w:cs="宋体"/>
                <w:sz w:val="21"/>
                <w:szCs w:val="21"/>
              </w:rPr>
            </w:pPr>
          </w:p>
        </w:tc>
        <w:tc>
          <w:tcPr>
            <w:tcW w:w="1134" w:type="dxa"/>
            <w:vAlign w:val="center"/>
          </w:tcPr>
          <w:p w14:paraId="1608D805" w14:textId="64FCEDA5"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郭建奇</w:t>
            </w:r>
          </w:p>
        </w:tc>
        <w:tc>
          <w:tcPr>
            <w:tcW w:w="3118" w:type="dxa"/>
            <w:vAlign w:val="center"/>
          </w:tcPr>
          <w:p w14:paraId="6C53F674" w14:textId="5635CA73"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天风证券股份有限公司</w:t>
            </w:r>
          </w:p>
        </w:tc>
        <w:tc>
          <w:tcPr>
            <w:tcW w:w="1701" w:type="dxa"/>
            <w:vAlign w:val="center"/>
          </w:tcPr>
          <w:p w14:paraId="6C22BAA5" w14:textId="30657E38"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邵靖宇</w:t>
            </w:r>
          </w:p>
        </w:tc>
        <w:tc>
          <w:tcPr>
            <w:tcW w:w="3119" w:type="dxa"/>
            <w:vAlign w:val="center"/>
          </w:tcPr>
          <w:p w14:paraId="0B5F4B8C" w14:textId="40A7EDDB"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proofErr w:type="gramStart"/>
            <w:r w:rsidRPr="001B0381">
              <w:rPr>
                <w:rFonts w:ascii="楷体" w:eastAsia="楷体" w:hAnsi="楷体" w:cs="宋体" w:hint="eastAsia"/>
                <w:color w:val="000000"/>
                <w:sz w:val="21"/>
                <w:szCs w:val="21"/>
              </w:rPr>
              <w:t>申万宏源证券</w:t>
            </w:r>
            <w:proofErr w:type="gramEnd"/>
            <w:r w:rsidRPr="001B0381">
              <w:rPr>
                <w:rFonts w:ascii="楷体" w:eastAsia="楷体" w:hAnsi="楷体" w:cs="宋体" w:hint="eastAsia"/>
                <w:color w:val="000000"/>
                <w:sz w:val="21"/>
                <w:szCs w:val="21"/>
              </w:rPr>
              <w:t>有限公司</w:t>
            </w:r>
          </w:p>
        </w:tc>
      </w:tr>
      <w:tr w:rsidR="00E970EF" w:rsidRPr="00B666AD" w14:paraId="5D9E4DEE" w14:textId="77777777" w:rsidTr="00BF723E">
        <w:trPr>
          <w:trHeight w:val="39"/>
          <w:jc w:val="center"/>
        </w:trPr>
        <w:tc>
          <w:tcPr>
            <w:tcW w:w="1555" w:type="dxa"/>
            <w:vMerge/>
            <w:vAlign w:val="center"/>
          </w:tcPr>
          <w:p w14:paraId="1F010219" w14:textId="77777777" w:rsidR="00E970EF" w:rsidRPr="00B666AD" w:rsidRDefault="00E970EF" w:rsidP="00E970EF">
            <w:pPr>
              <w:pStyle w:val="TableParagraph"/>
              <w:spacing w:line="360" w:lineRule="auto"/>
              <w:ind w:left="107" w:right="96"/>
              <w:rPr>
                <w:rFonts w:ascii="楷体" w:eastAsia="楷体" w:hAnsi="楷体" w:cs="宋体"/>
                <w:sz w:val="21"/>
                <w:szCs w:val="21"/>
              </w:rPr>
            </w:pPr>
          </w:p>
        </w:tc>
        <w:tc>
          <w:tcPr>
            <w:tcW w:w="1134" w:type="dxa"/>
            <w:vAlign w:val="center"/>
          </w:tcPr>
          <w:p w14:paraId="04BA346E" w14:textId="20A2DBCB"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许可</w:t>
            </w:r>
          </w:p>
        </w:tc>
        <w:tc>
          <w:tcPr>
            <w:tcW w:w="3118" w:type="dxa"/>
            <w:vAlign w:val="center"/>
          </w:tcPr>
          <w:p w14:paraId="767A0E0A" w14:textId="22D6D09E"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朱雀基金管理有限公司</w:t>
            </w:r>
          </w:p>
        </w:tc>
        <w:tc>
          <w:tcPr>
            <w:tcW w:w="1701" w:type="dxa"/>
            <w:vAlign w:val="center"/>
          </w:tcPr>
          <w:p w14:paraId="43798AAC" w14:textId="3A32FEC9"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胡炜</w:t>
            </w:r>
          </w:p>
        </w:tc>
        <w:tc>
          <w:tcPr>
            <w:tcW w:w="3119" w:type="dxa"/>
            <w:vAlign w:val="center"/>
          </w:tcPr>
          <w:p w14:paraId="28C9B7D6" w14:textId="516528E7"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上海聚鸣投资管理有限公司</w:t>
            </w:r>
          </w:p>
        </w:tc>
      </w:tr>
      <w:tr w:rsidR="00E970EF" w:rsidRPr="00B666AD" w14:paraId="5BD2CFA8" w14:textId="77777777" w:rsidTr="00BF723E">
        <w:trPr>
          <w:trHeight w:val="39"/>
          <w:jc w:val="center"/>
        </w:trPr>
        <w:tc>
          <w:tcPr>
            <w:tcW w:w="1555" w:type="dxa"/>
            <w:vMerge/>
            <w:vAlign w:val="center"/>
          </w:tcPr>
          <w:p w14:paraId="09789C3C" w14:textId="77777777" w:rsidR="00E970EF" w:rsidRPr="00B666AD" w:rsidRDefault="00E970EF" w:rsidP="00E970EF">
            <w:pPr>
              <w:pStyle w:val="TableParagraph"/>
              <w:spacing w:line="360" w:lineRule="auto"/>
              <w:ind w:left="107" w:right="96"/>
              <w:rPr>
                <w:rFonts w:ascii="楷体" w:eastAsia="楷体" w:hAnsi="楷体" w:cs="宋体"/>
                <w:sz w:val="21"/>
                <w:szCs w:val="21"/>
              </w:rPr>
            </w:pPr>
          </w:p>
        </w:tc>
        <w:tc>
          <w:tcPr>
            <w:tcW w:w="1134" w:type="dxa"/>
            <w:vAlign w:val="center"/>
          </w:tcPr>
          <w:p w14:paraId="730E5999" w14:textId="260DF705"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顾宝成</w:t>
            </w:r>
          </w:p>
        </w:tc>
        <w:tc>
          <w:tcPr>
            <w:tcW w:w="3118" w:type="dxa"/>
            <w:vAlign w:val="center"/>
          </w:tcPr>
          <w:p w14:paraId="08903E71" w14:textId="00CA4872"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上海度势投资有限公司</w:t>
            </w:r>
          </w:p>
        </w:tc>
        <w:tc>
          <w:tcPr>
            <w:tcW w:w="1701" w:type="dxa"/>
            <w:vAlign w:val="center"/>
          </w:tcPr>
          <w:p w14:paraId="20B83245" w14:textId="5F3F8A7C"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杨志芳</w:t>
            </w:r>
          </w:p>
        </w:tc>
        <w:tc>
          <w:tcPr>
            <w:tcW w:w="3119" w:type="dxa"/>
            <w:vAlign w:val="center"/>
          </w:tcPr>
          <w:p w14:paraId="556D43E7" w14:textId="23B0A545"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天风证券股份有限公司</w:t>
            </w:r>
          </w:p>
        </w:tc>
      </w:tr>
      <w:tr w:rsidR="00E970EF" w:rsidRPr="00B666AD" w14:paraId="697BD561" w14:textId="77777777" w:rsidTr="00BF723E">
        <w:trPr>
          <w:trHeight w:val="39"/>
          <w:jc w:val="center"/>
        </w:trPr>
        <w:tc>
          <w:tcPr>
            <w:tcW w:w="1555" w:type="dxa"/>
            <w:vMerge/>
            <w:vAlign w:val="center"/>
          </w:tcPr>
          <w:p w14:paraId="4550C1B3" w14:textId="77777777" w:rsidR="00E970EF" w:rsidRPr="00B666AD" w:rsidRDefault="00E970EF" w:rsidP="00E970EF">
            <w:pPr>
              <w:pStyle w:val="TableParagraph"/>
              <w:spacing w:line="360" w:lineRule="auto"/>
              <w:ind w:left="107" w:right="96"/>
              <w:rPr>
                <w:rFonts w:ascii="楷体" w:eastAsia="楷体" w:hAnsi="楷体" w:cs="宋体"/>
                <w:sz w:val="21"/>
                <w:szCs w:val="21"/>
              </w:rPr>
            </w:pPr>
          </w:p>
        </w:tc>
        <w:tc>
          <w:tcPr>
            <w:tcW w:w="1134" w:type="dxa"/>
            <w:vAlign w:val="center"/>
          </w:tcPr>
          <w:p w14:paraId="4623DA33" w14:textId="6B49F7C8"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proofErr w:type="gramStart"/>
            <w:r w:rsidRPr="001B0381">
              <w:rPr>
                <w:rFonts w:ascii="楷体" w:eastAsia="楷体" w:hAnsi="楷体" w:cs="宋体" w:hint="eastAsia"/>
                <w:color w:val="000000"/>
                <w:sz w:val="21"/>
                <w:szCs w:val="21"/>
              </w:rPr>
              <w:t>沈悦明</w:t>
            </w:r>
            <w:proofErr w:type="gramEnd"/>
          </w:p>
        </w:tc>
        <w:tc>
          <w:tcPr>
            <w:tcW w:w="3118" w:type="dxa"/>
            <w:vAlign w:val="center"/>
          </w:tcPr>
          <w:p w14:paraId="6876BF20" w14:textId="0FB3A09B"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中意资产管理有限责任公司</w:t>
            </w:r>
          </w:p>
        </w:tc>
        <w:tc>
          <w:tcPr>
            <w:tcW w:w="1701" w:type="dxa"/>
            <w:vAlign w:val="center"/>
          </w:tcPr>
          <w:p w14:paraId="2E8F1E58" w14:textId="09FF9F31"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李乾宁</w:t>
            </w:r>
          </w:p>
        </w:tc>
        <w:tc>
          <w:tcPr>
            <w:tcW w:w="3119" w:type="dxa"/>
            <w:vAlign w:val="center"/>
          </w:tcPr>
          <w:p w14:paraId="438BE924" w14:textId="2E8AC164"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proofErr w:type="gramStart"/>
            <w:r w:rsidRPr="001B0381">
              <w:rPr>
                <w:rFonts w:ascii="楷体" w:eastAsia="楷体" w:hAnsi="楷体" w:cs="宋体" w:hint="eastAsia"/>
                <w:color w:val="000000"/>
                <w:sz w:val="21"/>
                <w:szCs w:val="21"/>
              </w:rPr>
              <w:t>工银瑞信</w:t>
            </w:r>
            <w:proofErr w:type="gramEnd"/>
            <w:r w:rsidRPr="001B0381">
              <w:rPr>
                <w:rFonts w:ascii="楷体" w:eastAsia="楷体" w:hAnsi="楷体" w:cs="宋体" w:hint="eastAsia"/>
                <w:color w:val="000000"/>
                <w:sz w:val="21"/>
                <w:szCs w:val="21"/>
              </w:rPr>
              <w:t>基金管理有限公司</w:t>
            </w:r>
          </w:p>
        </w:tc>
      </w:tr>
      <w:tr w:rsidR="00E970EF" w:rsidRPr="00B666AD" w14:paraId="137664B2" w14:textId="77777777" w:rsidTr="00BF723E">
        <w:trPr>
          <w:trHeight w:val="39"/>
          <w:jc w:val="center"/>
        </w:trPr>
        <w:tc>
          <w:tcPr>
            <w:tcW w:w="1555" w:type="dxa"/>
            <w:vMerge/>
            <w:vAlign w:val="center"/>
          </w:tcPr>
          <w:p w14:paraId="2E9AA4DD" w14:textId="77777777" w:rsidR="00E970EF" w:rsidRPr="00B666AD" w:rsidRDefault="00E970EF" w:rsidP="00E970EF">
            <w:pPr>
              <w:pStyle w:val="TableParagraph"/>
              <w:spacing w:line="360" w:lineRule="auto"/>
              <w:ind w:left="107" w:right="96"/>
              <w:rPr>
                <w:rFonts w:ascii="楷体" w:eastAsia="楷体" w:hAnsi="楷体" w:cs="宋体"/>
                <w:sz w:val="21"/>
                <w:szCs w:val="21"/>
              </w:rPr>
            </w:pPr>
          </w:p>
        </w:tc>
        <w:tc>
          <w:tcPr>
            <w:tcW w:w="1134" w:type="dxa"/>
            <w:vAlign w:val="center"/>
          </w:tcPr>
          <w:p w14:paraId="7DB38C58" w14:textId="79251D5E"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杨毅</w:t>
            </w:r>
          </w:p>
        </w:tc>
        <w:tc>
          <w:tcPr>
            <w:tcW w:w="3118" w:type="dxa"/>
            <w:vAlign w:val="center"/>
          </w:tcPr>
          <w:p w14:paraId="6C1C18E8" w14:textId="1FE48ECB"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博</w:t>
            </w:r>
            <w:proofErr w:type="gramStart"/>
            <w:r w:rsidRPr="001B0381">
              <w:rPr>
                <w:rFonts w:ascii="楷体" w:eastAsia="楷体" w:hAnsi="楷体" w:cs="宋体" w:hint="eastAsia"/>
                <w:color w:val="000000"/>
                <w:sz w:val="21"/>
                <w:szCs w:val="21"/>
              </w:rPr>
              <w:t>远基金</w:t>
            </w:r>
            <w:proofErr w:type="gramEnd"/>
          </w:p>
        </w:tc>
        <w:tc>
          <w:tcPr>
            <w:tcW w:w="1701" w:type="dxa"/>
            <w:vAlign w:val="center"/>
          </w:tcPr>
          <w:p w14:paraId="0CF46FC0" w14:textId="5149D81C"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李心</w:t>
            </w:r>
            <w:proofErr w:type="gramStart"/>
            <w:r w:rsidRPr="001B0381">
              <w:rPr>
                <w:rFonts w:ascii="楷体" w:eastAsia="楷体" w:hAnsi="楷体" w:cs="宋体" w:hint="eastAsia"/>
                <w:color w:val="000000"/>
                <w:sz w:val="21"/>
                <w:szCs w:val="21"/>
              </w:rPr>
              <w:t>宓</w:t>
            </w:r>
            <w:proofErr w:type="gramEnd"/>
          </w:p>
        </w:tc>
        <w:tc>
          <w:tcPr>
            <w:tcW w:w="3119" w:type="dxa"/>
            <w:vAlign w:val="center"/>
          </w:tcPr>
          <w:p w14:paraId="186FC8C8" w14:textId="18F49433"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南方基金管理股份有限公司</w:t>
            </w:r>
          </w:p>
        </w:tc>
      </w:tr>
      <w:tr w:rsidR="00E970EF" w:rsidRPr="00B666AD" w14:paraId="698BB08E" w14:textId="77777777" w:rsidTr="00BF723E">
        <w:trPr>
          <w:trHeight w:val="39"/>
          <w:jc w:val="center"/>
        </w:trPr>
        <w:tc>
          <w:tcPr>
            <w:tcW w:w="1555" w:type="dxa"/>
            <w:vMerge/>
            <w:vAlign w:val="center"/>
          </w:tcPr>
          <w:p w14:paraId="57EBBA32" w14:textId="77777777" w:rsidR="00E970EF" w:rsidRPr="00B666AD" w:rsidRDefault="00E970EF" w:rsidP="00E970EF">
            <w:pPr>
              <w:pStyle w:val="TableParagraph"/>
              <w:spacing w:line="360" w:lineRule="auto"/>
              <w:ind w:left="107" w:right="96"/>
              <w:rPr>
                <w:rFonts w:ascii="楷体" w:eastAsia="楷体" w:hAnsi="楷体" w:cs="宋体"/>
                <w:sz w:val="21"/>
                <w:szCs w:val="21"/>
              </w:rPr>
            </w:pPr>
          </w:p>
        </w:tc>
        <w:tc>
          <w:tcPr>
            <w:tcW w:w="1134" w:type="dxa"/>
            <w:vAlign w:val="center"/>
          </w:tcPr>
          <w:p w14:paraId="0952EFB4" w14:textId="1E46CE1A"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杨倩</w:t>
            </w:r>
          </w:p>
        </w:tc>
        <w:tc>
          <w:tcPr>
            <w:tcW w:w="3118" w:type="dxa"/>
            <w:vAlign w:val="center"/>
          </w:tcPr>
          <w:p w14:paraId="4DC27035" w14:textId="1D5D7272"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proofErr w:type="gramStart"/>
            <w:r w:rsidRPr="001B0381">
              <w:rPr>
                <w:rFonts w:ascii="楷体" w:eastAsia="楷体" w:hAnsi="楷体" w:cs="宋体" w:hint="eastAsia"/>
                <w:color w:val="000000"/>
                <w:sz w:val="21"/>
                <w:szCs w:val="21"/>
              </w:rPr>
              <w:t>天弘基金</w:t>
            </w:r>
            <w:proofErr w:type="gramEnd"/>
            <w:r w:rsidRPr="001B0381">
              <w:rPr>
                <w:rFonts w:ascii="楷体" w:eastAsia="楷体" w:hAnsi="楷体" w:cs="宋体" w:hint="eastAsia"/>
                <w:color w:val="000000"/>
                <w:sz w:val="21"/>
                <w:szCs w:val="21"/>
              </w:rPr>
              <w:t>管理有限公司</w:t>
            </w:r>
          </w:p>
        </w:tc>
        <w:tc>
          <w:tcPr>
            <w:tcW w:w="1701" w:type="dxa"/>
            <w:vAlign w:val="center"/>
          </w:tcPr>
          <w:p w14:paraId="3757745A" w14:textId="14F2D389"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汤龑</w:t>
            </w:r>
          </w:p>
        </w:tc>
        <w:tc>
          <w:tcPr>
            <w:tcW w:w="3119" w:type="dxa"/>
            <w:vAlign w:val="center"/>
          </w:tcPr>
          <w:p w14:paraId="31176508" w14:textId="42A9E1B9"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国</w:t>
            </w:r>
            <w:proofErr w:type="gramStart"/>
            <w:r w:rsidRPr="001B0381">
              <w:rPr>
                <w:rFonts w:ascii="楷体" w:eastAsia="楷体" w:hAnsi="楷体" w:cs="宋体" w:hint="eastAsia"/>
                <w:color w:val="000000"/>
                <w:sz w:val="21"/>
                <w:szCs w:val="21"/>
              </w:rPr>
              <w:t>投瑞银基金</w:t>
            </w:r>
            <w:proofErr w:type="gramEnd"/>
            <w:r w:rsidRPr="001B0381">
              <w:rPr>
                <w:rFonts w:ascii="楷体" w:eastAsia="楷体" w:hAnsi="楷体" w:cs="宋体" w:hint="eastAsia"/>
                <w:color w:val="000000"/>
                <w:sz w:val="21"/>
                <w:szCs w:val="21"/>
              </w:rPr>
              <w:t>管理有限公司</w:t>
            </w:r>
          </w:p>
        </w:tc>
      </w:tr>
      <w:tr w:rsidR="00E970EF" w:rsidRPr="00B666AD" w14:paraId="6DFDEEEA" w14:textId="77777777" w:rsidTr="00BF723E">
        <w:trPr>
          <w:trHeight w:val="39"/>
          <w:jc w:val="center"/>
        </w:trPr>
        <w:tc>
          <w:tcPr>
            <w:tcW w:w="1555" w:type="dxa"/>
            <w:vMerge/>
            <w:vAlign w:val="center"/>
          </w:tcPr>
          <w:p w14:paraId="29298583" w14:textId="77777777" w:rsidR="00E970EF" w:rsidRPr="00B666AD" w:rsidRDefault="00E970EF" w:rsidP="00E970EF">
            <w:pPr>
              <w:pStyle w:val="TableParagraph"/>
              <w:spacing w:line="360" w:lineRule="auto"/>
              <w:ind w:left="107" w:right="96"/>
              <w:rPr>
                <w:rFonts w:ascii="楷体" w:eastAsia="楷体" w:hAnsi="楷体" w:cs="宋体"/>
                <w:sz w:val="21"/>
                <w:szCs w:val="21"/>
              </w:rPr>
            </w:pPr>
          </w:p>
        </w:tc>
        <w:tc>
          <w:tcPr>
            <w:tcW w:w="1134" w:type="dxa"/>
            <w:vAlign w:val="center"/>
          </w:tcPr>
          <w:p w14:paraId="38F3AFE2" w14:textId="24FC3F54"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proofErr w:type="gramStart"/>
            <w:r w:rsidRPr="001B0381">
              <w:rPr>
                <w:rFonts w:ascii="楷体" w:eastAsia="楷体" w:hAnsi="楷体" w:cs="宋体" w:hint="eastAsia"/>
                <w:color w:val="000000"/>
                <w:sz w:val="21"/>
                <w:szCs w:val="21"/>
              </w:rPr>
              <w:t>刘艾珠</w:t>
            </w:r>
            <w:proofErr w:type="gramEnd"/>
          </w:p>
        </w:tc>
        <w:tc>
          <w:tcPr>
            <w:tcW w:w="3118" w:type="dxa"/>
            <w:vAlign w:val="center"/>
          </w:tcPr>
          <w:p w14:paraId="77AF3AE7" w14:textId="7C165107"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proofErr w:type="gramStart"/>
            <w:r w:rsidRPr="001B0381">
              <w:rPr>
                <w:rFonts w:ascii="楷体" w:eastAsia="楷体" w:hAnsi="楷体" w:cs="宋体" w:hint="eastAsia"/>
                <w:color w:val="000000"/>
                <w:sz w:val="21"/>
                <w:szCs w:val="21"/>
              </w:rPr>
              <w:t>杭银理财</w:t>
            </w:r>
            <w:proofErr w:type="gramEnd"/>
          </w:p>
        </w:tc>
        <w:tc>
          <w:tcPr>
            <w:tcW w:w="1701" w:type="dxa"/>
            <w:vAlign w:val="center"/>
          </w:tcPr>
          <w:p w14:paraId="1873ACE7" w14:textId="3316AD6A"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陈琛</w:t>
            </w:r>
          </w:p>
        </w:tc>
        <w:tc>
          <w:tcPr>
            <w:tcW w:w="3119" w:type="dxa"/>
            <w:vAlign w:val="center"/>
          </w:tcPr>
          <w:p w14:paraId="28BCCC7F" w14:textId="0807798D"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中国国际金融股份有限公司</w:t>
            </w:r>
          </w:p>
        </w:tc>
      </w:tr>
      <w:tr w:rsidR="00E970EF" w:rsidRPr="00B666AD" w14:paraId="51A95F07" w14:textId="77777777" w:rsidTr="00BF723E">
        <w:trPr>
          <w:trHeight w:val="39"/>
          <w:jc w:val="center"/>
        </w:trPr>
        <w:tc>
          <w:tcPr>
            <w:tcW w:w="1555" w:type="dxa"/>
            <w:vMerge/>
            <w:vAlign w:val="center"/>
          </w:tcPr>
          <w:p w14:paraId="2F79F9BF" w14:textId="77777777" w:rsidR="00E970EF" w:rsidRPr="00B666AD" w:rsidRDefault="00E970EF" w:rsidP="00E970EF">
            <w:pPr>
              <w:pStyle w:val="TableParagraph"/>
              <w:spacing w:line="360" w:lineRule="auto"/>
              <w:ind w:left="107" w:right="96"/>
              <w:rPr>
                <w:rFonts w:ascii="楷体" w:eastAsia="楷体" w:hAnsi="楷体" w:cs="宋体"/>
                <w:sz w:val="21"/>
                <w:szCs w:val="21"/>
              </w:rPr>
            </w:pPr>
          </w:p>
        </w:tc>
        <w:tc>
          <w:tcPr>
            <w:tcW w:w="1134" w:type="dxa"/>
            <w:vAlign w:val="center"/>
          </w:tcPr>
          <w:p w14:paraId="756EE588" w14:textId="7F2F7FBC"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张鸿运</w:t>
            </w:r>
          </w:p>
        </w:tc>
        <w:tc>
          <w:tcPr>
            <w:tcW w:w="3118" w:type="dxa"/>
            <w:vAlign w:val="center"/>
          </w:tcPr>
          <w:p w14:paraId="3A6887BF" w14:textId="5C445BC9"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仁</w:t>
            </w:r>
            <w:proofErr w:type="gramStart"/>
            <w:r w:rsidRPr="001B0381">
              <w:rPr>
                <w:rFonts w:ascii="楷体" w:eastAsia="楷体" w:hAnsi="楷体" w:cs="宋体" w:hint="eastAsia"/>
                <w:color w:val="000000"/>
                <w:sz w:val="21"/>
                <w:szCs w:val="21"/>
              </w:rPr>
              <w:t>桥资产</w:t>
            </w:r>
            <w:proofErr w:type="gramEnd"/>
          </w:p>
        </w:tc>
        <w:tc>
          <w:tcPr>
            <w:tcW w:w="1701" w:type="dxa"/>
            <w:vAlign w:val="center"/>
          </w:tcPr>
          <w:p w14:paraId="572C6F3F" w14:textId="0E3523E3"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proofErr w:type="gramStart"/>
            <w:r w:rsidRPr="001B0381">
              <w:rPr>
                <w:rFonts w:ascii="楷体" w:eastAsia="楷体" w:hAnsi="楷体" w:cs="宋体" w:hint="eastAsia"/>
                <w:color w:val="000000"/>
                <w:sz w:val="21"/>
                <w:szCs w:val="21"/>
              </w:rPr>
              <w:t>冀泳洁</w:t>
            </w:r>
            <w:proofErr w:type="gramEnd"/>
          </w:p>
        </w:tc>
        <w:tc>
          <w:tcPr>
            <w:tcW w:w="3119" w:type="dxa"/>
            <w:vAlign w:val="center"/>
          </w:tcPr>
          <w:p w14:paraId="5EB49AF4" w14:textId="27AE65CD"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山西证券</w:t>
            </w:r>
          </w:p>
        </w:tc>
      </w:tr>
      <w:tr w:rsidR="00E970EF" w:rsidRPr="00B666AD" w14:paraId="250D3E43" w14:textId="77777777" w:rsidTr="00BF723E">
        <w:trPr>
          <w:trHeight w:val="39"/>
          <w:jc w:val="center"/>
        </w:trPr>
        <w:tc>
          <w:tcPr>
            <w:tcW w:w="1555" w:type="dxa"/>
            <w:vMerge/>
            <w:vAlign w:val="center"/>
          </w:tcPr>
          <w:p w14:paraId="3C2FD7A2" w14:textId="77777777" w:rsidR="00E970EF" w:rsidRPr="00B666AD" w:rsidRDefault="00E970EF" w:rsidP="00E970EF">
            <w:pPr>
              <w:pStyle w:val="TableParagraph"/>
              <w:spacing w:line="360" w:lineRule="auto"/>
              <w:ind w:left="107" w:right="96"/>
              <w:rPr>
                <w:rFonts w:ascii="楷体" w:eastAsia="楷体" w:hAnsi="楷体" w:cs="宋体"/>
                <w:sz w:val="21"/>
                <w:szCs w:val="21"/>
              </w:rPr>
            </w:pPr>
          </w:p>
        </w:tc>
        <w:tc>
          <w:tcPr>
            <w:tcW w:w="1134" w:type="dxa"/>
            <w:vAlign w:val="center"/>
          </w:tcPr>
          <w:p w14:paraId="127042A9" w14:textId="45821E0A"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程勇</w:t>
            </w:r>
          </w:p>
        </w:tc>
        <w:tc>
          <w:tcPr>
            <w:tcW w:w="3118" w:type="dxa"/>
            <w:vAlign w:val="center"/>
          </w:tcPr>
          <w:p w14:paraId="77BA1AF1" w14:textId="2BC72E51"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渤海财险</w:t>
            </w:r>
          </w:p>
        </w:tc>
        <w:tc>
          <w:tcPr>
            <w:tcW w:w="1701" w:type="dxa"/>
            <w:vAlign w:val="center"/>
          </w:tcPr>
          <w:p w14:paraId="39A88FAE" w14:textId="7F6E4A3B"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刘高晓</w:t>
            </w:r>
          </w:p>
        </w:tc>
        <w:tc>
          <w:tcPr>
            <w:tcW w:w="3119" w:type="dxa"/>
            <w:vAlign w:val="center"/>
          </w:tcPr>
          <w:p w14:paraId="129CD111" w14:textId="4522C267"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proofErr w:type="gramStart"/>
            <w:r w:rsidRPr="001B0381">
              <w:rPr>
                <w:rFonts w:ascii="楷体" w:eastAsia="楷体" w:hAnsi="楷体" w:cs="宋体" w:hint="eastAsia"/>
                <w:color w:val="000000"/>
                <w:sz w:val="21"/>
                <w:szCs w:val="21"/>
              </w:rPr>
              <w:t>汇添富基金</w:t>
            </w:r>
            <w:proofErr w:type="gramEnd"/>
            <w:r w:rsidRPr="001B0381">
              <w:rPr>
                <w:rFonts w:ascii="楷体" w:eastAsia="楷体" w:hAnsi="楷体" w:cs="宋体" w:hint="eastAsia"/>
                <w:color w:val="000000"/>
                <w:sz w:val="21"/>
                <w:szCs w:val="21"/>
              </w:rPr>
              <w:t>管理股份有限公司</w:t>
            </w:r>
          </w:p>
        </w:tc>
      </w:tr>
      <w:tr w:rsidR="00E970EF" w:rsidRPr="00B666AD" w14:paraId="2FE6842A" w14:textId="77777777" w:rsidTr="00BF723E">
        <w:trPr>
          <w:trHeight w:val="39"/>
          <w:jc w:val="center"/>
        </w:trPr>
        <w:tc>
          <w:tcPr>
            <w:tcW w:w="1555" w:type="dxa"/>
            <w:vMerge/>
            <w:vAlign w:val="center"/>
          </w:tcPr>
          <w:p w14:paraId="6CEE03E7" w14:textId="77777777" w:rsidR="00E970EF" w:rsidRPr="00B666AD" w:rsidRDefault="00E970EF" w:rsidP="00E970EF">
            <w:pPr>
              <w:pStyle w:val="TableParagraph"/>
              <w:spacing w:line="360" w:lineRule="auto"/>
              <w:ind w:left="107" w:right="96"/>
              <w:rPr>
                <w:rFonts w:ascii="楷体" w:eastAsia="楷体" w:hAnsi="楷体" w:cs="宋体"/>
                <w:sz w:val="21"/>
                <w:szCs w:val="21"/>
              </w:rPr>
            </w:pPr>
          </w:p>
        </w:tc>
        <w:tc>
          <w:tcPr>
            <w:tcW w:w="1134" w:type="dxa"/>
            <w:vAlign w:val="center"/>
          </w:tcPr>
          <w:p w14:paraId="0218B307" w14:textId="1348943F"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李梦媛</w:t>
            </w:r>
          </w:p>
        </w:tc>
        <w:tc>
          <w:tcPr>
            <w:tcW w:w="3118" w:type="dxa"/>
            <w:vAlign w:val="center"/>
          </w:tcPr>
          <w:p w14:paraId="0898BBA2" w14:textId="626BFEEA"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建信基金管理有限责任公司</w:t>
            </w:r>
          </w:p>
        </w:tc>
        <w:tc>
          <w:tcPr>
            <w:tcW w:w="1701" w:type="dxa"/>
            <w:vAlign w:val="center"/>
          </w:tcPr>
          <w:p w14:paraId="6662F025" w14:textId="781BDB81"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proofErr w:type="gramStart"/>
            <w:r w:rsidRPr="001B0381">
              <w:rPr>
                <w:rFonts w:ascii="楷体" w:eastAsia="楷体" w:hAnsi="楷体" w:cs="宋体" w:hint="eastAsia"/>
                <w:color w:val="000000"/>
                <w:sz w:val="21"/>
                <w:szCs w:val="21"/>
              </w:rPr>
              <w:t>张羽鹏</w:t>
            </w:r>
            <w:proofErr w:type="gramEnd"/>
          </w:p>
        </w:tc>
        <w:tc>
          <w:tcPr>
            <w:tcW w:w="3119" w:type="dxa"/>
            <w:vAlign w:val="center"/>
          </w:tcPr>
          <w:p w14:paraId="7CA3B869" w14:textId="5FC0DFF1"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proofErr w:type="gramStart"/>
            <w:r w:rsidRPr="001B0381">
              <w:rPr>
                <w:rFonts w:ascii="楷体" w:eastAsia="楷体" w:hAnsi="楷体" w:cs="宋体" w:hint="eastAsia"/>
                <w:color w:val="000000"/>
                <w:sz w:val="21"/>
                <w:szCs w:val="21"/>
              </w:rPr>
              <w:t>泉果基金</w:t>
            </w:r>
            <w:proofErr w:type="gramEnd"/>
            <w:r w:rsidRPr="001B0381">
              <w:rPr>
                <w:rFonts w:ascii="楷体" w:eastAsia="楷体" w:hAnsi="楷体" w:cs="宋体" w:hint="eastAsia"/>
                <w:color w:val="000000"/>
                <w:sz w:val="21"/>
                <w:szCs w:val="21"/>
              </w:rPr>
              <w:t>管理有限公司</w:t>
            </w:r>
          </w:p>
        </w:tc>
      </w:tr>
      <w:tr w:rsidR="00E970EF" w:rsidRPr="00B666AD" w14:paraId="067290EB" w14:textId="77777777" w:rsidTr="00BF723E">
        <w:trPr>
          <w:trHeight w:val="39"/>
          <w:jc w:val="center"/>
        </w:trPr>
        <w:tc>
          <w:tcPr>
            <w:tcW w:w="1555" w:type="dxa"/>
            <w:vMerge/>
            <w:vAlign w:val="center"/>
          </w:tcPr>
          <w:p w14:paraId="3B641B8B" w14:textId="77777777" w:rsidR="00E970EF" w:rsidRPr="00B666AD" w:rsidRDefault="00E970EF" w:rsidP="00E970EF">
            <w:pPr>
              <w:pStyle w:val="TableParagraph"/>
              <w:spacing w:line="360" w:lineRule="auto"/>
              <w:ind w:left="107" w:right="96"/>
              <w:rPr>
                <w:rFonts w:ascii="楷体" w:eastAsia="楷体" w:hAnsi="楷体" w:cs="宋体"/>
                <w:sz w:val="21"/>
                <w:szCs w:val="21"/>
              </w:rPr>
            </w:pPr>
          </w:p>
        </w:tc>
        <w:tc>
          <w:tcPr>
            <w:tcW w:w="1134" w:type="dxa"/>
            <w:vAlign w:val="center"/>
          </w:tcPr>
          <w:p w14:paraId="0A81770B" w14:textId="641F4287"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韩立</w:t>
            </w:r>
          </w:p>
        </w:tc>
        <w:tc>
          <w:tcPr>
            <w:tcW w:w="3118" w:type="dxa"/>
            <w:vAlign w:val="center"/>
          </w:tcPr>
          <w:p w14:paraId="23C0A8C8" w14:textId="1E4827FC"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proofErr w:type="gramStart"/>
            <w:r w:rsidRPr="001B0381">
              <w:rPr>
                <w:rFonts w:ascii="楷体" w:eastAsia="楷体" w:hAnsi="楷体" w:cs="宋体" w:hint="eastAsia"/>
                <w:color w:val="000000"/>
                <w:sz w:val="21"/>
                <w:szCs w:val="21"/>
              </w:rPr>
              <w:t>睿胜投资</w:t>
            </w:r>
            <w:proofErr w:type="gramEnd"/>
          </w:p>
        </w:tc>
        <w:tc>
          <w:tcPr>
            <w:tcW w:w="1701" w:type="dxa"/>
            <w:vAlign w:val="center"/>
          </w:tcPr>
          <w:p w14:paraId="3117B495" w14:textId="77BCBCC7"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proofErr w:type="gramStart"/>
            <w:r w:rsidRPr="001B0381">
              <w:rPr>
                <w:rFonts w:ascii="楷体" w:eastAsia="楷体" w:hAnsi="楷体" w:cs="宋体" w:hint="eastAsia"/>
                <w:color w:val="000000"/>
                <w:sz w:val="21"/>
                <w:szCs w:val="21"/>
              </w:rPr>
              <w:t>孙鹏</w:t>
            </w:r>
            <w:proofErr w:type="gramEnd"/>
          </w:p>
        </w:tc>
        <w:tc>
          <w:tcPr>
            <w:tcW w:w="3119" w:type="dxa"/>
            <w:vAlign w:val="center"/>
          </w:tcPr>
          <w:p w14:paraId="75778D3F" w14:textId="1EA31249"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中信</w:t>
            </w:r>
            <w:proofErr w:type="gramStart"/>
            <w:r w:rsidRPr="001B0381">
              <w:rPr>
                <w:rFonts w:ascii="楷体" w:eastAsia="楷体" w:hAnsi="楷体" w:cs="宋体" w:hint="eastAsia"/>
                <w:color w:val="000000"/>
                <w:sz w:val="21"/>
                <w:szCs w:val="21"/>
              </w:rPr>
              <w:t>建投基金</w:t>
            </w:r>
            <w:proofErr w:type="gramEnd"/>
            <w:r w:rsidRPr="001B0381">
              <w:rPr>
                <w:rFonts w:ascii="楷体" w:eastAsia="楷体" w:hAnsi="楷体" w:cs="宋体" w:hint="eastAsia"/>
                <w:color w:val="000000"/>
                <w:sz w:val="21"/>
                <w:szCs w:val="21"/>
              </w:rPr>
              <w:t>管理有限公司</w:t>
            </w:r>
          </w:p>
        </w:tc>
      </w:tr>
      <w:tr w:rsidR="00E970EF" w:rsidRPr="00B666AD" w14:paraId="10EA0C27" w14:textId="77777777" w:rsidTr="00BF723E">
        <w:trPr>
          <w:trHeight w:val="39"/>
          <w:jc w:val="center"/>
        </w:trPr>
        <w:tc>
          <w:tcPr>
            <w:tcW w:w="1555" w:type="dxa"/>
            <w:vMerge/>
            <w:vAlign w:val="center"/>
          </w:tcPr>
          <w:p w14:paraId="77F7EF7D" w14:textId="77777777" w:rsidR="00E970EF" w:rsidRPr="00B666AD" w:rsidRDefault="00E970EF" w:rsidP="00E970EF">
            <w:pPr>
              <w:pStyle w:val="TableParagraph"/>
              <w:spacing w:line="360" w:lineRule="auto"/>
              <w:ind w:left="107" w:right="96"/>
              <w:rPr>
                <w:rFonts w:ascii="楷体" w:eastAsia="楷体" w:hAnsi="楷体" w:cs="宋体"/>
                <w:sz w:val="21"/>
                <w:szCs w:val="21"/>
              </w:rPr>
            </w:pPr>
          </w:p>
        </w:tc>
        <w:tc>
          <w:tcPr>
            <w:tcW w:w="1134" w:type="dxa"/>
            <w:vAlign w:val="center"/>
          </w:tcPr>
          <w:p w14:paraId="7DAB98CD" w14:textId="5132BA73"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邓心怡</w:t>
            </w:r>
          </w:p>
        </w:tc>
        <w:tc>
          <w:tcPr>
            <w:tcW w:w="3118" w:type="dxa"/>
            <w:vAlign w:val="center"/>
          </w:tcPr>
          <w:p w14:paraId="3B11DD32" w14:textId="2227A7B2"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诺安基金</w:t>
            </w:r>
          </w:p>
        </w:tc>
        <w:tc>
          <w:tcPr>
            <w:tcW w:w="1701" w:type="dxa"/>
            <w:vAlign w:val="center"/>
          </w:tcPr>
          <w:p w14:paraId="375F9038" w14:textId="5C45FB2E"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proofErr w:type="gramStart"/>
            <w:r w:rsidRPr="001B0381">
              <w:rPr>
                <w:rFonts w:ascii="楷体" w:eastAsia="楷体" w:hAnsi="楷体" w:cs="宋体" w:hint="eastAsia"/>
                <w:color w:val="000000"/>
                <w:sz w:val="21"/>
                <w:szCs w:val="21"/>
              </w:rPr>
              <w:t>万品玉</w:t>
            </w:r>
            <w:proofErr w:type="gramEnd"/>
          </w:p>
        </w:tc>
        <w:tc>
          <w:tcPr>
            <w:tcW w:w="3119" w:type="dxa"/>
            <w:vAlign w:val="center"/>
          </w:tcPr>
          <w:p w14:paraId="682C9201" w14:textId="03C1EBFB"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嘉</w:t>
            </w:r>
            <w:proofErr w:type="gramStart"/>
            <w:r w:rsidRPr="001B0381">
              <w:rPr>
                <w:rFonts w:ascii="楷体" w:eastAsia="楷体" w:hAnsi="楷体" w:cs="宋体" w:hint="eastAsia"/>
                <w:color w:val="000000"/>
                <w:sz w:val="21"/>
                <w:szCs w:val="21"/>
              </w:rPr>
              <w:t>实基金</w:t>
            </w:r>
            <w:proofErr w:type="gramEnd"/>
            <w:r w:rsidRPr="001B0381">
              <w:rPr>
                <w:rFonts w:ascii="楷体" w:eastAsia="楷体" w:hAnsi="楷体" w:cs="宋体" w:hint="eastAsia"/>
                <w:color w:val="000000"/>
                <w:sz w:val="21"/>
                <w:szCs w:val="21"/>
              </w:rPr>
              <w:t>管理有限公司</w:t>
            </w:r>
          </w:p>
        </w:tc>
      </w:tr>
      <w:tr w:rsidR="00E970EF" w:rsidRPr="00B666AD" w14:paraId="660588D4" w14:textId="77777777" w:rsidTr="00BF723E">
        <w:trPr>
          <w:trHeight w:val="39"/>
          <w:jc w:val="center"/>
        </w:trPr>
        <w:tc>
          <w:tcPr>
            <w:tcW w:w="1555" w:type="dxa"/>
            <w:vMerge/>
            <w:vAlign w:val="center"/>
          </w:tcPr>
          <w:p w14:paraId="04205562" w14:textId="77777777" w:rsidR="00E970EF" w:rsidRPr="00B666AD" w:rsidRDefault="00E970EF" w:rsidP="00E970EF">
            <w:pPr>
              <w:pStyle w:val="TableParagraph"/>
              <w:spacing w:line="360" w:lineRule="auto"/>
              <w:ind w:left="107" w:right="96"/>
              <w:rPr>
                <w:rFonts w:ascii="楷体" w:eastAsia="楷体" w:hAnsi="楷体" w:cs="宋体"/>
                <w:sz w:val="21"/>
                <w:szCs w:val="21"/>
              </w:rPr>
            </w:pPr>
          </w:p>
        </w:tc>
        <w:tc>
          <w:tcPr>
            <w:tcW w:w="1134" w:type="dxa"/>
            <w:vAlign w:val="center"/>
          </w:tcPr>
          <w:p w14:paraId="67783876" w14:textId="665909F0"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魏炜</w:t>
            </w:r>
          </w:p>
        </w:tc>
        <w:tc>
          <w:tcPr>
            <w:tcW w:w="3118" w:type="dxa"/>
            <w:vAlign w:val="center"/>
          </w:tcPr>
          <w:p w14:paraId="0A1AF8FD" w14:textId="00DF37D3"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上海益和</w:t>
            </w:r>
            <w:proofErr w:type="gramStart"/>
            <w:r w:rsidRPr="001B0381">
              <w:rPr>
                <w:rFonts w:ascii="楷体" w:eastAsia="楷体" w:hAnsi="楷体" w:cs="宋体" w:hint="eastAsia"/>
                <w:color w:val="000000"/>
                <w:sz w:val="21"/>
                <w:szCs w:val="21"/>
              </w:rPr>
              <w:t>源资产</w:t>
            </w:r>
            <w:proofErr w:type="gramEnd"/>
            <w:r w:rsidRPr="001B0381">
              <w:rPr>
                <w:rFonts w:ascii="楷体" w:eastAsia="楷体" w:hAnsi="楷体" w:cs="宋体" w:hint="eastAsia"/>
                <w:color w:val="000000"/>
                <w:sz w:val="21"/>
                <w:szCs w:val="21"/>
              </w:rPr>
              <w:t>管理有限公司</w:t>
            </w:r>
          </w:p>
        </w:tc>
        <w:tc>
          <w:tcPr>
            <w:tcW w:w="1701" w:type="dxa"/>
            <w:vAlign w:val="center"/>
          </w:tcPr>
          <w:p w14:paraId="47CEA786" w14:textId="0C817319"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刘鹏</w:t>
            </w:r>
          </w:p>
        </w:tc>
        <w:tc>
          <w:tcPr>
            <w:tcW w:w="3119" w:type="dxa"/>
            <w:vAlign w:val="center"/>
          </w:tcPr>
          <w:p w14:paraId="5DFDA08F" w14:textId="5D294F10"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江苏养</w:t>
            </w:r>
            <w:proofErr w:type="gramStart"/>
            <w:r w:rsidRPr="001B0381">
              <w:rPr>
                <w:rFonts w:ascii="楷体" w:eastAsia="楷体" w:hAnsi="楷体" w:cs="宋体" w:hint="eastAsia"/>
                <w:color w:val="000000"/>
                <w:sz w:val="21"/>
                <w:szCs w:val="21"/>
              </w:rPr>
              <w:t>正基金</w:t>
            </w:r>
            <w:proofErr w:type="gramEnd"/>
          </w:p>
        </w:tc>
      </w:tr>
      <w:tr w:rsidR="00E970EF" w:rsidRPr="00B666AD" w14:paraId="49435291" w14:textId="77777777" w:rsidTr="00BF723E">
        <w:trPr>
          <w:trHeight w:val="39"/>
          <w:jc w:val="center"/>
        </w:trPr>
        <w:tc>
          <w:tcPr>
            <w:tcW w:w="1555" w:type="dxa"/>
            <w:vMerge/>
            <w:vAlign w:val="center"/>
          </w:tcPr>
          <w:p w14:paraId="26223358" w14:textId="77777777" w:rsidR="00E970EF" w:rsidRPr="00B666AD" w:rsidRDefault="00E970EF" w:rsidP="00E970EF">
            <w:pPr>
              <w:pStyle w:val="TableParagraph"/>
              <w:spacing w:line="360" w:lineRule="auto"/>
              <w:ind w:left="107" w:right="96"/>
              <w:rPr>
                <w:rFonts w:ascii="楷体" w:eastAsia="楷体" w:hAnsi="楷体" w:cs="宋体"/>
                <w:sz w:val="21"/>
                <w:szCs w:val="21"/>
              </w:rPr>
            </w:pPr>
          </w:p>
        </w:tc>
        <w:tc>
          <w:tcPr>
            <w:tcW w:w="1134" w:type="dxa"/>
            <w:vAlign w:val="center"/>
          </w:tcPr>
          <w:p w14:paraId="09188DBD" w14:textId="6F144C9C"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韩宇</w:t>
            </w:r>
          </w:p>
        </w:tc>
        <w:tc>
          <w:tcPr>
            <w:tcW w:w="3118" w:type="dxa"/>
            <w:vAlign w:val="center"/>
          </w:tcPr>
          <w:p w14:paraId="0E024C2D" w14:textId="29174DA5"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方正证券</w:t>
            </w:r>
          </w:p>
        </w:tc>
        <w:tc>
          <w:tcPr>
            <w:tcW w:w="1701" w:type="dxa"/>
            <w:vAlign w:val="center"/>
          </w:tcPr>
          <w:p w14:paraId="09311CE3" w14:textId="345DFD97"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王鑫</w:t>
            </w:r>
          </w:p>
        </w:tc>
        <w:tc>
          <w:tcPr>
            <w:tcW w:w="3119" w:type="dxa"/>
            <w:vAlign w:val="center"/>
          </w:tcPr>
          <w:p w14:paraId="3C2DEF55" w14:textId="14D64859"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上海五聚资产管理有限公司</w:t>
            </w:r>
          </w:p>
        </w:tc>
      </w:tr>
      <w:tr w:rsidR="00E970EF" w:rsidRPr="00B666AD" w14:paraId="1B2C5655" w14:textId="77777777" w:rsidTr="00BF723E">
        <w:trPr>
          <w:trHeight w:val="39"/>
          <w:jc w:val="center"/>
        </w:trPr>
        <w:tc>
          <w:tcPr>
            <w:tcW w:w="1555" w:type="dxa"/>
            <w:vMerge/>
            <w:vAlign w:val="center"/>
          </w:tcPr>
          <w:p w14:paraId="4F4586C9" w14:textId="77777777" w:rsidR="00E970EF" w:rsidRPr="00B666AD" w:rsidRDefault="00E970EF" w:rsidP="00E970EF">
            <w:pPr>
              <w:pStyle w:val="TableParagraph"/>
              <w:spacing w:line="360" w:lineRule="auto"/>
              <w:ind w:left="107" w:right="96"/>
              <w:rPr>
                <w:rFonts w:ascii="楷体" w:eastAsia="楷体" w:hAnsi="楷体" w:cs="宋体"/>
                <w:sz w:val="21"/>
                <w:szCs w:val="21"/>
              </w:rPr>
            </w:pPr>
          </w:p>
        </w:tc>
        <w:tc>
          <w:tcPr>
            <w:tcW w:w="1134" w:type="dxa"/>
            <w:vAlign w:val="center"/>
          </w:tcPr>
          <w:p w14:paraId="3950B7B8" w14:textId="33532725"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杨琳</w:t>
            </w:r>
          </w:p>
        </w:tc>
        <w:tc>
          <w:tcPr>
            <w:tcW w:w="3118" w:type="dxa"/>
            <w:vAlign w:val="center"/>
          </w:tcPr>
          <w:p w14:paraId="68A4DA7E" w14:textId="18119048"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中国人</w:t>
            </w:r>
            <w:proofErr w:type="gramStart"/>
            <w:r w:rsidRPr="001B0381">
              <w:rPr>
                <w:rFonts w:ascii="楷体" w:eastAsia="楷体" w:hAnsi="楷体" w:cs="宋体" w:hint="eastAsia"/>
                <w:color w:val="000000"/>
                <w:sz w:val="21"/>
                <w:szCs w:val="21"/>
              </w:rPr>
              <w:t>寿资产</w:t>
            </w:r>
            <w:proofErr w:type="gramEnd"/>
            <w:r w:rsidRPr="001B0381">
              <w:rPr>
                <w:rFonts w:ascii="楷体" w:eastAsia="楷体" w:hAnsi="楷体" w:cs="宋体" w:hint="eastAsia"/>
                <w:color w:val="000000"/>
                <w:sz w:val="21"/>
                <w:szCs w:val="21"/>
              </w:rPr>
              <w:t>管理有限公司</w:t>
            </w:r>
          </w:p>
        </w:tc>
        <w:tc>
          <w:tcPr>
            <w:tcW w:w="1701" w:type="dxa"/>
            <w:vAlign w:val="center"/>
          </w:tcPr>
          <w:p w14:paraId="175F0D03" w14:textId="0C27E412"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姚思洲</w:t>
            </w:r>
          </w:p>
        </w:tc>
        <w:tc>
          <w:tcPr>
            <w:tcW w:w="3119" w:type="dxa"/>
            <w:vAlign w:val="center"/>
          </w:tcPr>
          <w:p w14:paraId="3482DB85" w14:textId="71653F55"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中</w:t>
            </w:r>
            <w:proofErr w:type="gramStart"/>
            <w:r w:rsidRPr="001B0381">
              <w:rPr>
                <w:rFonts w:ascii="楷体" w:eastAsia="楷体" w:hAnsi="楷体" w:cs="宋体" w:hint="eastAsia"/>
                <w:color w:val="000000"/>
                <w:sz w:val="21"/>
                <w:szCs w:val="21"/>
              </w:rPr>
              <w:t>信保诚基金</w:t>
            </w:r>
            <w:proofErr w:type="gramEnd"/>
            <w:r w:rsidRPr="001B0381">
              <w:rPr>
                <w:rFonts w:ascii="楷体" w:eastAsia="楷体" w:hAnsi="楷体" w:cs="宋体" w:hint="eastAsia"/>
                <w:color w:val="000000"/>
                <w:sz w:val="21"/>
                <w:szCs w:val="21"/>
              </w:rPr>
              <w:t>管理有限公司</w:t>
            </w:r>
          </w:p>
        </w:tc>
      </w:tr>
      <w:tr w:rsidR="00E970EF" w:rsidRPr="00B666AD" w14:paraId="37C08250" w14:textId="77777777" w:rsidTr="00BF723E">
        <w:trPr>
          <w:trHeight w:val="39"/>
          <w:jc w:val="center"/>
        </w:trPr>
        <w:tc>
          <w:tcPr>
            <w:tcW w:w="1555" w:type="dxa"/>
            <w:vMerge/>
            <w:vAlign w:val="center"/>
          </w:tcPr>
          <w:p w14:paraId="58577889" w14:textId="77777777" w:rsidR="00E970EF" w:rsidRPr="00B666AD" w:rsidRDefault="00E970EF" w:rsidP="00E970EF">
            <w:pPr>
              <w:pStyle w:val="TableParagraph"/>
              <w:spacing w:line="360" w:lineRule="auto"/>
              <w:ind w:left="107" w:right="96"/>
              <w:rPr>
                <w:rFonts w:ascii="楷体" w:eastAsia="楷体" w:hAnsi="楷体" w:cs="宋体"/>
                <w:sz w:val="21"/>
                <w:szCs w:val="21"/>
              </w:rPr>
            </w:pPr>
          </w:p>
        </w:tc>
        <w:tc>
          <w:tcPr>
            <w:tcW w:w="1134" w:type="dxa"/>
            <w:vAlign w:val="center"/>
          </w:tcPr>
          <w:p w14:paraId="2EB8060C" w14:textId="74D8EBD3"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林庆</w:t>
            </w:r>
          </w:p>
        </w:tc>
        <w:tc>
          <w:tcPr>
            <w:tcW w:w="3118" w:type="dxa"/>
            <w:vAlign w:val="center"/>
          </w:tcPr>
          <w:p w14:paraId="64CCD1E0" w14:textId="40DBFD68"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富国基金管理有限公司</w:t>
            </w:r>
          </w:p>
        </w:tc>
        <w:tc>
          <w:tcPr>
            <w:tcW w:w="1701" w:type="dxa"/>
            <w:vAlign w:val="center"/>
          </w:tcPr>
          <w:p w14:paraId="209C5E36" w14:textId="0DF39BF3"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王剑敏</w:t>
            </w:r>
          </w:p>
        </w:tc>
        <w:tc>
          <w:tcPr>
            <w:tcW w:w="3119" w:type="dxa"/>
            <w:vAlign w:val="center"/>
          </w:tcPr>
          <w:p w14:paraId="29D6FD4F" w14:textId="55B26D0D"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北京鑫翰资本管理有限公司</w:t>
            </w:r>
          </w:p>
        </w:tc>
      </w:tr>
      <w:tr w:rsidR="00E970EF" w:rsidRPr="00B666AD" w14:paraId="0FEDFD13" w14:textId="77777777" w:rsidTr="00BF723E">
        <w:trPr>
          <w:trHeight w:val="39"/>
          <w:jc w:val="center"/>
        </w:trPr>
        <w:tc>
          <w:tcPr>
            <w:tcW w:w="1555" w:type="dxa"/>
            <w:vMerge/>
            <w:vAlign w:val="center"/>
          </w:tcPr>
          <w:p w14:paraId="5C972043" w14:textId="77777777" w:rsidR="00E970EF" w:rsidRPr="00B666AD" w:rsidRDefault="00E970EF" w:rsidP="00E970EF">
            <w:pPr>
              <w:pStyle w:val="TableParagraph"/>
              <w:spacing w:line="360" w:lineRule="auto"/>
              <w:ind w:left="107" w:right="96"/>
              <w:rPr>
                <w:rFonts w:ascii="楷体" w:eastAsia="楷体" w:hAnsi="楷体" w:cs="宋体"/>
                <w:sz w:val="21"/>
                <w:szCs w:val="21"/>
              </w:rPr>
            </w:pPr>
          </w:p>
        </w:tc>
        <w:tc>
          <w:tcPr>
            <w:tcW w:w="1134" w:type="dxa"/>
            <w:vAlign w:val="center"/>
          </w:tcPr>
          <w:p w14:paraId="2CBDA1EE" w14:textId="52954D15"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金宾斌</w:t>
            </w:r>
          </w:p>
        </w:tc>
        <w:tc>
          <w:tcPr>
            <w:tcW w:w="3118" w:type="dxa"/>
            <w:vAlign w:val="center"/>
          </w:tcPr>
          <w:p w14:paraId="01F9EE0C" w14:textId="44BAF15A"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中金公司（资管）</w:t>
            </w:r>
          </w:p>
        </w:tc>
        <w:tc>
          <w:tcPr>
            <w:tcW w:w="1701" w:type="dxa"/>
            <w:vAlign w:val="center"/>
          </w:tcPr>
          <w:p w14:paraId="6C2DF9E1" w14:textId="23E4642F"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proofErr w:type="gramStart"/>
            <w:r w:rsidRPr="001B0381">
              <w:rPr>
                <w:rFonts w:ascii="楷体" w:eastAsia="楷体" w:hAnsi="楷体" w:cs="宋体" w:hint="eastAsia"/>
                <w:color w:val="000000"/>
                <w:sz w:val="21"/>
                <w:szCs w:val="21"/>
              </w:rPr>
              <w:t>张元涛</w:t>
            </w:r>
            <w:proofErr w:type="gramEnd"/>
          </w:p>
        </w:tc>
        <w:tc>
          <w:tcPr>
            <w:tcW w:w="3119" w:type="dxa"/>
            <w:vAlign w:val="center"/>
          </w:tcPr>
          <w:p w14:paraId="3AD81D6F" w14:textId="0BE41CBE"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东海基金管理有限责任公司</w:t>
            </w:r>
          </w:p>
        </w:tc>
      </w:tr>
      <w:tr w:rsidR="00E970EF" w:rsidRPr="00B666AD" w14:paraId="344BF0C2" w14:textId="77777777" w:rsidTr="00BF723E">
        <w:trPr>
          <w:trHeight w:val="39"/>
          <w:jc w:val="center"/>
        </w:trPr>
        <w:tc>
          <w:tcPr>
            <w:tcW w:w="1555" w:type="dxa"/>
            <w:vMerge/>
            <w:vAlign w:val="center"/>
          </w:tcPr>
          <w:p w14:paraId="44FB91D1" w14:textId="77777777" w:rsidR="00E970EF" w:rsidRPr="00B666AD" w:rsidRDefault="00E970EF" w:rsidP="00E970EF">
            <w:pPr>
              <w:pStyle w:val="TableParagraph"/>
              <w:spacing w:line="360" w:lineRule="auto"/>
              <w:ind w:left="107" w:right="96"/>
              <w:rPr>
                <w:rFonts w:ascii="楷体" w:eastAsia="楷体" w:hAnsi="楷体" w:cs="宋体"/>
                <w:sz w:val="21"/>
                <w:szCs w:val="21"/>
              </w:rPr>
            </w:pPr>
          </w:p>
        </w:tc>
        <w:tc>
          <w:tcPr>
            <w:tcW w:w="1134" w:type="dxa"/>
            <w:vAlign w:val="center"/>
          </w:tcPr>
          <w:p w14:paraId="0215E0A3" w14:textId="52C9D18D"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proofErr w:type="gramStart"/>
            <w:r w:rsidRPr="001B0381">
              <w:rPr>
                <w:rFonts w:ascii="楷体" w:eastAsia="楷体" w:hAnsi="楷体" w:cs="宋体" w:hint="eastAsia"/>
                <w:color w:val="000000"/>
                <w:sz w:val="21"/>
                <w:szCs w:val="21"/>
              </w:rPr>
              <w:t>江坤</w:t>
            </w:r>
            <w:proofErr w:type="gramEnd"/>
          </w:p>
        </w:tc>
        <w:tc>
          <w:tcPr>
            <w:tcW w:w="3118" w:type="dxa"/>
            <w:vAlign w:val="center"/>
          </w:tcPr>
          <w:p w14:paraId="1C577B4C" w14:textId="2378EF7B"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陆家</w:t>
            </w:r>
            <w:proofErr w:type="gramStart"/>
            <w:r w:rsidRPr="001B0381">
              <w:rPr>
                <w:rFonts w:ascii="楷体" w:eastAsia="楷体" w:hAnsi="楷体" w:cs="宋体" w:hint="eastAsia"/>
                <w:color w:val="000000"/>
                <w:sz w:val="21"/>
                <w:szCs w:val="21"/>
              </w:rPr>
              <w:t>嘴国际</w:t>
            </w:r>
            <w:proofErr w:type="gramEnd"/>
            <w:r w:rsidRPr="001B0381">
              <w:rPr>
                <w:rFonts w:ascii="楷体" w:eastAsia="楷体" w:hAnsi="楷体" w:cs="宋体" w:hint="eastAsia"/>
                <w:color w:val="000000"/>
                <w:sz w:val="21"/>
                <w:szCs w:val="21"/>
              </w:rPr>
              <w:t>信托有限公司</w:t>
            </w:r>
          </w:p>
        </w:tc>
        <w:tc>
          <w:tcPr>
            <w:tcW w:w="1701" w:type="dxa"/>
            <w:vAlign w:val="center"/>
          </w:tcPr>
          <w:p w14:paraId="6321E149" w14:textId="66E15BEE"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钱坤</w:t>
            </w:r>
          </w:p>
        </w:tc>
        <w:tc>
          <w:tcPr>
            <w:tcW w:w="3119" w:type="dxa"/>
            <w:vAlign w:val="center"/>
          </w:tcPr>
          <w:p w14:paraId="25CC93B9" w14:textId="6E9098FE"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浙江益恒投资管理有限公司</w:t>
            </w:r>
          </w:p>
        </w:tc>
      </w:tr>
      <w:tr w:rsidR="00E970EF" w:rsidRPr="00B666AD" w14:paraId="5A02460F" w14:textId="77777777" w:rsidTr="00BF723E">
        <w:trPr>
          <w:trHeight w:val="39"/>
          <w:jc w:val="center"/>
        </w:trPr>
        <w:tc>
          <w:tcPr>
            <w:tcW w:w="1555" w:type="dxa"/>
            <w:vMerge/>
            <w:vAlign w:val="center"/>
          </w:tcPr>
          <w:p w14:paraId="4993A0DD" w14:textId="77777777" w:rsidR="00E970EF" w:rsidRPr="00B666AD" w:rsidRDefault="00E970EF" w:rsidP="00E970EF">
            <w:pPr>
              <w:pStyle w:val="TableParagraph"/>
              <w:spacing w:line="360" w:lineRule="auto"/>
              <w:ind w:left="107" w:right="96"/>
              <w:rPr>
                <w:rFonts w:ascii="楷体" w:eastAsia="楷体" w:hAnsi="楷体" w:cs="宋体"/>
                <w:sz w:val="21"/>
                <w:szCs w:val="21"/>
              </w:rPr>
            </w:pPr>
          </w:p>
        </w:tc>
        <w:tc>
          <w:tcPr>
            <w:tcW w:w="1134" w:type="dxa"/>
            <w:vAlign w:val="center"/>
          </w:tcPr>
          <w:p w14:paraId="3F8F0A30" w14:textId="3C4A38D1"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proofErr w:type="gramStart"/>
            <w:r w:rsidRPr="001B0381">
              <w:rPr>
                <w:rFonts w:ascii="楷体" w:eastAsia="楷体" w:hAnsi="楷体" w:cs="宋体" w:hint="eastAsia"/>
                <w:color w:val="000000"/>
                <w:sz w:val="21"/>
                <w:szCs w:val="21"/>
              </w:rPr>
              <w:t>汪自兵</w:t>
            </w:r>
            <w:proofErr w:type="gramEnd"/>
          </w:p>
        </w:tc>
        <w:tc>
          <w:tcPr>
            <w:tcW w:w="3118" w:type="dxa"/>
            <w:vAlign w:val="center"/>
          </w:tcPr>
          <w:p w14:paraId="6D86AD59" w14:textId="729D6F5C"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上海方物私募基金</w:t>
            </w:r>
          </w:p>
        </w:tc>
        <w:tc>
          <w:tcPr>
            <w:tcW w:w="1701" w:type="dxa"/>
            <w:vAlign w:val="center"/>
          </w:tcPr>
          <w:p w14:paraId="62B52E55" w14:textId="7138D341"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金宾斌</w:t>
            </w:r>
          </w:p>
        </w:tc>
        <w:tc>
          <w:tcPr>
            <w:tcW w:w="3119" w:type="dxa"/>
            <w:vAlign w:val="center"/>
          </w:tcPr>
          <w:p w14:paraId="5BBF6E96" w14:textId="2C0D4F63"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中国国际金融股份有限公司</w:t>
            </w:r>
          </w:p>
        </w:tc>
      </w:tr>
      <w:tr w:rsidR="00E970EF" w:rsidRPr="00B666AD" w14:paraId="4859C3D3" w14:textId="77777777" w:rsidTr="00BF723E">
        <w:trPr>
          <w:trHeight w:val="39"/>
          <w:jc w:val="center"/>
        </w:trPr>
        <w:tc>
          <w:tcPr>
            <w:tcW w:w="1555" w:type="dxa"/>
            <w:vMerge/>
            <w:vAlign w:val="center"/>
          </w:tcPr>
          <w:p w14:paraId="6E4A9960" w14:textId="77777777" w:rsidR="00E970EF" w:rsidRPr="00B666AD" w:rsidRDefault="00E970EF" w:rsidP="00E970EF">
            <w:pPr>
              <w:pStyle w:val="TableParagraph"/>
              <w:spacing w:line="360" w:lineRule="auto"/>
              <w:ind w:left="107" w:right="96"/>
              <w:rPr>
                <w:rFonts w:ascii="楷体" w:eastAsia="楷体" w:hAnsi="楷体" w:cs="宋体"/>
                <w:sz w:val="21"/>
                <w:szCs w:val="21"/>
              </w:rPr>
            </w:pPr>
          </w:p>
        </w:tc>
        <w:tc>
          <w:tcPr>
            <w:tcW w:w="1134" w:type="dxa"/>
            <w:vAlign w:val="center"/>
          </w:tcPr>
          <w:p w14:paraId="3EEAD7B5" w14:textId="15AB5CAA"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王鹏飞</w:t>
            </w:r>
          </w:p>
        </w:tc>
        <w:tc>
          <w:tcPr>
            <w:tcW w:w="3118" w:type="dxa"/>
            <w:vAlign w:val="center"/>
          </w:tcPr>
          <w:p w14:paraId="526220E1" w14:textId="6A0E951C"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华宝信托</w:t>
            </w:r>
          </w:p>
        </w:tc>
        <w:tc>
          <w:tcPr>
            <w:tcW w:w="1701" w:type="dxa"/>
            <w:vAlign w:val="center"/>
          </w:tcPr>
          <w:p w14:paraId="199447AF" w14:textId="4C7B4B95"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崔华钦</w:t>
            </w:r>
          </w:p>
        </w:tc>
        <w:tc>
          <w:tcPr>
            <w:tcW w:w="3119" w:type="dxa"/>
            <w:vAlign w:val="center"/>
          </w:tcPr>
          <w:p w14:paraId="688EC649" w14:textId="1CC5FF1B"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深圳</w:t>
            </w:r>
            <w:proofErr w:type="gramStart"/>
            <w:r w:rsidRPr="001B0381">
              <w:rPr>
                <w:rFonts w:ascii="楷体" w:eastAsia="楷体" w:hAnsi="楷体" w:cs="宋体" w:hint="eastAsia"/>
                <w:color w:val="000000"/>
                <w:sz w:val="21"/>
                <w:szCs w:val="21"/>
              </w:rPr>
              <w:t>创富兆业</w:t>
            </w:r>
            <w:proofErr w:type="gramEnd"/>
            <w:r w:rsidRPr="001B0381">
              <w:rPr>
                <w:rFonts w:ascii="楷体" w:eastAsia="楷体" w:hAnsi="楷体" w:cs="宋体" w:hint="eastAsia"/>
                <w:color w:val="000000"/>
                <w:sz w:val="21"/>
                <w:szCs w:val="21"/>
              </w:rPr>
              <w:t>企业管理合伙</w:t>
            </w:r>
          </w:p>
        </w:tc>
      </w:tr>
      <w:tr w:rsidR="00E970EF" w:rsidRPr="00B666AD" w14:paraId="78423DB1" w14:textId="77777777" w:rsidTr="00BF723E">
        <w:trPr>
          <w:trHeight w:val="39"/>
          <w:jc w:val="center"/>
        </w:trPr>
        <w:tc>
          <w:tcPr>
            <w:tcW w:w="1555" w:type="dxa"/>
            <w:vMerge/>
            <w:vAlign w:val="center"/>
          </w:tcPr>
          <w:p w14:paraId="2EE19DA2" w14:textId="77777777" w:rsidR="00E970EF" w:rsidRPr="00B666AD" w:rsidRDefault="00E970EF" w:rsidP="00E970EF">
            <w:pPr>
              <w:pStyle w:val="TableParagraph"/>
              <w:spacing w:line="360" w:lineRule="auto"/>
              <w:ind w:left="107" w:right="96"/>
              <w:rPr>
                <w:rFonts w:ascii="楷体" w:eastAsia="楷体" w:hAnsi="楷体" w:cs="宋体"/>
                <w:sz w:val="21"/>
                <w:szCs w:val="21"/>
              </w:rPr>
            </w:pPr>
          </w:p>
        </w:tc>
        <w:tc>
          <w:tcPr>
            <w:tcW w:w="1134" w:type="dxa"/>
            <w:vAlign w:val="center"/>
          </w:tcPr>
          <w:p w14:paraId="2069251F" w14:textId="373BDE9F"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万淑珊</w:t>
            </w:r>
          </w:p>
        </w:tc>
        <w:tc>
          <w:tcPr>
            <w:tcW w:w="3118" w:type="dxa"/>
            <w:vAlign w:val="center"/>
          </w:tcPr>
          <w:p w14:paraId="7CC1E4DC" w14:textId="0ED84764"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平安资产管理有限责任公司</w:t>
            </w:r>
          </w:p>
        </w:tc>
        <w:tc>
          <w:tcPr>
            <w:tcW w:w="1701" w:type="dxa"/>
            <w:vAlign w:val="center"/>
          </w:tcPr>
          <w:p w14:paraId="3575BA84" w14:textId="1A3781B3"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董万江</w:t>
            </w:r>
          </w:p>
        </w:tc>
        <w:tc>
          <w:tcPr>
            <w:tcW w:w="3119" w:type="dxa"/>
            <w:vAlign w:val="center"/>
          </w:tcPr>
          <w:p w14:paraId="008137B1" w14:textId="5E77769C"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同泰基金管理有限公司</w:t>
            </w:r>
          </w:p>
        </w:tc>
      </w:tr>
      <w:tr w:rsidR="00E970EF" w:rsidRPr="00B666AD" w14:paraId="7BBD25B9" w14:textId="77777777" w:rsidTr="00BF723E">
        <w:trPr>
          <w:trHeight w:val="39"/>
          <w:jc w:val="center"/>
        </w:trPr>
        <w:tc>
          <w:tcPr>
            <w:tcW w:w="1555" w:type="dxa"/>
            <w:vMerge/>
            <w:vAlign w:val="center"/>
          </w:tcPr>
          <w:p w14:paraId="01BD730C" w14:textId="77777777" w:rsidR="00E970EF" w:rsidRPr="00B666AD" w:rsidRDefault="00E970EF" w:rsidP="00E970EF">
            <w:pPr>
              <w:pStyle w:val="TableParagraph"/>
              <w:spacing w:line="360" w:lineRule="auto"/>
              <w:ind w:left="107" w:right="96"/>
              <w:rPr>
                <w:rFonts w:ascii="楷体" w:eastAsia="楷体" w:hAnsi="楷体" w:cs="宋体"/>
                <w:sz w:val="21"/>
                <w:szCs w:val="21"/>
              </w:rPr>
            </w:pPr>
          </w:p>
        </w:tc>
        <w:tc>
          <w:tcPr>
            <w:tcW w:w="1134" w:type="dxa"/>
            <w:vAlign w:val="center"/>
          </w:tcPr>
          <w:p w14:paraId="5BF3493B" w14:textId="280E1C8F"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林庆</w:t>
            </w:r>
          </w:p>
        </w:tc>
        <w:tc>
          <w:tcPr>
            <w:tcW w:w="3118" w:type="dxa"/>
            <w:vAlign w:val="center"/>
          </w:tcPr>
          <w:p w14:paraId="1F4D4D48" w14:textId="406A6447"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富国基金管理有限公司</w:t>
            </w:r>
          </w:p>
        </w:tc>
        <w:tc>
          <w:tcPr>
            <w:tcW w:w="1701" w:type="dxa"/>
            <w:vAlign w:val="center"/>
          </w:tcPr>
          <w:p w14:paraId="739A7C66" w14:textId="4C95D8D3"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邢瑶</w:t>
            </w:r>
          </w:p>
        </w:tc>
        <w:tc>
          <w:tcPr>
            <w:tcW w:w="3119" w:type="dxa"/>
            <w:vAlign w:val="center"/>
          </w:tcPr>
          <w:p w14:paraId="08A34C92" w14:textId="2BABF91C"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中</w:t>
            </w:r>
            <w:proofErr w:type="gramStart"/>
            <w:r w:rsidRPr="001B0381">
              <w:rPr>
                <w:rFonts w:ascii="楷体" w:eastAsia="楷体" w:hAnsi="楷体" w:cs="宋体" w:hint="eastAsia"/>
                <w:color w:val="000000"/>
                <w:sz w:val="21"/>
                <w:szCs w:val="21"/>
              </w:rPr>
              <w:t>金基金</w:t>
            </w:r>
            <w:proofErr w:type="gramEnd"/>
            <w:r w:rsidRPr="001B0381">
              <w:rPr>
                <w:rFonts w:ascii="楷体" w:eastAsia="楷体" w:hAnsi="楷体" w:cs="宋体" w:hint="eastAsia"/>
                <w:color w:val="000000"/>
                <w:sz w:val="21"/>
                <w:szCs w:val="21"/>
              </w:rPr>
              <w:t>管理有限公司</w:t>
            </w:r>
          </w:p>
        </w:tc>
      </w:tr>
      <w:tr w:rsidR="00E970EF" w:rsidRPr="00B666AD" w14:paraId="674C49F1" w14:textId="77777777" w:rsidTr="00BF723E">
        <w:trPr>
          <w:trHeight w:val="39"/>
          <w:jc w:val="center"/>
        </w:trPr>
        <w:tc>
          <w:tcPr>
            <w:tcW w:w="1555" w:type="dxa"/>
            <w:vMerge/>
            <w:vAlign w:val="center"/>
          </w:tcPr>
          <w:p w14:paraId="10969F38" w14:textId="77777777" w:rsidR="00E970EF" w:rsidRPr="00B666AD" w:rsidRDefault="00E970EF" w:rsidP="00E970EF">
            <w:pPr>
              <w:pStyle w:val="TableParagraph"/>
              <w:spacing w:line="360" w:lineRule="auto"/>
              <w:ind w:left="107" w:right="96"/>
              <w:rPr>
                <w:rFonts w:ascii="楷体" w:eastAsia="楷体" w:hAnsi="楷体" w:cs="宋体"/>
                <w:sz w:val="21"/>
                <w:szCs w:val="21"/>
              </w:rPr>
            </w:pPr>
          </w:p>
        </w:tc>
        <w:tc>
          <w:tcPr>
            <w:tcW w:w="1134" w:type="dxa"/>
            <w:vAlign w:val="center"/>
          </w:tcPr>
          <w:p w14:paraId="7D66D2B9" w14:textId="7F807492"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proofErr w:type="gramStart"/>
            <w:r w:rsidRPr="001B0381">
              <w:rPr>
                <w:rFonts w:ascii="楷体" w:eastAsia="楷体" w:hAnsi="楷体" w:cs="宋体" w:hint="eastAsia"/>
                <w:color w:val="000000"/>
                <w:sz w:val="21"/>
                <w:szCs w:val="21"/>
              </w:rPr>
              <w:t>洪少猛</w:t>
            </w:r>
            <w:proofErr w:type="gramEnd"/>
          </w:p>
        </w:tc>
        <w:tc>
          <w:tcPr>
            <w:tcW w:w="3118" w:type="dxa"/>
            <w:vAlign w:val="center"/>
          </w:tcPr>
          <w:p w14:paraId="6CAF09ED" w14:textId="7E04F73A"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苏州景千投资管理有限公司</w:t>
            </w:r>
          </w:p>
        </w:tc>
        <w:tc>
          <w:tcPr>
            <w:tcW w:w="1701" w:type="dxa"/>
            <w:vAlign w:val="center"/>
          </w:tcPr>
          <w:p w14:paraId="121CB9B8" w14:textId="1F8D6562"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史彦刚</w:t>
            </w:r>
          </w:p>
        </w:tc>
        <w:tc>
          <w:tcPr>
            <w:tcW w:w="3119" w:type="dxa"/>
            <w:vAlign w:val="center"/>
          </w:tcPr>
          <w:p w14:paraId="730D7B9E" w14:textId="0E771714"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太平基金管理有限公司</w:t>
            </w:r>
          </w:p>
        </w:tc>
      </w:tr>
      <w:tr w:rsidR="00E970EF" w:rsidRPr="00B666AD" w14:paraId="57D21B00" w14:textId="77777777" w:rsidTr="00BF723E">
        <w:trPr>
          <w:trHeight w:val="39"/>
          <w:jc w:val="center"/>
        </w:trPr>
        <w:tc>
          <w:tcPr>
            <w:tcW w:w="1555" w:type="dxa"/>
            <w:vMerge/>
            <w:vAlign w:val="center"/>
          </w:tcPr>
          <w:p w14:paraId="2EA913D1" w14:textId="77777777" w:rsidR="00E970EF" w:rsidRPr="00B666AD" w:rsidRDefault="00E970EF" w:rsidP="00E970EF">
            <w:pPr>
              <w:pStyle w:val="TableParagraph"/>
              <w:spacing w:line="360" w:lineRule="auto"/>
              <w:ind w:left="107" w:right="96"/>
              <w:rPr>
                <w:rFonts w:ascii="楷体" w:eastAsia="楷体" w:hAnsi="楷体" w:cs="宋体"/>
                <w:sz w:val="21"/>
                <w:szCs w:val="21"/>
              </w:rPr>
            </w:pPr>
          </w:p>
        </w:tc>
        <w:tc>
          <w:tcPr>
            <w:tcW w:w="1134" w:type="dxa"/>
            <w:vAlign w:val="center"/>
          </w:tcPr>
          <w:p w14:paraId="276A0F2C" w14:textId="09BD0FC5"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曹智明</w:t>
            </w:r>
          </w:p>
        </w:tc>
        <w:tc>
          <w:tcPr>
            <w:tcW w:w="3118" w:type="dxa"/>
            <w:vAlign w:val="center"/>
          </w:tcPr>
          <w:p w14:paraId="2AD4C116" w14:textId="3512A034"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深圳正圆投资有限公司</w:t>
            </w:r>
          </w:p>
        </w:tc>
        <w:tc>
          <w:tcPr>
            <w:tcW w:w="1701" w:type="dxa"/>
            <w:vAlign w:val="center"/>
          </w:tcPr>
          <w:p w14:paraId="3F002203" w14:textId="2698C81A"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荣欣</w:t>
            </w:r>
          </w:p>
        </w:tc>
        <w:tc>
          <w:tcPr>
            <w:tcW w:w="3119" w:type="dxa"/>
            <w:vAlign w:val="center"/>
          </w:tcPr>
          <w:p w14:paraId="0325AFB3" w14:textId="4E4165C9"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前海开源基金管理有限公司</w:t>
            </w:r>
          </w:p>
        </w:tc>
      </w:tr>
      <w:tr w:rsidR="00E970EF" w:rsidRPr="00B666AD" w14:paraId="73754759" w14:textId="77777777" w:rsidTr="00BF723E">
        <w:trPr>
          <w:trHeight w:val="39"/>
          <w:jc w:val="center"/>
        </w:trPr>
        <w:tc>
          <w:tcPr>
            <w:tcW w:w="1555" w:type="dxa"/>
            <w:vMerge/>
            <w:vAlign w:val="center"/>
          </w:tcPr>
          <w:p w14:paraId="597E1371" w14:textId="77777777" w:rsidR="00E970EF" w:rsidRPr="00B666AD" w:rsidRDefault="00E970EF" w:rsidP="00E970EF">
            <w:pPr>
              <w:pStyle w:val="TableParagraph"/>
              <w:spacing w:line="360" w:lineRule="auto"/>
              <w:ind w:left="107" w:right="96"/>
              <w:rPr>
                <w:rFonts w:ascii="楷体" w:eastAsia="楷体" w:hAnsi="楷体" w:cs="宋体"/>
                <w:sz w:val="21"/>
                <w:szCs w:val="21"/>
              </w:rPr>
            </w:pPr>
          </w:p>
        </w:tc>
        <w:tc>
          <w:tcPr>
            <w:tcW w:w="1134" w:type="dxa"/>
            <w:vAlign w:val="center"/>
          </w:tcPr>
          <w:p w14:paraId="54BCC279" w14:textId="3DEAAFC7"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proofErr w:type="gramStart"/>
            <w:r w:rsidRPr="001B0381">
              <w:rPr>
                <w:rFonts w:ascii="楷体" w:eastAsia="楷体" w:hAnsi="楷体" w:cs="宋体" w:hint="eastAsia"/>
                <w:color w:val="000000"/>
                <w:sz w:val="21"/>
                <w:szCs w:val="21"/>
              </w:rPr>
              <w:t>程锋</w:t>
            </w:r>
            <w:proofErr w:type="gramEnd"/>
          </w:p>
        </w:tc>
        <w:tc>
          <w:tcPr>
            <w:tcW w:w="3118" w:type="dxa"/>
            <w:vAlign w:val="center"/>
          </w:tcPr>
          <w:p w14:paraId="687D6F6D" w14:textId="72D86AD3"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上海处</w:t>
            </w:r>
            <w:proofErr w:type="gramStart"/>
            <w:r w:rsidRPr="001B0381">
              <w:rPr>
                <w:rFonts w:ascii="楷体" w:eastAsia="楷体" w:hAnsi="楷体" w:cs="宋体" w:hint="eastAsia"/>
                <w:color w:val="000000"/>
                <w:sz w:val="21"/>
                <w:szCs w:val="21"/>
              </w:rPr>
              <w:t>厚沁慕基金</w:t>
            </w:r>
            <w:proofErr w:type="gramEnd"/>
          </w:p>
        </w:tc>
        <w:tc>
          <w:tcPr>
            <w:tcW w:w="1701" w:type="dxa"/>
            <w:vAlign w:val="center"/>
          </w:tcPr>
          <w:p w14:paraId="2F288FC6" w14:textId="415A03F9"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陈琛</w:t>
            </w:r>
          </w:p>
        </w:tc>
        <w:tc>
          <w:tcPr>
            <w:tcW w:w="3119" w:type="dxa"/>
            <w:vAlign w:val="center"/>
          </w:tcPr>
          <w:p w14:paraId="42207D57" w14:textId="35572CEB"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中国国际金融股份有限公司</w:t>
            </w:r>
          </w:p>
        </w:tc>
      </w:tr>
      <w:tr w:rsidR="00E970EF" w:rsidRPr="00B666AD" w14:paraId="374CA5CB" w14:textId="77777777" w:rsidTr="00BF723E">
        <w:trPr>
          <w:trHeight w:val="39"/>
          <w:jc w:val="center"/>
        </w:trPr>
        <w:tc>
          <w:tcPr>
            <w:tcW w:w="1555" w:type="dxa"/>
            <w:vMerge/>
            <w:vAlign w:val="center"/>
          </w:tcPr>
          <w:p w14:paraId="240FC1EF" w14:textId="77777777" w:rsidR="00E970EF" w:rsidRPr="00B666AD" w:rsidRDefault="00E970EF" w:rsidP="00E970EF">
            <w:pPr>
              <w:pStyle w:val="TableParagraph"/>
              <w:spacing w:line="360" w:lineRule="auto"/>
              <w:ind w:left="107" w:right="96"/>
              <w:rPr>
                <w:rFonts w:ascii="楷体" w:eastAsia="楷体" w:hAnsi="楷体" w:cs="宋体"/>
                <w:sz w:val="21"/>
                <w:szCs w:val="21"/>
              </w:rPr>
            </w:pPr>
          </w:p>
        </w:tc>
        <w:tc>
          <w:tcPr>
            <w:tcW w:w="1134" w:type="dxa"/>
            <w:vAlign w:val="center"/>
          </w:tcPr>
          <w:p w14:paraId="0B8FBF33" w14:textId="6C62F575"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陈冠雄</w:t>
            </w:r>
          </w:p>
        </w:tc>
        <w:tc>
          <w:tcPr>
            <w:tcW w:w="3118" w:type="dxa"/>
            <w:vAlign w:val="center"/>
          </w:tcPr>
          <w:p w14:paraId="24A6C50C" w14:textId="2B6F6B49"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中银国际证券股份有限公司</w:t>
            </w:r>
          </w:p>
        </w:tc>
        <w:tc>
          <w:tcPr>
            <w:tcW w:w="1701" w:type="dxa"/>
            <w:vAlign w:val="center"/>
          </w:tcPr>
          <w:p w14:paraId="2CE215B5" w14:textId="6C73AB01"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proofErr w:type="gramStart"/>
            <w:r w:rsidRPr="001B0381">
              <w:rPr>
                <w:rFonts w:ascii="楷体" w:eastAsia="楷体" w:hAnsi="楷体" w:cs="宋体" w:hint="eastAsia"/>
                <w:color w:val="000000"/>
                <w:sz w:val="21"/>
                <w:szCs w:val="21"/>
              </w:rPr>
              <w:t>韦琦</w:t>
            </w:r>
            <w:proofErr w:type="gramEnd"/>
          </w:p>
        </w:tc>
        <w:tc>
          <w:tcPr>
            <w:tcW w:w="3119" w:type="dxa"/>
            <w:vAlign w:val="center"/>
          </w:tcPr>
          <w:p w14:paraId="78678B01" w14:textId="2C743D40"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proofErr w:type="gramStart"/>
            <w:r w:rsidRPr="001B0381">
              <w:rPr>
                <w:rFonts w:ascii="楷体" w:eastAsia="楷体" w:hAnsi="楷体" w:cs="宋体" w:hint="eastAsia"/>
                <w:color w:val="000000"/>
                <w:sz w:val="21"/>
                <w:szCs w:val="21"/>
              </w:rPr>
              <w:t>玄卜投资</w:t>
            </w:r>
            <w:proofErr w:type="gramEnd"/>
            <w:r w:rsidRPr="001B0381">
              <w:rPr>
                <w:rFonts w:ascii="楷体" w:eastAsia="楷体" w:hAnsi="楷体" w:cs="宋体" w:hint="eastAsia"/>
                <w:color w:val="000000"/>
                <w:sz w:val="21"/>
                <w:szCs w:val="21"/>
              </w:rPr>
              <w:t>（上海）有限公司</w:t>
            </w:r>
          </w:p>
        </w:tc>
      </w:tr>
      <w:tr w:rsidR="00E970EF" w:rsidRPr="00B666AD" w14:paraId="46289330" w14:textId="77777777" w:rsidTr="00BF723E">
        <w:trPr>
          <w:trHeight w:val="39"/>
          <w:jc w:val="center"/>
        </w:trPr>
        <w:tc>
          <w:tcPr>
            <w:tcW w:w="1555" w:type="dxa"/>
            <w:vMerge/>
            <w:vAlign w:val="center"/>
          </w:tcPr>
          <w:p w14:paraId="7330A0EB" w14:textId="77777777" w:rsidR="00E970EF" w:rsidRPr="00B666AD" w:rsidRDefault="00E970EF" w:rsidP="00E970EF">
            <w:pPr>
              <w:pStyle w:val="TableParagraph"/>
              <w:spacing w:line="360" w:lineRule="auto"/>
              <w:ind w:left="107" w:right="96"/>
              <w:rPr>
                <w:rFonts w:ascii="楷体" w:eastAsia="楷体" w:hAnsi="楷体" w:cs="宋体"/>
                <w:sz w:val="21"/>
                <w:szCs w:val="21"/>
              </w:rPr>
            </w:pPr>
          </w:p>
        </w:tc>
        <w:tc>
          <w:tcPr>
            <w:tcW w:w="1134" w:type="dxa"/>
            <w:vAlign w:val="center"/>
          </w:tcPr>
          <w:p w14:paraId="2B9A448B" w14:textId="025E8BB5"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王云鹏</w:t>
            </w:r>
          </w:p>
        </w:tc>
        <w:tc>
          <w:tcPr>
            <w:tcW w:w="3118" w:type="dxa"/>
            <w:vAlign w:val="center"/>
          </w:tcPr>
          <w:p w14:paraId="584454FF" w14:textId="00224EDD"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鹏华基金</w:t>
            </w:r>
          </w:p>
        </w:tc>
        <w:tc>
          <w:tcPr>
            <w:tcW w:w="1701" w:type="dxa"/>
            <w:vAlign w:val="center"/>
          </w:tcPr>
          <w:p w14:paraId="507DA5EF" w14:textId="3F3818EE"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proofErr w:type="gramStart"/>
            <w:r w:rsidRPr="001B0381">
              <w:rPr>
                <w:rFonts w:ascii="楷体" w:eastAsia="楷体" w:hAnsi="楷体" w:cs="宋体" w:hint="eastAsia"/>
                <w:color w:val="000000"/>
                <w:sz w:val="21"/>
                <w:szCs w:val="21"/>
              </w:rPr>
              <w:t>张响东</w:t>
            </w:r>
            <w:proofErr w:type="gramEnd"/>
          </w:p>
        </w:tc>
        <w:tc>
          <w:tcPr>
            <w:tcW w:w="3119" w:type="dxa"/>
            <w:vAlign w:val="center"/>
          </w:tcPr>
          <w:p w14:paraId="7F539FDB" w14:textId="6621261D"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中</w:t>
            </w:r>
            <w:proofErr w:type="gramStart"/>
            <w:r w:rsidRPr="001B0381">
              <w:rPr>
                <w:rFonts w:ascii="楷体" w:eastAsia="楷体" w:hAnsi="楷体" w:cs="宋体" w:hint="eastAsia"/>
                <w:color w:val="000000"/>
                <w:sz w:val="21"/>
                <w:szCs w:val="21"/>
              </w:rPr>
              <w:t>银基金</w:t>
            </w:r>
            <w:proofErr w:type="gramEnd"/>
            <w:r w:rsidRPr="001B0381">
              <w:rPr>
                <w:rFonts w:ascii="楷体" w:eastAsia="楷体" w:hAnsi="楷体" w:cs="宋体" w:hint="eastAsia"/>
                <w:color w:val="000000"/>
                <w:sz w:val="21"/>
                <w:szCs w:val="21"/>
              </w:rPr>
              <w:t>管理有限公司</w:t>
            </w:r>
          </w:p>
        </w:tc>
      </w:tr>
      <w:tr w:rsidR="00E970EF" w:rsidRPr="00B666AD" w14:paraId="52A901C6" w14:textId="77777777" w:rsidTr="00BF723E">
        <w:trPr>
          <w:trHeight w:val="39"/>
          <w:jc w:val="center"/>
        </w:trPr>
        <w:tc>
          <w:tcPr>
            <w:tcW w:w="1555" w:type="dxa"/>
            <w:vMerge/>
            <w:vAlign w:val="center"/>
          </w:tcPr>
          <w:p w14:paraId="60D2A78B" w14:textId="77777777" w:rsidR="00E970EF" w:rsidRPr="00B666AD" w:rsidRDefault="00E970EF" w:rsidP="00E970EF">
            <w:pPr>
              <w:pStyle w:val="TableParagraph"/>
              <w:spacing w:line="360" w:lineRule="auto"/>
              <w:ind w:left="107" w:right="96"/>
              <w:rPr>
                <w:rFonts w:ascii="楷体" w:eastAsia="楷体" w:hAnsi="楷体" w:cs="宋体"/>
                <w:sz w:val="21"/>
                <w:szCs w:val="21"/>
              </w:rPr>
            </w:pPr>
          </w:p>
        </w:tc>
        <w:tc>
          <w:tcPr>
            <w:tcW w:w="1134" w:type="dxa"/>
            <w:vAlign w:val="center"/>
          </w:tcPr>
          <w:p w14:paraId="0C7270DE" w14:textId="20C0174E"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卢杰</w:t>
            </w:r>
          </w:p>
        </w:tc>
        <w:tc>
          <w:tcPr>
            <w:tcW w:w="3118" w:type="dxa"/>
            <w:vAlign w:val="center"/>
          </w:tcPr>
          <w:p w14:paraId="1D60A14F" w14:textId="044ACCFA"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厦门财富管理顾问有限公司</w:t>
            </w:r>
          </w:p>
        </w:tc>
        <w:tc>
          <w:tcPr>
            <w:tcW w:w="1701" w:type="dxa"/>
            <w:vAlign w:val="center"/>
          </w:tcPr>
          <w:p w14:paraId="1F191111" w14:textId="44A64ACB"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proofErr w:type="gramStart"/>
            <w:r w:rsidRPr="001B0381">
              <w:rPr>
                <w:rFonts w:ascii="楷体" w:eastAsia="楷体" w:hAnsi="楷体" w:cs="宋体" w:hint="eastAsia"/>
                <w:color w:val="000000"/>
                <w:sz w:val="21"/>
                <w:szCs w:val="21"/>
              </w:rPr>
              <w:t>尚鹏岳</w:t>
            </w:r>
            <w:proofErr w:type="gramEnd"/>
          </w:p>
        </w:tc>
        <w:tc>
          <w:tcPr>
            <w:tcW w:w="3119" w:type="dxa"/>
            <w:vAlign w:val="center"/>
          </w:tcPr>
          <w:p w14:paraId="1FB089F3" w14:textId="3A901B86"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浙江观合资产管理有限公司</w:t>
            </w:r>
          </w:p>
        </w:tc>
      </w:tr>
      <w:tr w:rsidR="00E970EF" w:rsidRPr="00B666AD" w14:paraId="3E273D67" w14:textId="77777777" w:rsidTr="00BF723E">
        <w:trPr>
          <w:trHeight w:val="39"/>
          <w:jc w:val="center"/>
        </w:trPr>
        <w:tc>
          <w:tcPr>
            <w:tcW w:w="1555" w:type="dxa"/>
            <w:vMerge/>
            <w:vAlign w:val="center"/>
          </w:tcPr>
          <w:p w14:paraId="6DE0D93B" w14:textId="77777777" w:rsidR="00E970EF" w:rsidRPr="00B666AD" w:rsidRDefault="00E970EF" w:rsidP="00E970EF">
            <w:pPr>
              <w:pStyle w:val="TableParagraph"/>
              <w:spacing w:line="360" w:lineRule="auto"/>
              <w:ind w:left="107" w:right="96"/>
              <w:rPr>
                <w:rFonts w:ascii="楷体" w:eastAsia="楷体" w:hAnsi="楷体" w:cs="宋体"/>
                <w:sz w:val="21"/>
                <w:szCs w:val="21"/>
              </w:rPr>
            </w:pPr>
          </w:p>
        </w:tc>
        <w:tc>
          <w:tcPr>
            <w:tcW w:w="1134" w:type="dxa"/>
            <w:vAlign w:val="center"/>
          </w:tcPr>
          <w:p w14:paraId="65FAAD88" w14:textId="457CABFC"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宋涛</w:t>
            </w:r>
          </w:p>
        </w:tc>
        <w:tc>
          <w:tcPr>
            <w:tcW w:w="3118" w:type="dxa"/>
            <w:vAlign w:val="center"/>
          </w:tcPr>
          <w:p w14:paraId="5CE03969" w14:textId="5ADEC740"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proofErr w:type="gramStart"/>
            <w:r w:rsidRPr="001B0381">
              <w:rPr>
                <w:rFonts w:ascii="楷体" w:eastAsia="楷体" w:hAnsi="楷体" w:cs="宋体" w:hint="eastAsia"/>
                <w:color w:val="000000"/>
                <w:sz w:val="21"/>
                <w:szCs w:val="21"/>
              </w:rPr>
              <w:t>申万宏源证券</w:t>
            </w:r>
            <w:proofErr w:type="gramEnd"/>
            <w:r w:rsidRPr="001B0381">
              <w:rPr>
                <w:rFonts w:ascii="楷体" w:eastAsia="楷体" w:hAnsi="楷体" w:cs="宋体" w:hint="eastAsia"/>
                <w:color w:val="000000"/>
                <w:sz w:val="21"/>
                <w:szCs w:val="21"/>
              </w:rPr>
              <w:t>有限公司</w:t>
            </w:r>
          </w:p>
        </w:tc>
        <w:tc>
          <w:tcPr>
            <w:tcW w:w="1701" w:type="dxa"/>
            <w:vAlign w:val="center"/>
          </w:tcPr>
          <w:p w14:paraId="2107466A" w14:textId="2F8EC0E3"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proofErr w:type="gramStart"/>
            <w:r w:rsidRPr="001B0381">
              <w:rPr>
                <w:rFonts w:ascii="楷体" w:eastAsia="楷体" w:hAnsi="楷体" w:cs="宋体" w:hint="eastAsia"/>
                <w:color w:val="000000"/>
                <w:sz w:val="21"/>
                <w:szCs w:val="21"/>
              </w:rPr>
              <w:t>徐彪</w:t>
            </w:r>
            <w:proofErr w:type="gramEnd"/>
          </w:p>
        </w:tc>
        <w:tc>
          <w:tcPr>
            <w:tcW w:w="3119" w:type="dxa"/>
            <w:vAlign w:val="center"/>
          </w:tcPr>
          <w:p w14:paraId="2F251F1C" w14:textId="128A87C1"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广东正圆投资有限公司</w:t>
            </w:r>
          </w:p>
        </w:tc>
      </w:tr>
      <w:tr w:rsidR="00E970EF" w:rsidRPr="00B666AD" w14:paraId="1D818FC1" w14:textId="77777777" w:rsidTr="00BF723E">
        <w:trPr>
          <w:trHeight w:val="39"/>
          <w:jc w:val="center"/>
        </w:trPr>
        <w:tc>
          <w:tcPr>
            <w:tcW w:w="1555" w:type="dxa"/>
            <w:vMerge/>
            <w:vAlign w:val="center"/>
          </w:tcPr>
          <w:p w14:paraId="3E32031F" w14:textId="77777777" w:rsidR="00E970EF" w:rsidRPr="00B666AD" w:rsidRDefault="00E970EF" w:rsidP="00E970EF">
            <w:pPr>
              <w:pStyle w:val="TableParagraph"/>
              <w:spacing w:line="360" w:lineRule="auto"/>
              <w:ind w:left="107" w:right="96"/>
              <w:rPr>
                <w:rFonts w:ascii="楷体" w:eastAsia="楷体" w:hAnsi="楷体" w:cs="宋体"/>
                <w:sz w:val="21"/>
                <w:szCs w:val="21"/>
              </w:rPr>
            </w:pPr>
          </w:p>
        </w:tc>
        <w:tc>
          <w:tcPr>
            <w:tcW w:w="1134" w:type="dxa"/>
            <w:vAlign w:val="center"/>
          </w:tcPr>
          <w:p w14:paraId="1FAE7F53" w14:textId="6786AEEF"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苏淼</w:t>
            </w:r>
          </w:p>
        </w:tc>
        <w:tc>
          <w:tcPr>
            <w:tcW w:w="3118" w:type="dxa"/>
            <w:vAlign w:val="center"/>
          </w:tcPr>
          <w:p w14:paraId="04575C70" w14:textId="34F1ED07"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光大保德信基金管理有限公司</w:t>
            </w:r>
          </w:p>
        </w:tc>
        <w:tc>
          <w:tcPr>
            <w:tcW w:w="1701" w:type="dxa"/>
            <w:vAlign w:val="center"/>
          </w:tcPr>
          <w:p w14:paraId="2681DA87" w14:textId="401EF617"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proofErr w:type="gramStart"/>
            <w:r w:rsidRPr="001B0381">
              <w:rPr>
                <w:rFonts w:ascii="楷体" w:eastAsia="楷体" w:hAnsi="楷体" w:cs="宋体" w:hint="eastAsia"/>
                <w:color w:val="000000"/>
                <w:sz w:val="21"/>
                <w:szCs w:val="21"/>
              </w:rPr>
              <w:t>胡聪玲</w:t>
            </w:r>
            <w:proofErr w:type="gramEnd"/>
          </w:p>
        </w:tc>
        <w:tc>
          <w:tcPr>
            <w:tcW w:w="3119" w:type="dxa"/>
            <w:vAlign w:val="center"/>
          </w:tcPr>
          <w:p w14:paraId="5EA93C77" w14:textId="73870D72"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全天候私募证券基金</w:t>
            </w:r>
          </w:p>
        </w:tc>
      </w:tr>
      <w:tr w:rsidR="00E970EF" w:rsidRPr="00B666AD" w14:paraId="1CCFB9D2" w14:textId="77777777" w:rsidTr="00BF723E">
        <w:trPr>
          <w:trHeight w:val="39"/>
          <w:jc w:val="center"/>
        </w:trPr>
        <w:tc>
          <w:tcPr>
            <w:tcW w:w="1555" w:type="dxa"/>
            <w:vMerge/>
            <w:vAlign w:val="center"/>
          </w:tcPr>
          <w:p w14:paraId="0D9A7E85" w14:textId="77777777" w:rsidR="00E970EF" w:rsidRPr="00B666AD" w:rsidRDefault="00E970EF" w:rsidP="00E970EF">
            <w:pPr>
              <w:pStyle w:val="TableParagraph"/>
              <w:spacing w:line="360" w:lineRule="auto"/>
              <w:ind w:left="107" w:right="96"/>
              <w:rPr>
                <w:rFonts w:ascii="楷体" w:eastAsia="楷体" w:hAnsi="楷体" w:cs="宋体"/>
                <w:sz w:val="21"/>
                <w:szCs w:val="21"/>
              </w:rPr>
            </w:pPr>
          </w:p>
        </w:tc>
        <w:tc>
          <w:tcPr>
            <w:tcW w:w="1134" w:type="dxa"/>
            <w:vAlign w:val="center"/>
          </w:tcPr>
          <w:p w14:paraId="7AF4792C" w14:textId="1AB92061"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赵群翊</w:t>
            </w:r>
          </w:p>
        </w:tc>
        <w:tc>
          <w:tcPr>
            <w:tcW w:w="3118" w:type="dxa"/>
            <w:vAlign w:val="center"/>
          </w:tcPr>
          <w:p w14:paraId="0FD98A6B" w14:textId="4B1BEF72"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北京清和</w:t>
            </w:r>
            <w:proofErr w:type="gramStart"/>
            <w:r w:rsidRPr="001B0381">
              <w:rPr>
                <w:rFonts w:ascii="楷体" w:eastAsia="楷体" w:hAnsi="楷体" w:cs="宋体" w:hint="eastAsia"/>
                <w:color w:val="000000"/>
                <w:sz w:val="21"/>
                <w:szCs w:val="21"/>
              </w:rPr>
              <w:t>泉资本</w:t>
            </w:r>
            <w:proofErr w:type="gramEnd"/>
            <w:r w:rsidRPr="001B0381">
              <w:rPr>
                <w:rFonts w:ascii="楷体" w:eastAsia="楷体" w:hAnsi="楷体" w:cs="宋体" w:hint="eastAsia"/>
                <w:color w:val="000000"/>
                <w:sz w:val="21"/>
                <w:szCs w:val="21"/>
              </w:rPr>
              <w:t>管理有限公司</w:t>
            </w:r>
          </w:p>
        </w:tc>
        <w:tc>
          <w:tcPr>
            <w:tcW w:w="1701" w:type="dxa"/>
            <w:vAlign w:val="center"/>
          </w:tcPr>
          <w:p w14:paraId="279FE10C" w14:textId="09BDC9D3"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proofErr w:type="gramStart"/>
            <w:r w:rsidRPr="001B0381">
              <w:rPr>
                <w:rFonts w:ascii="楷体" w:eastAsia="楷体" w:hAnsi="楷体" w:cs="宋体" w:hint="eastAsia"/>
                <w:color w:val="000000"/>
                <w:sz w:val="21"/>
                <w:szCs w:val="21"/>
              </w:rPr>
              <w:t>刘艾珠</w:t>
            </w:r>
            <w:proofErr w:type="gramEnd"/>
          </w:p>
        </w:tc>
        <w:tc>
          <w:tcPr>
            <w:tcW w:w="3119" w:type="dxa"/>
            <w:vAlign w:val="center"/>
          </w:tcPr>
          <w:p w14:paraId="3B894959" w14:textId="50F45C39"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杭州银行理财子</w:t>
            </w:r>
          </w:p>
        </w:tc>
      </w:tr>
      <w:tr w:rsidR="00E970EF" w:rsidRPr="00B666AD" w14:paraId="3457FBB9" w14:textId="77777777" w:rsidTr="00BF723E">
        <w:trPr>
          <w:trHeight w:val="39"/>
          <w:jc w:val="center"/>
        </w:trPr>
        <w:tc>
          <w:tcPr>
            <w:tcW w:w="1555" w:type="dxa"/>
            <w:vMerge/>
            <w:vAlign w:val="center"/>
          </w:tcPr>
          <w:p w14:paraId="0B35683F" w14:textId="77777777" w:rsidR="00E970EF" w:rsidRPr="00B666AD" w:rsidRDefault="00E970EF" w:rsidP="00E970EF">
            <w:pPr>
              <w:pStyle w:val="TableParagraph"/>
              <w:spacing w:line="360" w:lineRule="auto"/>
              <w:ind w:left="107" w:right="96"/>
              <w:rPr>
                <w:rFonts w:ascii="楷体" w:eastAsia="楷体" w:hAnsi="楷体" w:cs="宋体"/>
                <w:sz w:val="21"/>
                <w:szCs w:val="21"/>
              </w:rPr>
            </w:pPr>
          </w:p>
        </w:tc>
        <w:tc>
          <w:tcPr>
            <w:tcW w:w="1134" w:type="dxa"/>
            <w:vAlign w:val="center"/>
          </w:tcPr>
          <w:p w14:paraId="1AECFD39" w14:textId="4982D5DE"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proofErr w:type="gramStart"/>
            <w:r w:rsidRPr="001B0381">
              <w:rPr>
                <w:rFonts w:ascii="楷体" w:eastAsia="楷体" w:hAnsi="楷体" w:cs="宋体" w:hint="eastAsia"/>
                <w:color w:val="000000"/>
                <w:sz w:val="21"/>
                <w:szCs w:val="21"/>
              </w:rPr>
              <w:t>陆毅楷</w:t>
            </w:r>
            <w:proofErr w:type="gramEnd"/>
          </w:p>
        </w:tc>
        <w:tc>
          <w:tcPr>
            <w:tcW w:w="3118" w:type="dxa"/>
            <w:vAlign w:val="center"/>
          </w:tcPr>
          <w:p w14:paraId="10BB405D" w14:textId="3B53735A"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proofErr w:type="gramStart"/>
            <w:r w:rsidRPr="001B0381">
              <w:rPr>
                <w:rFonts w:ascii="楷体" w:eastAsia="楷体" w:hAnsi="楷体" w:cs="宋体" w:hint="eastAsia"/>
                <w:color w:val="000000"/>
                <w:sz w:val="21"/>
                <w:szCs w:val="21"/>
              </w:rPr>
              <w:t>信达澳亚基</w:t>
            </w:r>
            <w:proofErr w:type="gramEnd"/>
            <w:r w:rsidRPr="001B0381">
              <w:rPr>
                <w:rFonts w:ascii="楷体" w:eastAsia="楷体" w:hAnsi="楷体" w:cs="宋体" w:hint="eastAsia"/>
                <w:color w:val="000000"/>
                <w:sz w:val="21"/>
                <w:szCs w:val="21"/>
              </w:rPr>
              <w:t>金管理有限公司</w:t>
            </w:r>
          </w:p>
        </w:tc>
        <w:tc>
          <w:tcPr>
            <w:tcW w:w="1701" w:type="dxa"/>
            <w:vAlign w:val="center"/>
          </w:tcPr>
          <w:p w14:paraId="7AA0DC4A" w14:textId="0B7D0509"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戴晔</w:t>
            </w:r>
          </w:p>
        </w:tc>
        <w:tc>
          <w:tcPr>
            <w:tcW w:w="3119" w:type="dxa"/>
            <w:vAlign w:val="center"/>
          </w:tcPr>
          <w:p w14:paraId="082FFF0B" w14:textId="5636ECBB"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杭州</w:t>
            </w:r>
            <w:proofErr w:type="gramStart"/>
            <w:r w:rsidRPr="001B0381">
              <w:rPr>
                <w:rFonts w:ascii="楷体" w:eastAsia="楷体" w:hAnsi="楷体" w:cs="宋体" w:hint="eastAsia"/>
                <w:color w:val="000000"/>
                <w:sz w:val="21"/>
                <w:szCs w:val="21"/>
              </w:rPr>
              <w:t>中柏资产</w:t>
            </w:r>
            <w:proofErr w:type="gramEnd"/>
            <w:r w:rsidRPr="001B0381">
              <w:rPr>
                <w:rFonts w:ascii="楷体" w:eastAsia="楷体" w:hAnsi="楷体" w:cs="宋体" w:hint="eastAsia"/>
                <w:color w:val="000000"/>
                <w:sz w:val="21"/>
                <w:szCs w:val="21"/>
              </w:rPr>
              <w:t>管理有限公司</w:t>
            </w:r>
          </w:p>
        </w:tc>
      </w:tr>
      <w:tr w:rsidR="00E970EF" w:rsidRPr="00B666AD" w14:paraId="5ADFA830" w14:textId="77777777" w:rsidTr="00BF723E">
        <w:trPr>
          <w:trHeight w:val="39"/>
          <w:jc w:val="center"/>
        </w:trPr>
        <w:tc>
          <w:tcPr>
            <w:tcW w:w="1555" w:type="dxa"/>
            <w:vMerge/>
            <w:vAlign w:val="center"/>
          </w:tcPr>
          <w:p w14:paraId="03052E5E" w14:textId="77777777" w:rsidR="00E970EF" w:rsidRPr="00B666AD" w:rsidRDefault="00E970EF" w:rsidP="00E970EF">
            <w:pPr>
              <w:pStyle w:val="TableParagraph"/>
              <w:spacing w:line="360" w:lineRule="auto"/>
              <w:ind w:left="107" w:right="96"/>
              <w:rPr>
                <w:rFonts w:ascii="楷体" w:eastAsia="楷体" w:hAnsi="楷体" w:cs="宋体"/>
                <w:sz w:val="21"/>
                <w:szCs w:val="21"/>
              </w:rPr>
            </w:pPr>
          </w:p>
        </w:tc>
        <w:tc>
          <w:tcPr>
            <w:tcW w:w="1134" w:type="dxa"/>
            <w:vAlign w:val="center"/>
          </w:tcPr>
          <w:p w14:paraId="78D07D4C" w14:textId="1424A032"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王晨</w:t>
            </w:r>
          </w:p>
        </w:tc>
        <w:tc>
          <w:tcPr>
            <w:tcW w:w="3118" w:type="dxa"/>
            <w:vAlign w:val="center"/>
          </w:tcPr>
          <w:p w14:paraId="7163D2CE" w14:textId="5C2264F8"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华安基金管理有限公司</w:t>
            </w:r>
          </w:p>
        </w:tc>
        <w:tc>
          <w:tcPr>
            <w:tcW w:w="1701" w:type="dxa"/>
            <w:vAlign w:val="center"/>
          </w:tcPr>
          <w:p w14:paraId="1D9B25E5" w14:textId="2E8870E3"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proofErr w:type="gramStart"/>
            <w:r w:rsidRPr="001B0381">
              <w:rPr>
                <w:rFonts w:ascii="楷体" w:eastAsia="楷体" w:hAnsi="楷体" w:cs="宋体" w:hint="eastAsia"/>
                <w:color w:val="000000"/>
                <w:sz w:val="21"/>
                <w:szCs w:val="21"/>
              </w:rPr>
              <w:t>张羽鹏</w:t>
            </w:r>
            <w:proofErr w:type="gramEnd"/>
          </w:p>
        </w:tc>
        <w:tc>
          <w:tcPr>
            <w:tcW w:w="3119" w:type="dxa"/>
            <w:vAlign w:val="center"/>
          </w:tcPr>
          <w:p w14:paraId="64097BCF" w14:textId="435F726E"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proofErr w:type="gramStart"/>
            <w:r w:rsidRPr="001B0381">
              <w:rPr>
                <w:rFonts w:ascii="楷体" w:eastAsia="楷体" w:hAnsi="楷体" w:cs="宋体" w:hint="eastAsia"/>
                <w:color w:val="000000"/>
                <w:sz w:val="21"/>
                <w:szCs w:val="21"/>
              </w:rPr>
              <w:t>泉果基金</w:t>
            </w:r>
            <w:proofErr w:type="gramEnd"/>
            <w:r w:rsidRPr="001B0381">
              <w:rPr>
                <w:rFonts w:ascii="楷体" w:eastAsia="楷体" w:hAnsi="楷体" w:cs="宋体" w:hint="eastAsia"/>
                <w:color w:val="000000"/>
                <w:sz w:val="21"/>
                <w:szCs w:val="21"/>
              </w:rPr>
              <w:t>管理有限公司</w:t>
            </w:r>
          </w:p>
        </w:tc>
      </w:tr>
      <w:tr w:rsidR="00E970EF" w:rsidRPr="00B666AD" w14:paraId="3201B198" w14:textId="77777777" w:rsidTr="00BF723E">
        <w:trPr>
          <w:trHeight w:val="39"/>
          <w:jc w:val="center"/>
        </w:trPr>
        <w:tc>
          <w:tcPr>
            <w:tcW w:w="1555" w:type="dxa"/>
            <w:vMerge/>
            <w:vAlign w:val="center"/>
          </w:tcPr>
          <w:p w14:paraId="584F8170" w14:textId="77777777" w:rsidR="00E970EF" w:rsidRPr="00B666AD" w:rsidRDefault="00E970EF" w:rsidP="00E970EF">
            <w:pPr>
              <w:pStyle w:val="TableParagraph"/>
              <w:spacing w:line="360" w:lineRule="auto"/>
              <w:ind w:left="107" w:right="96"/>
              <w:rPr>
                <w:rFonts w:ascii="楷体" w:eastAsia="楷体" w:hAnsi="楷体" w:cs="宋体"/>
                <w:sz w:val="21"/>
                <w:szCs w:val="21"/>
              </w:rPr>
            </w:pPr>
          </w:p>
        </w:tc>
        <w:tc>
          <w:tcPr>
            <w:tcW w:w="1134" w:type="dxa"/>
            <w:vAlign w:val="center"/>
          </w:tcPr>
          <w:p w14:paraId="7D258704" w14:textId="3FB5C81E"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proofErr w:type="gramStart"/>
            <w:r w:rsidRPr="001B0381">
              <w:rPr>
                <w:rFonts w:ascii="楷体" w:eastAsia="楷体" w:hAnsi="楷体" w:cs="宋体" w:hint="eastAsia"/>
                <w:color w:val="000000"/>
                <w:sz w:val="21"/>
                <w:szCs w:val="21"/>
              </w:rPr>
              <w:t>吴畏</w:t>
            </w:r>
            <w:proofErr w:type="gramEnd"/>
          </w:p>
        </w:tc>
        <w:tc>
          <w:tcPr>
            <w:tcW w:w="3118" w:type="dxa"/>
            <w:vAlign w:val="center"/>
          </w:tcPr>
          <w:p w14:paraId="23B9A2C9" w14:textId="3BCAFECA"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proofErr w:type="gramStart"/>
            <w:r w:rsidRPr="001B0381">
              <w:rPr>
                <w:rFonts w:ascii="楷体" w:eastAsia="楷体" w:hAnsi="楷体" w:cs="宋体" w:hint="eastAsia"/>
                <w:color w:val="000000"/>
                <w:sz w:val="21"/>
                <w:szCs w:val="21"/>
              </w:rPr>
              <w:t>诚通基金</w:t>
            </w:r>
            <w:proofErr w:type="gramEnd"/>
            <w:r w:rsidRPr="001B0381">
              <w:rPr>
                <w:rFonts w:ascii="楷体" w:eastAsia="楷体" w:hAnsi="楷体" w:cs="宋体" w:hint="eastAsia"/>
                <w:color w:val="000000"/>
                <w:sz w:val="21"/>
                <w:szCs w:val="21"/>
              </w:rPr>
              <w:t>管理有限公司</w:t>
            </w:r>
          </w:p>
        </w:tc>
        <w:tc>
          <w:tcPr>
            <w:tcW w:w="1701" w:type="dxa"/>
            <w:vAlign w:val="center"/>
          </w:tcPr>
          <w:p w14:paraId="23A6B617" w14:textId="759D67B1"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戴春平</w:t>
            </w:r>
          </w:p>
        </w:tc>
        <w:tc>
          <w:tcPr>
            <w:tcW w:w="3119" w:type="dxa"/>
            <w:vAlign w:val="center"/>
          </w:tcPr>
          <w:p w14:paraId="4DA44541" w14:textId="329FE91D"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前海人寿保险股份有限公司</w:t>
            </w:r>
          </w:p>
        </w:tc>
      </w:tr>
      <w:tr w:rsidR="00E970EF" w:rsidRPr="00B666AD" w14:paraId="337649A9" w14:textId="77777777" w:rsidTr="00BF723E">
        <w:trPr>
          <w:trHeight w:val="39"/>
          <w:jc w:val="center"/>
        </w:trPr>
        <w:tc>
          <w:tcPr>
            <w:tcW w:w="1555" w:type="dxa"/>
            <w:vMerge/>
            <w:vAlign w:val="center"/>
          </w:tcPr>
          <w:p w14:paraId="432DB3E2" w14:textId="77777777" w:rsidR="00E970EF" w:rsidRPr="00B666AD" w:rsidRDefault="00E970EF" w:rsidP="00E970EF">
            <w:pPr>
              <w:pStyle w:val="TableParagraph"/>
              <w:spacing w:line="360" w:lineRule="auto"/>
              <w:ind w:left="107" w:right="96"/>
              <w:rPr>
                <w:rFonts w:ascii="楷体" w:eastAsia="楷体" w:hAnsi="楷体" w:cs="宋体"/>
                <w:sz w:val="21"/>
                <w:szCs w:val="21"/>
              </w:rPr>
            </w:pPr>
          </w:p>
        </w:tc>
        <w:tc>
          <w:tcPr>
            <w:tcW w:w="1134" w:type="dxa"/>
            <w:vAlign w:val="center"/>
          </w:tcPr>
          <w:p w14:paraId="4B5ABDD1" w14:textId="3BBEC218"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proofErr w:type="gramStart"/>
            <w:r w:rsidRPr="001B0381">
              <w:rPr>
                <w:rFonts w:ascii="楷体" w:eastAsia="楷体" w:hAnsi="楷体" w:cs="宋体" w:hint="eastAsia"/>
                <w:color w:val="000000"/>
                <w:sz w:val="21"/>
                <w:szCs w:val="21"/>
              </w:rPr>
              <w:t>胡加琪</w:t>
            </w:r>
            <w:proofErr w:type="gramEnd"/>
          </w:p>
        </w:tc>
        <w:tc>
          <w:tcPr>
            <w:tcW w:w="3118" w:type="dxa"/>
            <w:vAlign w:val="center"/>
          </w:tcPr>
          <w:p w14:paraId="7330D729" w14:textId="2028F447"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长江证券股份有限公司</w:t>
            </w:r>
          </w:p>
        </w:tc>
        <w:tc>
          <w:tcPr>
            <w:tcW w:w="1701" w:type="dxa"/>
            <w:vAlign w:val="center"/>
          </w:tcPr>
          <w:p w14:paraId="33BB30BD" w14:textId="5E300E4D"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proofErr w:type="gramStart"/>
            <w:r w:rsidRPr="001B0381">
              <w:rPr>
                <w:rFonts w:ascii="楷体" w:eastAsia="楷体" w:hAnsi="楷体" w:cs="宋体" w:hint="eastAsia"/>
                <w:color w:val="000000"/>
                <w:sz w:val="21"/>
                <w:szCs w:val="21"/>
              </w:rPr>
              <w:t>毕波</w:t>
            </w:r>
            <w:proofErr w:type="gramEnd"/>
          </w:p>
        </w:tc>
        <w:tc>
          <w:tcPr>
            <w:tcW w:w="3119" w:type="dxa"/>
            <w:vAlign w:val="center"/>
          </w:tcPr>
          <w:p w14:paraId="2F498B6B" w14:textId="1F1BC4BA"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西藏合众易晟投资管理</w:t>
            </w:r>
          </w:p>
        </w:tc>
      </w:tr>
      <w:tr w:rsidR="00E970EF" w:rsidRPr="00B666AD" w14:paraId="487DA06F" w14:textId="77777777" w:rsidTr="00BF723E">
        <w:trPr>
          <w:trHeight w:val="39"/>
          <w:jc w:val="center"/>
        </w:trPr>
        <w:tc>
          <w:tcPr>
            <w:tcW w:w="1555" w:type="dxa"/>
            <w:vMerge/>
            <w:vAlign w:val="center"/>
          </w:tcPr>
          <w:p w14:paraId="28EDD1FA" w14:textId="77777777" w:rsidR="00E970EF" w:rsidRPr="00B666AD" w:rsidRDefault="00E970EF" w:rsidP="00E970EF">
            <w:pPr>
              <w:pStyle w:val="TableParagraph"/>
              <w:spacing w:line="360" w:lineRule="auto"/>
              <w:ind w:left="107" w:right="96"/>
              <w:rPr>
                <w:rFonts w:ascii="楷体" w:eastAsia="楷体" w:hAnsi="楷体" w:cs="宋体"/>
                <w:sz w:val="21"/>
                <w:szCs w:val="21"/>
              </w:rPr>
            </w:pPr>
          </w:p>
        </w:tc>
        <w:tc>
          <w:tcPr>
            <w:tcW w:w="1134" w:type="dxa"/>
            <w:vAlign w:val="center"/>
          </w:tcPr>
          <w:p w14:paraId="469D3A5D" w14:textId="715AD746"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proofErr w:type="gramStart"/>
            <w:r w:rsidRPr="001B0381">
              <w:rPr>
                <w:rFonts w:ascii="楷体" w:eastAsia="楷体" w:hAnsi="楷体" w:cs="宋体" w:hint="eastAsia"/>
                <w:color w:val="000000"/>
                <w:sz w:val="21"/>
                <w:szCs w:val="21"/>
              </w:rPr>
              <w:t>归治元</w:t>
            </w:r>
            <w:proofErr w:type="gramEnd"/>
          </w:p>
        </w:tc>
        <w:tc>
          <w:tcPr>
            <w:tcW w:w="3118" w:type="dxa"/>
            <w:vAlign w:val="center"/>
          </w:tcPr>
          <w:p w14:paraId="18D4D3C2" w14:textId="45019F87"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汇</w:t>
            </w:r>
            <w:proofErr w:type="gramStart"/>
            <w:r w:rsidRPr="001B0381">
              <w:rPr>
                <w:rFonts w:ascii="楷体" w:eastAsia="楷体" w:hAnsi="楷体" w:cs="宋体" w:hint="eastAsia"/>
                <w:color w:val="000000"/>
                <w:sz w:val="21"/>
                <w:szCs w:val="21"/>
              </w:rPr>
              <w:t>丰晋信</w:t>
            </w:r>
            <w:proofErr w:type="gramEnd"/>
            <w:r w:rsidRPr="001B0381">
              <w:rPr>
                <w:rFonts w:ascii="楷体" w:eastAsia="楷体" w:hAnsi="楷体" w:cs="宋体" w:hint="eastAsia"/>
                <w:color w:val="000000"/>
                <w:sz w:val="21"/>
                <w:szCs w:val="21"/>
              </w:rPr>
              <w:t>基金管理有限公司</w:t>
            </w:r>
          </w:p>
        </w:tc>
        <w:tc>
          <w:tcPr>
            <w:tcW w:w="1701" w:type="dxa"/>
            <w:vAlign w:val="center"/>
          </w:tcPr>
          <w:p w14:paraId="37CC8860" w14:textId="6A51C4B3"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proofErr w:type="gramStart"/>
            <w:r w:rsidRPr="001B0381">
              <w:rPr>
                <w:rFonts w:ascii="楷体" w:eastAsia="楷体" w:hAnsi="楷体" w:cs="宋体" w:hint="eastAsia"/>
                <w:color w:val="000000"/>
                <w:sz w:val="21"/>
                <w:szCs w:val="21"/>
              </w:rPr>
              <w:t>赵蓬</w:t>
            </w:r>
            <w:proofErr w:type="gramEnd"/>
          </w:p>
        </w:tc>
        <w:tc>
          <w:tcPr>
            <w:tcW w:w="3119" w:type="dxa"/>
            <w:vAlign w:val="center"/>
          </w:tcPr>
          <w:p w14:paraId="3C98AEFB" w14:textId="5DF3EBE1" w:rsidR="00E970EF" w:rsidRPr="001B0381" w:rsidRDefault="00E970EF" w:rsidP="00E970EF">
            <w:pPr>
              <w:pStyle w:val="TableParagraph"/>
              <w:spacing w:line="360" w:lineRule="auto"/>
              <w:ind w:left="107" w:right="96"/>
              <w:jc w:val="center"/>
              <w:rPr>
                <w:rFonts w:ascii="楷体" w:eastAsia="楷体" w:hAnsi="楷体" w:cs="宋体"/>
                <w:color w:val="000000"/>
                <w:sz w:val="21"/>
                <w:szCs w:val="21"/>
              </w:rPr>
            </w:pPr>
            <w:r w:rsidRPr="001B0381">
              <w:rPr>
                <w:rFonts w:ascii="楷体" w:eastAsia="楷体" w:hAnsi="楷体" w:cs="宋体" w:hint="eastAsia"/>
                <w:color w:val="000000"/>
                <w:sz w:val="21"/>
                <w:szCs w:val="21"/>
              </w:rPr>
              <w:t>大成基金管理有限公司</w:t>
            </w:r>
          </w:p>
        </w:tc>
      </w:tr>
      <w:tr w:rsidR="00E970EF" w:rsidRPr="00B666AD" w14:paraId="29029176" w14:textId="77777777" w:rsidTr="00C92825">
        <w:trPr>
          <w:trHeight w:val="558"/>
          <w:jc w:val="center"/>
        </w:trPr>
        <w:tc>
          <w:tcPr>
            <w:tcW w:w="1555" w:type="dxa"/>
            <w:tcBorders>
              <w:bottom w:val="single" w:sz="4" w:space="0" w:color="auto"/>
            </w:tcBorders>
            <w:vAlign w:val="center"/>
          </w:tcPr>
          <w:p w14:paraId="22FDC492" w14:textId="77777777" w:rsidR="00E970EF" w:rsidRPr="00B666AD" w:rsidRDefault="00E970EF" w:rsidP="00E970EF">
            <w:pPr>
              <w:pStyle w:val="TableParagraph"/>
              <w:spacing w:before="1" w:line="360" w:lineRule="auto"/>
              <w:ind w:firstLineChars="100" w:firstLine="210"/>
              <w:rPr>
                <w:rFonts w:ascii="楷体" w:eastAsia="楷体" w:hAnsi="楷体" w:cs="宋体"/>
                <w:sz w:val="21"/>
                <w:szCs w:val="21"/>
              </w:rPr>
            </w:pPr>
            <w:r w:rsidRPr="00B666AD">
              <w:rPr>
                <w:rFonts w:ascii="楷体" w:eastAsia="楷体" w:hAnsi="楷体" w:cs="宋体" w:hint="eastAsia"/>
                <w:sz w:val="21"/>
                <w:szCs w:val="21"/>
              </w:rPr>
              <w:t>时间</w:t>
            </w:r>
          </w:p>
        </w:tc>
        <w:tc>
          <w:tcPr>
            <w:tcW w:w="9072" w:type="dxa"/>
            <w:gridSpan w:val="4"/>
            <w:tcBorders>
              <w:bottom w:val="single" w:sz="4" w:space="0" w:color="auto"/>
            </w:tcBorders>
            <w:vAlign w:val="center"/>
          </w:tcPr>
          <w:p w14:paraId="7C6AD1E1" w14:textId="39D5F0F9" w:rsidR="00E970EF" w:rsidRPr="00B666AD" w:rsidRDefault="00E970EF" w:rsidP="00E970EF">
            <w:pPr>
              <w:pStyle w:val="TableParagraph"/>
              <w:spacing w:line="360" w:lineRule="auto"/>
              <w:rPr>
                <w:rFonts w:ascii="楷体" w:eastAsia="楷体" w:hAnsi="楷体" w:cs="宋体"/>
                <w:sz w:val="21"/>
                <w:szCs w:val="21"/>
              </w:rPr>
            </w:pPr>
            <w:r w:rsidRPr="00B666AD">
              <w:rPr>
                <w:rFonts w:ascii="楷体" w:eastAsia="楷体" w:hAnsi="楷体" w:cs="宋体" w:hint="eastAsia"/>
                <w:sz w:val="21"/>
                <w:szCs w:val="21"/>
              </w:rPr>
              <w:t>2</w:t>
            </w:r>
            <w:r w:rsidRPr="00B666AD">
              <w:rPr>
                <w:rFonts w:ascii="楷体" w:eastAsia="楷体" w:hAnsi="楷体" w:cs="宋体"/>
                <w:sz w:val="21"/>
                <w:szCs w:val="21"/>
              </w:rPr>
              <w:t>02</w:t>
            </w:r>
            <w:r>
              <w:rPr>
                <w:rFonts w:ascii="楷体" w:eastAsia="楷体" w:hAnsi="楷体" w:cs="宋体"/>
                <w:sz w:val="21"/>
                <w:szCs w:val="21"/>
              </w:rPr>
              <w:t>5</w:t>
            </w:r>
            <w:r w:rsidRPr="00B666AD">
              <w:rPr>
                <w:rFonts w:ascii="楷体" w:eastAsia="楷体" w:hAnsi="楷体" w:cs="宋体" w:hint="eastAsia"/>
                <w:sz w:val="21"/>
                <w:szCs w:val="21"/>
              </w:rPr>
              <w:t>年0</w:t>
            </w:r>
            <w:r>
              <w:rPr>
                <w:rFonts w:ascii="楷体" w:eastAsia="楷体" w:hAnsi="楷体" w:cs="宋体"/>
                <w:sz w:val="21"/>
                <w:szCs w:val="21"/>
                <w:lang w:val="en-US"/>
              </w:rPr>
              <w:t>8</w:t>
            </w:r>
            <w:r w:rsidRPr="00B666AD">
              <w:rPr>
                <w:rFonts w:ascii="楷体" w:eastAsia="楷体" w:hAnsi="楷体" w:cs="宋体" w:hint="eastAsia"/>
                <w:sz w:val="21"/>
                <w:szCs w:val="21"/>
              </w:rPr>
              <w:t>月</w:t>
            </w:r>
            <w:r>
              <w:rPr>
                <w:rFonts w:ascii="楷体" w:eastAsia="楷体" w:hAnsi="楷体" w:cs="宋体"/>
                <w:sz w:val="21"/>
                <w:szCs w:val="21"/>
              </w:rPr>
              <w:t>15日</w:t>
            </w:r>
          </w:p>
        </w:tc>
      </w:tr>
      <w:tr w:rsidR="00E970EF" w:rsidRPr="00B666AD" w14:paraId="077EB17B" w14:textId="77777777" w:rsidTr="00C92825">
        <w:trPr>
          <w:trHeight w:val="492"/>
          <w:jc w:val="center"/>
        </w:trPr>
        <w:tc>
          <w:tcPr>
            <w:tcW w:w="1555" w:type="dxa"/>
            <w:tcBorders>
              <w:top w:val="single" w:sz="4" w:space="0" w:color="auto"/>
              <w:left w:val="single" w:sz="4" w:space="0" w:color="auto"/>
              <w:bottom w:val="single" w:sz="4" w:space="0" w:color="auto"/>
              <w:right w:val="single" w:sz="4" w:space="0" w:color="auto"/>
            </w:tcBorders>
            <w:vAlign w:val="center"/>
          </w:tcPr>
          <w:p w14:paraId="629324EC" w14:textId="77777777" w:rsidR="00E970EF" w:rsidRPr="00B666AD" w:rsidRDefault="00E970EF" w:rsidP="00E970EF">
            <w:pPr>
              <w:pStyle w:val="TableParagraph"/>
              <w:spacing w:before="1" w:line="360" w:lineRule="auto"/>
              <w:ind w:right="96" w:firstLineChars="100" w:firstLine="210"/>
              <w:rPr>
                <w:rFonts w:ascii="楷体" w:eastAsia="楷体" w:hAnsi="楷体" w:cs="宋体"/>
                <w:sz w:val="21"/>
                <w:szCs w:val="21"/>
              </w:rPr>
            </w:pPr>
            <w:r w:rsidRPr="00B666AD">
              <w:rPr>
                <w:rFonts w:ascii="楷体" w:eastAsia="楷体" w:hAnsi="楷体" w:cs="宋体" w:hint="eastAsia"/>
                <w:sz w:val="21"/>
                <w:szCs w:val="21"/>
              </w:rPr>
              <w:t>地点</w:t>
            </w:r>
          </w:p>
        </w:tc>
        <w:tc>
          <w:tcPr>
            <w:tcW w:w="9072" w:type="dxa"/>
            <w:gridSpan w:val="4"/>
            <w:tcBorders>
              <w:top w:val="single" w:sz="4" w:space="0" w:color="auto"/>
              <w:left w:val="single" w:sz="4" w:space="0" w:color="auto"/>
              <w:bottom w:val="single" w:sz="4" w:space="0" w:color="auto"/>
              <w:right w:val="single" w:sz="4" w:space="0" w:color="auto"/>
            </w:tcBorders>
            <w:vAlign w:val="center"/>
          </w:tcPr>
          <w:p w14:paraId="41FC4F65" w14:textId="603A4AA3" w:rsidR="00E970EF" w:rsidRPr="00B666AD" w:rsidRDefault="00E970EF" w:rsidP="00E970EF">
            <w:pPr>
              <w:pStyle w:val="TableParagraph"/>
              <w:spacing w:before="1" w:line="360" w:lineRule="auto"/>
              <w:rPr>
                <w:rFonts w:ascii="楷体" w:eastAsia="楷体" w:hAnsi="楷体" w:cs="宋体"/>
                <w:sz w:val="21"/>
                <w:szCs w:val="21"/>
              </w:rPr>
            </w:pPr>
            <w:r w:rsidRPr="00B666AD">
              <w:rPr>
                <w:rFonts w:ascii="楷体" w:eastAsia="楷体" w:hAnsi="楷体" w:cs="宋体" w:hint="eastAsia"/>
                <w:sz w:val="21"/>
                <w:szCs w:val="21"/>
              </w:rPr>
              <w:t>西安凯立新材料股份有限公司公司综合楼办公室</w:t>
            </w:r>
          </w:p>
        </w:tc>
      </w:tr>
      <w:tr w:rsidR="00E970EF" w:rsidRPr="00B666AD" w14:paraId="58B73452" w14:textId="77777777" w:rsidTr="00C92825">
        <w:trPr>
          <w:trHeight w:val="558"/>
          <w:jc w:val="center"/>
        </w:trPr>
        <w:tc>
          <w:tcPr>
            <w:tcW w:w="1555" w:type="dxa"/>
            <w:tcBorders>
              <w:top w:val="single" w:sz="4" w:space="0" w:color="auto"/>
            </w:tcBorders>
            <w:vAlign w:val="center"/>
          </w:tcPr>
          <w:p w14:paraId="226B82B8" w14:textId="77777777" w:rsidR="00E970EF" w:rsidRPr="00B666AD" w:rsidRDefault="00E970EF" w:rsidP="00E970EF">
            <w:pPr>
              <w:pStyle w:val="TableParagraph"/>
              <w:spacing w:before="1" w:line="360" w:lineRule="auto"/>
              <w:ind w:firstLineChars="100" w:firstLine="210"/>
              <w:rPr>
                <w:rFonts w:ascii="楷体" w:eastAsia="楷体" w:hAnsi="楷体" w:cs="宋体"/>
                <w:sz w:val="21"/>
                <w:szCs w:val="21"/>
              </w:rPr>
            </w:pPr>
            <w:r w:rsidRPr="00B666AD">
              <w:rPr>
                <w:rFonts w:ascii="楷体" w:eastAsia="楷体" w:hAnsi="楷体" w:cs="宋体" w:hint="eastAsia"/>
                <w:sz w:val="21"/>
                <w:szCs w:val="21"/>
              </w:rPr>
              <w:t>公司接待人员姓名</w:t>
            </w:r>
          </w:p>
        </w:tc>
        <w:tc>
          <w:tcPr>
            <w:tcW w:w="9072" w:type="dxa"/>
            <w:gridSpan w:val="4"/>
            <w:tcBorders>
              <w:top w:val="single" w:sz="4" w:space="0" w:color="auto"/>
            </w:tcBorders>
            <w:vAlign w:val="center"/>
          </w:tcPr>
          <w:p w14:paraId="118287D1" w14:textId="2DC75B63" w:rsidR="00E970EF" w:rsidRPr="00B666AD" w:rsidRDefault="00E970EF" w:rsidP="00E970EF">
            <w:pPr>
              <w:pStyle w:val="TableParagraph"/>
              <w:spacing w:line="360" w:lineRule="auto"/>
              <w:rPr>
                <w:rFonts w:ascii="楷体" w:eastAsia="楷体" w:hAnsi="楷体" w:cs="宋体"/>
                <w:sz w:val="21"/>
                <w:szCs w:val="21"/>
              </w:rPr>
            </w:pPr>
            <w:r>
              <w:rPr>
                <w:rFonts w:ascii="楷体" w:eastAsia="楷体" w:hAnsi="楷体" w:cs="宋体" w:hint="eastAsia"/>
                <w:sz w:val="21"/>
                <w:szCs w:val="21"/>
              </w:rPr>
              <w:t>财务总监兼董事会秘书</w:t>
            </w:r>
            <w:r w:rsidRPr="00B666AD">
              <w:rPr>
                <w:rFonts w:ascii="楷体" w:eastAsia="楷体" w:hAnsi="楷体" w:cs="宋体" w:hint="eastAsia"/>
                <w:sz w:val="21"/>
                <w:szCs w:val="21"/>
              </w:rPr>
              <w:t>：</w:t>
            </w:r>
            <w:r>
              <w:rPr>
                <w:rFonts w:ascii="楷体" w:eastAsia="楷体" w:hAnsi="楷体" w:cs="宋体" w:hint="eastAsia"/>
                <w:sz w:val="21"/>
                <w:szCs w:val="21"/>
              </w:rPr>
              <w:t>曾利辉</w:t>
            </w:r>
          </w:p>
          <w:p w14:paraId="57A10E87" w14:textId="77777777" w:rsidR="00E970EF" w:rsidRPr="00B666AD" w:rsidRDefault="00E970EF" w:rsidP="00E970EF">
            <w:pPr>
              <w:pStyle w:val="TableParagraph"/>
              <w:spacing w:line="360" w:lineRule="auto"/>
              <w:rPr>
                <w:rFonts w:ascii="楷体" w:eastAsia="楷体" w:hAnsi="楷体" w:cs="宋体"/>
                <w:sz w:val="21"/>
                <w:szCs w:val="21"/>
              </w:rPr>
            </w:pPr>
            <w:r w:rsidRPr="00B666AD">
              <w:rPr>
                <w:rFonts w:ascii="楷体" w:eastAsia="楷体" w:hAnsi="楷体" w:cs="宋体" w:hint="eastAsia"/>
                <w:sz w:val="21"/>
                <w:szCs w:val="21"/>
              </w:rPr>
              <w:t>证券事务代表：石婧文、曹渤杨</w:t>
            </w:r>
          </w:p>
        </w:tc>
      </w:tr>
      <w:tr w:rsidR="00E970EF" w:rsidRPr="00B666AD" w14:paraId="7ED2692C" w14:textId="77777777" w:rsidTr="00C92825">
        <w:trPr>
          <w:trHeight w:val="1408"/>
          <w:jc w:val="center"/>
        </w:trPr>
        <w:tc>
          <w:tcPr>
            <w:tcW w:w="1555" w:type="dxa"/>
            <w:vAlign w:val="center"/>
          </w:tcPr>
          <w:p w14:paraId="075F217B" w14:textId="77777777" w:rsidR="00E970EF" w:rsidRPr="00B666AD" w:rsidRDefault="00E970EF" w:rsidP="00E970EF">
            <w:pPr>
              <w:pStyle w:val="TableParagraph"/>
              <w:spacing w:line="360" w:lineRule="auto"/>
              <w:rPr>
                <w:rFonts w:ascii="楷体" w:eastAsia="楷体" w:hAnsi="楷体" w:cs="宋体"/>
                <w:sz w:val="21"/>
                <w:szCs w:val="21"/>
              </w:rPr>
            </w:pPr>
          </w:p>
          <w:p w14:paraId="6794308A" w14:textId="77777777" w:rsidR="00E970EF" w:rsidRPr="00B666AD" w:rsidRDefault="00E970EF" w:rsidP="00E970EF">
            <w:pPr>
              <w:pStyle w:val="TableParagraph"/>
              <w:spacing w:before="5" w:line="360" w:lineRule="auto"/>
              <w:rPr>
                <w:rFonts w:ascii="楷体" w:eastAsia="楷体" w:hAnsi="楷体" w:cs="宋体"/>
                <w:sz w:val="21"/>
                <w:szCs w:val="21"/>
              </w:rPr>
            </w:pPr>
          </w:p>
          <w:p w14:paraId="3B171B90" w14:textId="77777777" w:rsidR="00E970EF" w:rsidRPr="00B666AD" w:rsidRDefault="00E970EF" w:rsidP="00E970EF">
            <w:pPr>
              <w:pStyle w:val="TableParagraph"/>
              <w:spacing w:before="1" w:line="360" w:lineRule="auto"/>
              <w:ind w:left="107" w:right="96"/>
              <w:rPr>
                <w:rFonts w:ascii="楷体" w:eastAsia="楷体" w:hAnsi="楷体" w:cs="宋体"/>
                <w:sz w:val="21"/>
                <w:szCs w:val="21"/>
              </w:rPr>
            </w:pPr>
            <w:r w:rsidRPr="00B666AD">
              <w:rPr>
                <w:rFonts w:ascii="楷体" w:eastAsia="楷体" w:hAnsi="楷体" w:cs="宋体" w:hint="eastAsia"/>
                <w:sz w:val="21"/>
                <w:szCs w:val="21"/>
              </w:rPr>
              <w:t>投资者关系活动主要内容介绍</w:t>
            </w:r>
          </w:p>
        </w:tc>
        <w:tc>
          <w:tcPr>
            <w:tcW w:w="9072" w:type="dxa"/>
            <w:gridSpan w:val="4"/>
            <w:vAlign w:val="center"/>
          </w:tcPr>
          <w:p w14:paraId="2724D17F" w14:textId="77777777" w:rsidR="00E970EF" w:rsidRPr="00DB4158" w:rsidRDefault="00E970EF" w:rsidP="00E970EF">
            <w:pPr>
              <w:spacing w:line="360" w:lineRule="auto"/>
              <w:jc w:val="both"/>
              <w:rPr>
                <w:rFonts w:ascii="楷体" w:eastAsia="楷体" w:hAnsi="楷体" w:cs="Times New Roman"/>
                <w:b/>
                <w:bCs/>
                <w:color w:val="000000"/>
                <w:sz w:val="24"/>
                <w:szCs w:val="24"/>
              </w:rPr>
            </w:pPr>
          </w:p>
          <w:p w14:paraId="476B724C" w14:textId="77777777" w:rsidR="00E970EF" w:rsidRPr="00A81529" w:rsidRDefault="00E970EF" w:rsidP="00E970EF">
            <w:pPr>
              <w:pStyle w:val="af3"/>
              <w:numPr>
                <w:ilvl w:val="0"/>
                <w:numId w:val="2"/>
              </w:numPr>
              <w:spacing w:after="160" w:line="360" w:lineRule="auto"/>
              <w:ind w:firstLine="482"/>
              <w:outlineLvl w:val="2"/>
              <w:rPr>
                <w:rFonts w:ascii="楷体" w:eastAsia="楷体" w:hAnsi="楷体" w:cs="Times New Roman"/>
                <w:b/>
                <w:bCs/>
                <w:color w:val="000000"/>
                <w:sz w:val="24"/>
                <w:szCs w:val="24"/>
              </w:rPr>
            </w:pPr>
            <w:r w:rsidRPr="00A81529">
              <w:rPr>
                <w:rFonts w:ascii="楷体" w:eastAsia="楷体" w:hAnsi="楷体" w:cs="Times New Roman" w:hint="eastAsia"/>
                <w:b/>
                <w:bCs/>
                <w:color w:val="000000"/>
                <w:sz w:val="24"/>
                <w:szCs w:val="24"/>
              </w:rPr>
              <w:t>二季度公司</w:t>
            </w:r>
            <w:r w:rsidRPr="00A81529">
              <w:rPr>
                <w:rFonts w:ascii="楷体" w:eastAsia="楷体" w:hAnsi="楷体" w:cs="Times New Roman"/>
                <w:b/>
                <w:bCs/>
                <w:color w:val="000000"/>
                <w:sz w:val="24"/>
                <w:szCs w:val="24"/>
              </w:rPr>
              <w:t>利润端的提</w:t>
            </w:r>
            <w:proofErr w:type="gramStart"/>
            <w:r w:rsidRPr="00A81529">
              <w:rPr>
                <w:rFonts w:ascii="楷体" w:eastAsia="楷体" w:hAnsi="楷体" w:cs="Times New Roman"/>
                <w:b/>
                <w:bCs/>
                <w:color w:val="000000"/>
                <w:sz w:val="24"/>
                <w:szCs w:val="24"/>
              </w:rPr>
              <w:t>振还是</w:t>
            </w:r>
            <w:proofErr w:type="gramEnd"/>
            <w:r w:rsidRPr="00A81529">
              <w:rPr>
                <w:rFonts w:ascii="楷体" w:eastAsia="楷体" w:hAnsi="楷体" w:cs="Times New Roman"/>
                <w:b/>
                <w:bCs/>
                <w:color w:val="000000"/>
                <w:sz w:val="24"/>
                <w:szCs w:val="24"/>
              </w:rPr>
              <w:t>比较明显的，但是</w:t>
            </w:r>
            <w:r w:rsidRPr="00A81529">
              <w:rPr>
                <w:rFonts w:ascii="楷体" w:eastAsia="楷体" w:hAnsi="楷体" w:cs="Times New Roman" w:hint="eastAsia"/>
                <w:b/>
                <w:bCs/>
                <w:color w:val="000000"/>
                <w:sz w:val="24"/>
                <w:szCs w:val="24"/>
              </w:rPr>
              <w:t>营业</w:t>
            </w:r>
            <w:r w:rsidRPr="00A81529">
              <w:rPr>
                <w:rFonts w:ascii="楷体" w:eastAsia="楷体" w:hAnsi="楷体" w:cs="Times New Roman"/>
                <w:b/>
                <w:bCs/>
                <w:color w:val="000000"/>
                <w:sz w:val="24"/>
                <w:szCs w:val="24"/>
              </w:rPr>
              <w:t>收入水平较去年四季度和一季度出现了明显的下行</w:t>
            </w:r>
            <w:r w:rsidRPr="00A81529">
              <w:rPr>
                <w:rFonts w:ascii="楷体" w:eastAsia="楷体" w:hAnsi="楷体" w:cs="Times New Roman" w:hint="eastAsia"/>
                <w:b/>
                <w:bCs/>
                <w:color w:val="000000"/>
                <w:sz w:val="24"/>
                <w:szCs w:val="24"/>
              </w:rPr>
              <w:t>，请</w:t>
            </w:r>
            <w:r w:rsidRPr="00A81529">
              <w:rPr>
                <w:rFonts w:ascii="楷体" w:eastAsia="楷体" w:hAnsi="楷体" w:cs="Times New Roman"/>
                <w:b/>
                <w:bCs/>
                <w:color w:val="000000"/>
                <w:sz w:val="24"/>
                <w:szCs w:val="24"/>
              </w:rPr>
              <w:t>解释一下收入下行的原因？</w:t>
            </w:r>
          </w:p>
          <w:p w14:paraId="000CB1DE" w14:textId="358B0B9D" w:rsidR="00E970EF" w:rsidRPr="00A81529" w:rsidRDefault="00E970EF" w:rsidP="00E970EF">
            <w:pPr>
              <w:spacing w:line="360" w:lineRule="auto"/>
              <w:ind w:firstLineChars="200" w:firstLine="480"/>
              <w:jc w:val="both"/>
              <w:rPr>
                <w:rFonts w:ascii="楷体" w:eastAsia="楷体" w:hAnsi="楷体"/>
                <w:sz w:val="24"/>
                <w:szCs w:val="24"/>
              </w:rPr>
            </w:pPr>
            <w:r w:rsidRPr="00A81529">
              <w:rPr>
                <w:rFonts w:ascii="楷体" w:eastAsia="楷体" w:hAnsi="楷体" w:hint="eastAsia"/>
                <w:sz w:val="24"/>
                <w:szCs w:val="24"/>
              </w:rPr>
              <w:t>尊敬的投资者您好！二季度公司下游</w:t>
            </w:r>
            <w:r>
              <w:rPr>
                <w:rFonts w:ascii="楷体" w:eastAsia="楷体" w:hAnsi="楷体" w:hint="eastAsia"/>
                <w:sz w:val="24"/>
                <w:szCs w:val="24"/>
              </w:rPr>
              <w:t>需求增加及公司市场份额增长</w:t>
            </w:r>
            <w:r w:rsidRPr="00A81529">
              <w:rPr>
                <w:rFonts w:ascii="楷体" w:eastAsia="楷体" w:hAnsi="楷体" w:hint="eastAsia"/>
                <w:sz w:val="24"/>
                <w:szCs w:val="24"/>
              </w:rPr>
              <w:t>，环比销量和利润</w:t>
            </w:r>
            <w:r>
              <w:rPr>
                <w:rFonts w:ascii="楷体" w:eastAsia="楷体" w:hAnsi="楷体" w:hint="eastAsia"/>
                <w:sz w:val="24"/>
                <w:szCs w:val="24"/>
              </w:rPr>
              <w:t>分别提升6</w:t>
            </w:r>
            <w:r>
              <w:rPr>
                <w:rFonts w:ascii="楷体" w:eastAsia="楷体" w:hAnsi="楷体"/>
                <w:sz w:val="24"/>
                <w:szCs w:val="24"/>
              </w:rPr>
              <w:t>8%</w:t>
            </w:r>
            <w:r>
              <w:rPr>
                <w:rFonts w:ascii="楷体" w:eastAsia="楷体" w:hAnsi="楷体" w:hint="eastAsia"/>
                <w:sz w:val="24"/>
                <w:szCs w:val="24"/>
              </w:rPr>
              <w:t>和7</w:t>
            </w:r>
            <w:r>
              <w:rPr>
                <w:rFonts w:ascii="楷体" w:eastAsia="楷体" w:hAnsi="楷体"/>
                <w:sz w:val="24"/>
                <w:szCs w:val="24"/>
              </w:rPr>
              <w:t>9%</w:t>
            </w:r>
            <w:r w:rsidRPr="00A81529">
              <w:rPr>
                <w:rFonts w:ascii="楷体" w:eastAsia="楷体" w:hAnsi="楷体" w:hint="eastAsia"/>
                <w:sz w:val="24"/>
                <w:szCs w:val="24"/>
              </w:rPr>
              <w:t>。</w:t>
            </w:r>
            <w:r>
              <w:rPr>
                <w:rFonts w:ascii="楷体" w:eastAsia="楷体" w:hAnsi="楷体" w:hint="eastAsia"/>
                <w:sz w:val="24"/>
                <w:szCs w:val="24"/>
              </w:rPr>
              <w:t>公司</w:t>
            </w:r>
            <w:r w:rsidRPr="00A81529">
              <w:rPr>
                <w:rFonts w:ascii="楷体" w:eastAsia="楷体" w:hAnsi="楷体" w:hint="eastAsia"/>
                <w:sz w:val="24"/>
                <w:szCs w:val="24"/>
              </w:rPr>
              <w:t>营业收入</w:t>
            </w:r>
            <w:r>
              <w:rPr>
                <w:rFonts w:ascii="楷体" w:eastAsia="楷体" w:hAnsi="楷体" w:hint="eastAsia"/>
                <w:sz w:val="24"/>
                <w:szCs w:val="24"/>
              </w:rPr>
              <w:t>在二季度环比</w:t>
            </w:r>
            <w:r w:rsidRPr="00A81529">
              <w:rPr>
                <w:rFonts w:ascii="楷体" w:eastAsia="楷体" w:hAnsi="楷体" w:hint="eastAsia"/>
                <w:sz w:val="24"/>
                <w:szCs w:val="24"/>
              </w:rPr>
              <w:t>下降</w:t>
            </w:r>
            <w:r>
              <w:rPr>
                <w:rFonts w:ascii="楷体" w:eastAsia="楷体" w:hAnsi="楷体"/>
                <w:sz w:val="24"/>
                <w:szCs w:val="24"/>
              </w:rPr>
              <w:t>38</w:t>
            </w:r>
            <w:r>
              <w:rPr>
                <w:rFonts w:ascii="楷体" w:eastAsia="楷体" w:hAnsi="楷体" w:hint="eastAsia"/>
                <w:sz w:val="24"/>
                <w:szCs w:val="24"/>
              </w:rPr>
              <w:t>%，</w:t>
            </w:r>
            <w:r w:rsidRPr="00A81529">
              <w:rPr>
                <w:rFonts w:ascii="楷体" w:eastAsia="楷体" w:hAnsi="楷体" w:hint="eastAsia"/>
                <w:sz w:val="24"/>
                <w:szCs w:val="24"/>
              </w:rPr>
              <w:t>主要因为业务结构变化，</w:t>
            </w:r>
            <w:r>
              <w:rPr>
                <w:rFonts w:ascii="楷体" w:eastAsia="楷体" w:hAnsi="楷体" w:hint="eastAsia"/>
                <w:sz w:val="24"/>
                <w:szCs w:val="24"/>
              </w:rPr>
              <w:t>一是环比其他业务收入减少导致收入降低14%；二是主营业务收入</w:t>
            </w:r>
            <w:r w:rsidRPr="00A81529">
              <w:rPr>
                <w:rFonts w:ascii="楷体" w:eastAsia="楷体" w:hAnsi="楷体" w:hint="eastAsia"/>
                <w:sz w:val="24"/>
                <w:szCs w:val="24"/>
              </w:rPr>
              <w:t>中单价较高的销售</w:t>
            </w:r>
            <w:r>
              <w:rPr>
                <w:rFonts w:ascii="楷体" w:eastAsia="楷体" w:hAnsi="楷体" w:hint="eastAsia"/>
                <w:sz w:val="24"/>
                <w:szCs w:val="24"/>
              </w:rPr>
              <w:t>业务</w:t>
            </w:r>
            <w:r w:rsidRPr="00A81529">
              <w:rPr>
                <w:rFonts w:ascii="楷体" w:eastAsia="楷体" w:hAnsi="楷体" w:hint="eastAsia"/>
                <w:sz w:val="24"/>
                <w:szCs w:val="24"/>
              </w:rPr>
              <w:t>销量占比</w:t>
            </w:r>
            <w:r>
              <w:rPr>
                <w:rFonts w:ascii="楷体" w:eastAsia="楷体" w:hAnsi="楷体" w:hint="eastAsia"/>
                <w:sz w:val="24"/>
                <w:szCs w:val="24"/>
              </w:rPr>
              <w:t>环比下降了20%</w:t>
            </w:r>
            <w:r w:rsidRPr="00A81529">
              <w:rPr>
                <w:rFonts w:ascii="楷体" w:eastAsia="楷体" w:hAnsi="楷体" w:hint="eastAsia"/>
                <w:sz w:val="24"/>
                <w:szCs w:val="24"/>
              </w:rPr>
              <w:t>，</w:t>
            </w:r>
            <w:r>
              <w:rPr>
                <w:rFonts w:ascii="楷体" w:eastAsia="楷体" w:hAnsi="楷体" w:hint="eastAsia"/>
                <w:sz w:val="24"/>
                <w:szCs w:val="24"/>
              </w:rPr>
              <w:t>导致销售业务收入环比下降了31%</w:t>
            </w:r>
            <w:r w:rsidRPr="00A81529">
              <w:rPr>
                <w:rFonts w:ascii="楷体" w:eastAsia="楷体" w:hAnsi="楷体" w:hint="eastAsia"/>
                <w:sz w:val="24"/>
                <w:szCs w:val="24"/>
              </w:rPr>
              <w:t>。</w:t>
            </w:r>
            <w:r>
              <w:rPr>
                <w:rFonts w:ascii="楷体" w:eastAsia="楷体" w:hAnsi="楷体" w:hint="eastAsia"/>
                <w:sz w:val="24"/>
                <w:szCs w:val="24"/>
              </w:rPr>
              <w:t>而加工业务销量及收入环比增长对整体收入起到一定支撑作用，</w:t>
            </w:r>
            <w:r w:rsidR="00801433">
              <w:rPr>
                <w:rFonts w:ascii="楷体" w:eastAsia="楷体" w:hAnsi="楷体" w:hint="eastAsia"/>
                <w:sz w:val="24"/>
                <w:szCs w:val="24"/>
              </w:rPr>
              <w:t>整体销量增加带动</w:t>
            </w:r>
            <w:r>
              <w:rPr>
                <w:rFonts w:ascii="楷体" w:eastAsia="楷体" w:hAnsi="楷体" w:hint="eastAsia"/>
                <w:sz w:val="24"/>
                <w:szCs w:val="24"/>
              </w:rPr>
              <w:t>整体</w:t>
            </w:r>
            <w:proofErr w:type="gramStart"/>
            <w:r>
              <w:rPr>
                <w:rFonts w:ascii="楷体" w:eastAsia="楷体" w:hAnsi="楷体" w:hint="eastAsia"/>
                <w:sz w:val="24"/>
                <w:szCs w:val="24"/>
              </w:rPr>
              <w:t>利润环</w:t>
            </w:r>
            <w:proofErr w:type="gramEnd"/>
            <w:r>
              <w:rPr>
                <w:rFonts w:ascii="楷体" w:eastAsia="楷体" w:hAnsi="楷体" w:hint="eastAsia"/>
                <w:sz w:val="24"/>
                <w:szCs w:val="24"/>
              </w:rPr>
              <w:t>比提升。</w:t>
            </w:r>
          </w:p>
          <w:p w14:paraId="0210467A" w14:textId="14F08880" w:rsidR="00E970EF" w:rsidRPr="00FB492A" w:rsidRDefault="00E970EF" w:rsidP="00E970EF">
            <w:pPr>
              <w:spacing w:line="360" w:lineRule="auto"/>
              <w:ind w:firstLineChars="200" w:firstLine="480"/>
              <w:jc w:val="both"/>
              <w:rPr>
                <w:rFonts w:ascii="楷体" w:eastAsia="楷体" w:hAnsi="楷体" w:cstheme="minorBidi"/>
                <w:sz w:val="24"/>
                <w:szCs w:val="24"/>
              </w:rPr>
            </w:pPr>
            <w:r w:rsidRPr="00FB492A">
              <w:rPr>
                <w:rFonts w:ascii="楷体" w:eastAsia="楷体" w:hAnsi="楷体" w:cstheme="minorBidi" w:hint="eastAsia"/>
                <w:sz w:val="24"/>
                <w:szCs w:val="24"/>
              </w:rPr>
              <w:t>公司</w:t>
            </w:r>
            <w:r>
              <w:rPr>
                <w:rFonts w:ascii="楷体" w:eastAsia="楷体" w:hAnsi="楷体" w:cstheme="minorBidi" w:hint="eastAsia"/>
                <w:sz w:val="24"/>
                <w:szCs w:val="24"/>
              </w:rPr>
              <w:t>业务模式</w:t>
            </w:r>
            <w:r w:rsidRPr="00FB492A">
              <w:rPr>
                <w:rFonts w:ascii="楷体" w:eastAsia="楷体" w:hAnsi="楷体" w:cstheme="minorBidi" w:hint="eastAsia"/>
                <w:sz w:val="24"/>
                <w:szCs w:val="24"/>
              </w:rPr>
              <w:t>分为销售</w:t>
            </w:r>
            <w:r>
              <w:rPr>
                <w:rFonts w:ascii="楷体" w:eastAsia="楷体" w:hAnsi="楷体" w:cstheme="minorBidi" w:hint="eastAsia"/>
                <w:sz w:val="24"/>
                <w:szCs w:val="24"/>
              </w:rPr>
              <w:t>业务</w:t>
            </w:r>
            <w:r w:rsidRPr="00FB492A">
              <w:rPr>
                <w:rFonts w:ascii="楷体" w:eastAsia="楷体" w:hAnsi="楷体" w:cstheme="minorBidi" w:hint="eastAsia"/>
                <w:sz w:val="24"/>
                <w:szCs w:val="24"/>
              </w:rPr>
              <w:t>和加工</w:t>
            </w:r>
            <w:r>
              <w:rPr>
                <w:rFonts w:ascii="楷体" w:eastAsia="楷体" w:hAnsi="楷体" w:cstheme="minorBidi" w:hint="eastAsia"/>
                <w:sz w:val="24"/>
                <w:szCs w:val="24"/>
              </w:rPr>
              <w:t>业务</w:t>
            </w:r>
            <w:r w:rsidRPr="00FB492A">
              <w:rPr>
                <w:rFonts w:ascii="楷体" w:eastAsia="楷体" w:hAnsi="楷体" w:cstheme="minorBidi" w:hint="eastAsia"/>
                <w:sz w:val="24"/>
                <w:szCs w:val="24"/>
              </w:rPr>
              <w:t>，销售</w:t>
            </w:r>
            <w:r>
              <w:rPr>
                <w:rFonts w:ascii="楷体" w:eastAsia="楷体" w:hAnsi="楷体" w:cstheme="minorBidi" w:hint="eastAsia"/>
                <w:sz w:val="24"/>
                <w:szCs w:val="24"/>
              </w:rPr>
              <w:t>业务产品单价包含</w:t>
            </w:r>
            <w:r w:rsidRPr="00FB492A">
              <w:rPr>
                <w:rFonts w:ascii="楷体" w:eastAsia="楷体" w:hAnsi="楷体" w:cstheme="minorBidi" w:hint="eastAsia"/>
                <w:sz w:val="24"/>
                <w:szCs w:val="24"/>
              </w:rPr>
              <w:t>贵金属</w:t>
            </w:r>
            <w:r>
              <w:rPr>
                <w:rFonts w:ascii="楷体" w:eastAsia="楷体" w:hAnsi="楷体" w:cstheme="minorBidi" w:hint="eastAsia"/>
                <w:sz w:val="24"/>
                <w:szCs w:val="24"/>
              </w:rPr>
              <w:t>价值和</w:t>
            </w:r>
            <w:r w:rsidRPr="00FB492A">
              <w:rPr>
                <w:rFonts w:ascii="楷体" w:eastAsia="楷体" w:hAnsi="楷体" w:cstheme="minorBidi" w:hint="eastAsia"/>
                <w:sz w:val="24"/>
                <w:szCs w:val="24"/>
              </w:rPr>
              <w:t>加工费，加工</w:t>
            </w:r>
            <w:r>
              <w:rPr>
                <w:rFonts w:ascii="楷体" w:eastAsia="楷体" w:hAnsi="楷体" w:cstheme="minorBidi" w:hint="eastAsia"/>
                <w:sz w:val="24"/>
                <w:szCs w:val="24"/>
              </w:rPr>
              <w:t>业务产品单价仅为</w:t>
            </w:r>
            <w:r w:rsidRPr="00FB492A">
              <w:rPr>
                <w:rFonts w:ascii="楷体" w:eastAsia="楷体" w:hAnsi="楷体" w:cstheme="minorBidi" w:hint="eastAsia"/>
                <w:sz w:val="24"/>
                <w:szCs w:val="24"/>
              </w:rPr>
              <w:t>加工费。因</w:t>
            </w:r>
            <w:r>
              <w:rPr>
                <w:rFonts w:ascii="楷体" w:eastAsia="楷体" w:hAnsi="楷体" w:cstheme="minorBidi" w:hint="eastAsia"/>
                <w:sz w:val="24"/>
                <w:szCs w:val="24"/>
              </w:rPr>
              <w:t>此，业务结构的变化对公司营业收入</w:t>
            </w:r>
            <w:r w:rsidRPr="00FB492A">
              <w:rPr>
                <w:rFonts w:ascii="楷体" w:eastAsia="楷体" w:hAnsi="楷体" w:cstheme="minorBidi" w:hint="eastAsia"/>
                <w:sz w:val="24"/>
                <w:szCs w:val="24"/>
              </w:rPr>
              <w:t>的影响较大。业务模式</w:t>
            </w:r>
            <w:r>
              <w:rPr>
                <w:rFonts w:ascii="楷体" w:eastAsia="楷体" w:hAnsi="楷体" w:cstheme="minorBidi" w:hint="eastAsia"/>
                <w:sz w:val="24"/>
                <w:szCs w:val="24"/>
              </w:rPr>
              <w:t>的选择</w:t>
            </w:r>
            <w:r w:rsidRPr="00FB492A">
              <w:rPr>
                <w:rFonts w:ascii="楷体" w:eastAsia="楷体" w:hAnsi="楷体" w:cstheme="minorBidi" w:hint="eastAsia"/>
                <w:sz w:val="24"/>
                <w:szCs w:val="24"/>
              </w:rPr>
              <w:t>主要取决于客户是否</w:t>
            </w:r>
            <w:r>
              <w:rPr>
                <w:rFonts w:ascii="楷体" w:eastAsia="楷体" w:hAnsi="楷体" w:cstheme="minorBidi" w:hint="eastAsia"/>
                <w:sz w:val="24"/>
                <w:szCs w:val="24"/>
              </w:rPr>
              <w:t>能够提供</w:t>
            </w:r>
            <w:r w:rsidRPr="00FB492A">
              <w:rPr>
                <w:rFonts w:ascii="楷体" w:eastAsia="楷体" w:hAnsi="楷体" w:cstheme="minorBidi" w:hint="eastAsia"/>
                <w:sz w:val="24"/>
                <w:szCs w:val="24"/>
              </w:rPr>
              <w:t>贵金属原材料</w:t>
            </w:r>
            <w:r>
              <w:rPr>
                <w:rFonts w:ascii="楷体" w:eastAsia="楷体" w:hAnsi="楷体" w:cstheme="minorBidi" w:hint="eastAsia"/>
                <w:sz w:val="24"/>
                <w:szCs w:val="24"/>
              </w:rPr>
              <w:t>及其周转情况</w:t>
            </w:r>
            <w:r w:rsidRPr="00FB492A">
              <w:rPr>
                <w:rFonts w:ascii="楷体" w:eastAsia="楷体" w:hAnsi="楷体" w:cstheme="minorBidi" w:hint="eastAsia"/>
                <w:sz w:val="24"/>
                <w:szCs w:val="24"/>
              </w:rPr>
              <w:t>。</w:t>
            </w:r>
          </w:p>
          <w:p w14:paraId="456C6BF8" w14:textId="31E8E820" w:rsidR="00E970EF" w:rsidRPr="00A81529" w:rsidRDefault="00E970EF" w:rsidP="00E970EF">
            <w:pPr>
              <w:spacing w:line="360" w:lineRule="auto"/>
              <w:ind w:firstLineChars="200" w:firstLine="480"/>
              <w:jc w:val="both"/>
              <w:rPr>
                <w:rFonts w:ascii="楷体" w:eastAsia="楷体" w:hAnsi="楷体" w:cs="Times New Roman"/>
                <w:color w:val="000000"/>
                <w:sz w:val="24"/>
                <w:szCs w:val="24"/>
              </w:rPr>
            </w:pPr>
            <w:r w:rsidRPr="00FB492A">
              <w:rPr>
                <w:rFonts w:ascii="楷体" w:eastAsia="楷体" w:hAnsi="楷体" w:cstheme="minorBidi" w:hint="eastAsia"/>
                <w:sz w:val="24"/>
                <w:szCs w:val="24"/>
              </w:rPr>
              <w:t>综上，</w:t>
            </w:r>
            <w:r>
              <w:rPr>
                <w:rFonts w:ascii="楷体" w:eastAsia="楷体" w:hAnsi="楷体" w:cstheme="minorBidi" w:hint="eastAsia"/>
                <w:sz w:val="24"/>
                <w:szCs w:val="24"/>
              </w:rPr>
              <w:t>建议</w:t>
            </w:r>
            <w:r w:rsidRPr="00FB492A">
              <w:rPr>
                <w:rFonts w:ascii="楷体" w:eastAsia="楷体" w:hAnsi="楷体" w:cstheme="minorBidi" w:hint="eastAsia"/>
                <w:sz w:val="24"/>
                <w:szCs w:val="24"/>
              </w:rPr>
              <w:t>投资者可</w:t>
            </w:r>
            <w:r>
              <w:rPr>
                <w:rFonts w:ascii="楷体" w:eastAsia="楷体" w:hAnsi="楷体" w:cstheme="minorBidi" w:hint="eastAsia"/>
                <w:sz w:val="24"/>
                <w:szCs w:val="24"/>
              </w:rPr>
              <w:t>结合</w:t>
            </w:r>
            <w:r w:rsidRPr="00FB492A">
              <w:rPr>
                <w:rFonts w:ascii="楷体" w:eastAsia="楷体" w:hAnsi="楷体" w:cstheme="minorBidi" w:hint="eastAsia"/>
                <w:sz w:val="24"/>
                <w:szCs w:val="24"/>
              </w:rPr>
              <w:t>公司销量变化情况，综合了解公司经营业绩。</w:t>
            </w:r>
            <w:r w:rsidRPr="00A81529">
              <w:rPr>
                <w:rFonts w:ascii="楷体" w:eastAsia="楷体" w:hAnsi="楷体" w:hint="eastAsia"/>
                <w:sz w:val="24"/>
                <w:szCs w:val="24"/>
              </w:rPr>
              <w:t>感谢您的关注！</w:t>
            </w:r>
          </w:p>
          <w:p w14:paraId="6B76F2AF" w14:textId="77777777" w:rsidR="00E970EF" w:rsidRPr="00A81529" w:rsidRDefault="00E970EF" w:rsidP="00E970EF">
            <w:pPr>
              <w:pStyle w:val="af3"/>
              <w:numPr>
                <w:ilvl w:val="0"/>
                <w:numId w:val="2"/>
              </w:numPr>
              <w:spacing w:after="160" w:line="360" w:lineRule="auto"/>
              <w:ind w:firstLine="482"/>
              <w:outlineLvl w:val="2"/>
              <w:rPr>
                <w:rFonts w:ascii="楷体" w:eastAsia="楷体" w:hAnsi="楷体" w:cs="Times New Roman"/>
                <w:b/>
                <w:bCs/>
                <w:color w:val="000000"/>
                <w:sz w:val="24"/>
                <w:szCs w:val="24"/>
              </w:rPr>
            </w:pPr>
            <w:r w:rsidRPr="00A81529">
              <w:rPr>
                <w:rFonts w:ascii="楷体" w:eastAsia="楷体" w:hAnsi="楷体" w:cs="Times New Roman" w:hint="eastAsia"/>
                <w:b/>
                <w:bCs/>
                <w:color w:val="000000"/>
                <w:sz w:val="24"/>
                <w:szCs w:val="24"/>
              </w:rPr>
              <w:t>请拆分一下公司</w:t>
            </w:r>
            <w:r w:rsidRPr="00A81529">
              <w:rPr>
                <w:rFonts w:ascii="楷体" w:eastAsia="楷体" w:hAnsi="楷体" w:cs="Times New Roman"/>
                <w:b/>
                <w:bCs/>
                <w:color w:val="000000"/>
                <w:sz w:val="24"/>
                <w:szCs w:val="24"/>
              </w:rPr>
              <w:t>上半年</w:t>
            </w:r>
            <w:r w:rsidRPr="00A81529">
              <w:rPr>
                <w:rFonts w:ascii="楷体" w:eastAsia="楷体" w:hAnsi="楷体" w:cs="Times New Roman" w:hint="eastAsia"/>
                <w:b/>
                <w:bCs/>
                <w:color w:val="000000"/>
                <w:sz w:val="24"/>
                <w:szCs w:val="24"/>
              </w:rPr>
              <w:t>各领域的收入及销量</w:t>
            </w:r>
            <w:r w:rsidRPr="00A81529">
              <w:rPr>
                <w:rFonts w:ascii="楷体" w:eastAsia="楷体" w:hAnsi="楷体" w:cs="Times New Roman"/>
                <w:b/>
                <w:bCs/>
                <w:color w:val="000000"/>
                <w:sz w:val="24"/>
                <w:szCs w:val="24"/>
              </w:rPr>
              <w:t>情况</w:t>
            </w:r>
            <w:r w:rsidRPr="00A81529">
              <w:rPr>
                <w:rFonts w:ascii="楷体" w:eastAsia="楷体" w:hAnsi="楷体" w:cs="Times New Roman" w:hint="eastAsia"/>
                <w:b/>
                <w:bCs/>
                <w:color w:val="000000"/>
                <w:sz w:val="24"/>
                <w:szCs w:val="24"/>
              </w:rPr>
              <w:t>？</w:t>
            </w:r>
          </w:p>
          <w:p w14:paraId="4D491949" w14:textId="77777777" w:rsidR="00E970EF" w:rsidRPr="00A81529" w:rsidRDefault="00E970EF" w:rsidP="00E970EF">
            <w:pPr>
              <w:spacing w:line="360" w:lineRule="auto"/>
              <w:ind w:firstLineChars="200" w:firstLine="480"/>
              <w:jc w:val="both"/>
              <w:rPr>
                <w:rFonts w:ascii="楷体" w:eastAsia="楷体" w:hAnsi="楷体"/>
                <w:sz w:val="24"/>
                <w:szCs w:val="24"/>
              </w:rPr>
            </w:pPr>
            <w:r w:rsidRPr="00A81529">
              <w:rPr>
                <w:rFonts w:ascii="楷体" w:eastAsia="楷体" w:hAnsi="楷体" w:hint="eastAsia"/>
                <w:sz w:val="24"/>
                <w:szCs w:val="24"/>
              </w:rPr>
              <w:t>尊敬的投资者您好！公司以催化剂为核心品类，在精细化工领域深耕的基础上，逐步拓展</w:t>
            </w:r>
            <w:proofErr w:type="gramStart"/>
            <w:r w:rsidRPr="00A81529">
              <w:rPr>
                <w:rFonts w:ascii="楷体" w:eastAsia="楷体" w:hAnsi="楷体" w:hint="eastAsia"/>
                <w:sz w:val="24"/>
                <w:szCs w:val="24"/>
              </w:rPr>
              <w:t>至基础</w:t>
            </w:r>
            <w:proofErr w:type="gramEnd"/>
            <w:r w:rsidRPr="00A81529">
              <w:rPr>
                <w:rFonts w:ascii="楷体" w:eastAsia="楷体" w:hAnsi="楷体" w:hint="eastAsia"/>
                <w:sz w:val="24"/>
                <w:szCs w:val="24"/>
              </w:rPr>
              <w:t>化工、环保新能源等领域，2025年上半年各领域收入占比如下：</w:t>
            </w:r>
          </w:p>
          <w:p w14:paraId="085BED26" w14:textId="50270E11" w:rsidR="00E970EF" w:rsidRPr="00A81529" w:rsidRDefault="00E970EF" w:rsidP="00E970EF">
            <w:pPr>
              <w:spacing w:line="360" w:lineRule="auto"/>
              <w:ind w:firstLineChars="200" w:firstLine="480"/>
              <w:jc w:val="both"/>
              <w:rPr>
                <w:rFonts w:ascii="楷体" w:eastAsia="楷体" w:hAnsi="楷体"/>
                <w:sz w:val="24"/>
                <w:szCs w:val="24"/>
              </w:rPr>
            </w:pPr>
            <w:r w:rsidRPr="00A81529">
              <w:rPr>
                <w:rFonts w:ascii="楷体" w:eastAsia="楷体" w:hAnsi="楷体" w:hint="eastAsia"/>
                <w:sz w:val="24"/>
                <w:szCs w:val="24"/>
              </w:rPr>
              <w:t>精细化工领域</w:t>
            </w:r>
            <w:r>
              <w:rPr>
                <w:rFonts w:ascii="楷体" w:eastAsia="楷体" w:hAnsi="楷体" w:hint="eastAsia"/>
                <w:sz w:val="24"/>
                <w:szCs w:val="24"/>
              </w:rPr>
              <w:t>整体</w:t>
            </w:r>
            <w:r w:rsidRPr="00A81529">
              <w:rPr>
                <w:rFonts w:ascii="楷体" w:eastAsia="楷体" w:hAnsi="楷体" w:hint="eastAsia"/>
                <w:sz w:val="24"/>
                <w:szCs w:val="24"/>
              </w:rPr>
              <w:t>收入占比70.48%，</w:t>
            </w:r>
            <w:r>
              <w:rPr>
                <w:rFonts w:ascii="楷体" w:eastAsia="楷体" w:hAnsi="楷体" w:hint="eastAsia"/>
                <w:sz w:val="24"/>
                <w:szCs w:val="24"/>
              </w:rPr>
              <w:t>细分为医药、化工新材料、农药、颜料染料，其中</w:t>
            </w:r>
            <w:r w:rsidRPr="00A81529">
              <w:rPr>
                <w:rFonts w:ascii="楷体" w:eastAsia="楷体" w:hAnsi="楷体" w:hint="eastAsia"/>
                <w:sz w:val="24"/>
                <w:szCs w:val="24"/>
              </w:rPr>
              <w:t>医药占比40.51%</w:t>
            </w:r>
            <w:r>
              <w:rPr>
                <w:rFonts w:ascii="楷体" w:eastAsia="楷体" w:hAnsi="楷体" w:hint="eastAsia"/>
                <w:sz w:val="24"/>
                <w:szCs w:val="24"/>
              </w:rPr>
              <w:t>，</w:t>
            </w:r>
            <w:r w:rsidRPr="00A81529">
              <w:rPr>
                <w:rFonts w:ascii="楷体" w:eastAsia="楷体" w:hAnsi="楷体" w:hint="eastAsia"/>
                <w:sz w:val="24"/>
                <w:szCs w:val="24"/>
              </w:rPr>
              <w:t>化工新材料占比22.25%</w:t>
            </w:r>
            <w:r>
              <w:rPr>
                <w:rFonts w:ascii="楷体" w:eastAsia="楷体" w:hAnsi="楷体" w:hint="eastAsia"/>
                <w:sz w:val="24"/>
                <w:szCs w:val="24"/>
              </w:rPr>
              <w:t>，其余为</w:t>
            </w:r>
            <w:r w:rsidRPr="00A81529">
              <w:rPr>
                <w:rFonts w:ascii="楷体" w:eastAsia="楷体" w:hAnsi="楷体" w:hint="eastAsia"/>
                <w:sz w:val="24"/>
                <w:szCs w:val="24"/>
              </w:rPr>
              <w:t>农药</w:t>
            </w:r>
            <w:r>
              <w:rPr>
                <w:rFonts w:ascii="楷体" w:eastAsia="楷体" w:hAnsi="楷体" w:hint="eastAsia"/>
                <w:sz w:val="24"/>
                <w:szCs w:val="24"/>
              </w:rPr>
              <w:t>和</w:t>
            </w:r>
            <w:r w:rsidRPr="00A81529">
              <w:rPr>
                <w:rFonts w:ascii="楷体" w:eastAsia="楷体" w:hAnsi="楷体" w:hint="eastAsia"/>
                <w:sz w:val="24"/>
                <w:szCs w:val="24"/>
              </w:rPr>
              <w:t>颜料</w:t>
            </w:r>
            <w:r>
              <w:rPr>
                <w:rFonts w:ascii="楷体" w:eastAsia="楷体" w:hAnsi="楷体" w:hint="eastAsia"/>
                <w:sz w:val="24"/>
                <w:szCs w:val="24"/>
              </w:rPr>
              <w:t>染料。</w:t>
            </w:r>
            <w:r w:rsidRPr="00A81529">
              <w:rPr>
                <w:rFonts w:ascii="楷体" w:eastAsia="楷体" w:hAnsi="楷体" w:hint="eastAsia"/>
                <w:sz w:val="24"/>
                <w:szCs w:val="24"/>
              </w:rPr>
              <w:t>其中医药板块的销量较上年同期增长49.26%，主要是因为医药领域核心客户需求略有增加，同时公司竞争力增强，市场份额提升。</w:t>
            </w:r>
          </w:p>
          <w:p w14:paraId="49A5864C" w14:textId="77777777" w:rsidR="00E970EF" w:rsidRPr="00A81529" w:rsidRDefault="00E970EF" w:rsidP="00E970EF">
            <w:pPr>
              <w:spacing w:line="360" w:lineRule="auto"/>
              <w:ind w:firstLineChars="200" w:firstLine="480"/>
              <w:jc w:val="both"/>
              <w:rPr>
                <w:rFonts w:ascii="楷体" w:eastAsia="楷体" w:hAnsi="楷体"/>
                <w:sz w:val="24"/>
                <w:szCs w:val="24"/>
              </w:rPr>
            </w:pPr>
            <w:r w:rsidRPr="00A81529">
              <w:rPr>
                <w:rFonts w:ascii="楷体" w:eastAsia="楷体" w:hAnsi="楷体" w:hint="eastAsia"/>
                <w:sz w:val="24"/>
                <w:szCs w:val="24"/>
              </w:rPr>
              <w:t>基础化工领域收入占比25.35%，销量较上年同期增长185.54%，</w:t>
            </w:r>
            <w:r w:rsidRPr="0026709B">
              <w:rPr>
                <w:rFonts w:ascii="楷体" w:eastAsia="楷体" w:hAnsi="楷体" w:hint="eastAsia"/>
                <w:sz w:val="24"/>
              </w:rPr>
              <w:t>主要系</w:t>
            </w:r>
            <w:r w:rsidRPr="0026709B">
              <w:rPr>
                <w:rFonts w:ascii="楷体" w:eastAsia="楷体" w:hAnsi="楷体"/>
                <w:sz w:val="24"/>
              </w:rPr>
              <w:t xml:space="preserve"> PVC 无汞催化剂销量较上年同期增长 113.22%</w:t>
            </w:r>
            <w:r w:rsidRPr="00A81529">
              <w:rPr>
                <w:rFonts w:ascii="楷体" w:eastAsia="楷体" w:hAnsi="楷体" w:hint="eastAsia"/>
                <w:sz w:val="24"/>
                <w:szCs w:val="24"/>
              </w:rPr>
              <w:t>，其他该领域用催化剂也在逐步打开市场。</w:t>
            </w:r>
          </w:p>
          <w:p w14:paraId="6E1DF3FD" w14:textId="77777777" w:rsidR="00E970EF" w:rsidRPr="00A81529" w:rsidRDefault="00E970EF" w:rsidP="00E970EF">
            <w:pPr>
              <w:spacing w:line="360" w:lineRule="auto"/>
              <w:ind w:firstLineChars="200" w:firstLine="480"/>
              <w:jc w:val="both"/>
              <w:rPr>
                <w:rFonts w:ascii="楷体" w:eastAsia="楷体" w:hAnsi="楷体"/>
                <w:sz w:val="24"/>
                <w:szCs w:val="24"/>
              </w:rPr>
            </w:pPr>
            <w:r w:rsidRPr="00A81529">
              <w:rPr>
                <w:rFonts w:ascii="楷体" w:eastAsia="楷体" w:hAnsi="楷体" w:hint="eastAsia"/>
                <w:sz w:val="24"/>
                <w:szCs w:val="24"/>
              </w:rPr>
              <w:t>环保新能源领域收入占比2.90%，销量较上年同期增长1,497.06%，主要由于公司氢能催化剂取得较大进展，公司与多家电解水制氢头部企业建立合作。</w:t>
            </w:r>
          </w:p>
          <w:p w14:paraId="0E261DB6" w14:textId="77777777" w:rsidR="00E970EF" w:rsidRPr="00A81529" w:rsidRDefault="00E970EF" w:rsidP="00E970EF">
            <w:pPr>
              <w:spacing w:line="360" w:lineRule="auto"/>
              <w:ind w:firstLineChars="200" w:firstLine="480"/>
              <w:jc w:val="both"/>
              <w:rPr>
                <w:rFonts w:ascii="楷体" w:eastAsia="楷体" w:hAnsi="楷体"/>
                <w:sz w:val="24"/>
                <w:szCs w:val="24"/>
              </w:rPr>
            </w:pPr>
            <w:r w:rsidRPr="00A81529">
              <w:rPr>
                <w:rFonts w:ascii="楷体" w:eastAsia="楷体" w:hAnsi="楷体" w:hint="eastAsia"/>
                <w:sz w:val="24"/>
                <w:szCs w:val="24"/>
              </w:rPr>
              <w:t>公司主要下游领域景气度逐渐修复，新领域开拓、新产品推广进展顺利。感谢您的关注！</w:t>
            </w:r>
          </w:p>
          <w:p w14:paraId="674E78B3" w14:textId="77777777" w:rsidR="00E970EF" w:rsidRPr="00A81529" w:rsidRDefault="00E970EF" w:rsidP="00E970EF">
            <w:pPr>
              <w:pStyle w:val="af3"/>
              <w:numPr>
                <w:ilvl w:val="0"/>
                <w:numId w:val="2"/>
              </w:numPr>
              <w:spacing w:after="160" w:line="360" w:lineRule="auto"/>
              <w:ind w:firstLine="482"/>
              <w:outlineLvl w:val="2"/>
              <w:rPr>
                <w:rFonts w:ascii="楷体" w:eastAsia="楷体" w:hAnsi="楷体" w:cs="Times New Roman"/>
                <w:b/>
                <w:bCs/>
                <w:color w:val="000000"/>
                <w:sz w:val="24"/>
                <w:szCs w:val="24"/>
              </w:rPr>
            </w:pPr>
            <w:r w:rsidRPr="0026709B">
              <w:rPr>
                <w:rFonts w:ascii="楷体" w:eastAsia="楷体" w:hAnsi="楷体" w:cs="Times New Roman"/>
                <w:b/>
                <w:bCs/>
                <w:color w:val="000000"/>
                <w:sz w:val="24"/>
              </w:rPr>
              <w:t>2025年上半年，</w:t>
            </w:r>
            <w:r>
              <w:rPr>
                <w:rFonts w:ascii="楷体" w:eastAsia="楷体" w:hAnsi="楷体" w:cs="Times New Roman" w:hint="eastAsia"/>
                <w:b/>
                <w:bCs/>
                <w:color w:val="000000"/>
                <w:sz w:val="24"/>
              </w:rPr>
              <w:t>以及二季度</w:t>
            </w:r>
            <w:r w:rsidRPr="0026709B">
              <w:rPr>
                <w:rFonts w:ascii="楷体" w:eastAsia="楷体" w:hAnsi="楷体" w:cs="Times New Roman"/>
                <w:b/>
                <w:bCs/>
                <w:color w:val="000000"/>
                <w:sz w:val="24"/>
              </w:rPr>
              <w:t>PVC无汞催化剂的订单量和在手的订单量是什么样的情况</w:t>
            </w:r>
            <w:r w:rsidRPr="00A81529">
              <w:rPr>
                <w:rFonts w:ascii="楷体" w:eastAsia="楷体" w:hAnsi="楷体" w:cs="Times New Roman" w:hint="eastAsia"/>
                <w:b/>
                <w:bCs/>
                <w:color w:val="000000"/>
                <w:sz w:val="24"/>
                <w:szCs w:val="24"/>
              </w:rPr>
              <w:t>？</w:t>
            </w:r>
          </w:p>
          <w:p w14:paraId="487963F6" w14:textId="77777777" w:rsidR="00E970EF" w:rsidRPr="00A81529" w:rsidRDefault="00E970EF" w:rsidP="00E970EF">
            <w:pPr>
              <w:spacing w:line="360" w:lineRule="auto"/>
              <w:ind w:firstLineChars="200" w:firstLine="480"/>
              <w:jc w:val="both"/>
              <w:rPr>
                <w:rFonts w:ascii="楷体" w:eastAsia="楷体" w:hAnsi="楷体"/>
                <w:sz w:val="24"/>
                <w:szCs w:val="24"/>
              </w:rPr>
            </w:pPr>
            <w:r w:rsidRPr="00A81529">
              <w:rPr>
                <w:rFonts w:ascii="楷体" w:eastAsia="楷体" w:hAnsi="楷体" w:hint="eastAsia"/>
                <w:sz w:val="24"/>
                <w:szCs w:val="24"/>
              </w:rPr>
              <w:lastRenderedPageBreak/>
              <w:t>尊敬的投资者您好！</w:t>
            </w:r>
            <w:r w:rsidRPr="0026709B">
              <w:rPr>
                <w:rFonts w:ascii="楷体" w:eastAsia="楷体" w:hAnsi="楷体"/>
                <w:sz w:val="24"/>
              </w:rPr>
              <w:t>2025年上半年，公司PVC无汞催化剂实现销售258吨，截止到6月底，公司PVC无汞催化剂在手订单366吨</w:t>
            </w:r>
            <w:r>
              <w:rPr>
                <w:rFonts w:ascii="楷体" w:eastAsia="楷体" w:hAnsi="楷体" w:hint="eastAsia"/>
                <w:sz w:val="24"/>
              </w:rPr>
              <w:t>。其中，</w:t>
            </w:r>
            <w:r w:rsidRPr="00A81529">
              <w:rPr>
                <w:rFonts w:ascii="楷体" w:eastAsia="楷体" w:hAnsi="楷体" w:cs="Times New Roman"/>
                <w:color w:val="000000"/>
                <w:sz w:val="24"/>
                <w:szCs w:val="24"/>
              </w:rPr>
              <w:t>二季度PVC催化剂销量</w:t>
            </w:r>
            <w:r w:rsidRPr="00A81529">
              <w:rPr>
                <w:rFonts w:ascii="楷体" w:eastAsia="楷体" w:hAnsi="楷体" w:cs="Times New Roman" w:hint="eastAsia"/>
                <w:color w:val="000000"/>
                <w:sz w:val="24"/>
                <w:szCs w:val="24"/>
              </w:rPr>
              <w:t>128</w:t>
            </w:r>
            <w:r w:rsidRPr="00A81529">
              <w:rPr>
                <w:rFonts w:ascii="楷体" w:eastAsia="楷体" w:hAnsi="楷体" w:cs="Times New Roman"/>
                <w:color w:val="000000"/>
                <w:sz w:val="24"/>
                <w:szCs w:val="24"/>
              </w:rPr>
              <w:t>吨。</w:t>
            </w:r>
            <w:r w:rsidRPr="00A81529">
              <w:rPr>
                <w:rFonts w:ascii="楷体" w:eastAsia="楷体" w:hAnsi="楷体" w:hint="eastAsia"/>
                <w:sz w:val="24"/>
                <w:szCs w:val="24"/>
              </w:rPr>
              <w:t>感谢您的关注！</w:t>
            </w:r>
          </w:p>
          <w:p w14:paraId="73FCB4A6" w14:textId="77777777" w:rsidR="00E970EF" w:rsidRPr="00A81529" w:rsidRDefault="00E970EF" w:rsidP="00E970EF">
            <w:pPr>
              <w:pStyle w:val="af3"/>
              <w:numPr>
                <w:ilvl w:val="0"/>
                <w:numId w:val="2"/>
              </w:numPr>
              <w:spacing w:after="160" w:line="360" w:lineRule="auto"/>
              <w:ind w:firstLine="482"/>
              <w:outlineLvl w:val="2"/>
              <w:rPr>
                <w:rFonts w:ascii="楷体" w:eastAsia="楷体" w:hAnsi="楷体" w:cs="Times New Roman"/>
                <w:b/>
                <w:bCs/>
                <w:color w:val="000000"/>
                <w:sz w:val="24"/>
                <w:szCs w:val="24"/>
              </w:rPr>
            </w:pPr>
            <w:r w:rsidRPr="00FB492A">
              <w:rPr>
                <w:rFonts w:ascii="楷体" w:eastAsia="楷体" w:hAnsi="楷体" w:cs="Times New Roman" w:hint="eastAsia"/>
                <w:b/>
                <w:bCs/>
                <w:color w:val="000000"/>
                <w:sz w:val="24"/>
              </w:rPr>
              <w:t>公司在基础化工领域的催化剂产品进展怎么样</w:t>
            </w:r>
            <w:r w:rsidRPr="00A81529">
              <w:rPr>
                <w:rFonts w:ascii="楷体" w:eastAsia="楷体" w:hAnsi="楷体" w:cs="Times New Roman"/>
                <w:b/>
                <w:bCs/>
                <w:color w:val="000000"/>
                <w:sz w:val="24"/>
                <w:szCs w:val="24"/>
              </w:rPr>
              <w:t>？</w:t>
            </w:r>
          </w:p>
          <w:p w14:paraId="40AB2DCE" w14:textId="729CA8AC" w:rsidR="00E970EF" w:rsidRDefault="00E970EF" w:rsidP="00E970EF">
            <w:pPr>
              <w:spacing w:line="360" w:lineRule="auto"/>
              <w:ind w:firstLineChars="200" w:firstLine="480"/>
              <w:jc w:val="both"/>
              <w:rPr>
                <w:rFonts w:ascii="楷体" w:eastAsia="楷体" w:hAnsi="楷体"/>
                <w:sz w:val="24"/>
              </w:rPr>
            </w:pPr>
            <w:r w:rsidRPr="00A81529">
              <w:rPr>
                <w:rFonts w:ascii="楷体" w:eastAsia="楷体" w:hAnsi="楷体" w:hint="eastAsia"/>
                <w:sz w:val="24"/>
                <w:szCs w:val="24"/>
              </w:rPr>
              <w:t>尊敬的投资者您好！</w:t>
            </w:r>
            <w:r w:rsidRPr="00FB492A">
              <w:rPr>
                <w:rFonts w:ascii="楷体" w:eastAsia="楷体" w:hAnsi="楷体" w:cs="Times New Roman"/>
                <w:color w:val="000000"/>
                <w:sz w:val="24"/>
              </w:rPr>
              <w:t>2025年上半年，</w:t>
            </w:r>
            <w:r w:rsidRPr="00A81529">
              <w:rPr>
                <w:rFonts w:ascii="楷体" w:eastAsia="楷体" w:hAnsi="楷体" w:cs="Times New Roman"/>
                <w:color w:val="000000"/>
                <w:sz w:val="24"/>
                <w:szCs w:val="24"/>
              </w:rPr>
              <w:t>基础化工领域</w:t>
            </w:r>
            <w:r w:rsidRPr="00A81529">
              <w:rPr>
                <w:rFonts w:ascii="楷体" w:eastAsia="楷体" w:hAnsi="楷体" w:cs="Times New Roman" w:hint="eastAsia"/>
                <w:color w:val="000000"/>
                <w:sz w:val="24"/>
                <w:szCs w:val="24"/>
              </w:rPr>
              <w:t>目前有十余种</w:t>
            </w:r>
            <w:r w:rsidRPr="00A81529">
              <w:rPr>
                <w:rFonts w:ascii="楷体" w:eastAsia="楷体" w:hAnsi="楷体" w:cs="Times New Roman"/>
                <w:color w:val="000000"/>
                <w:sz w:val="24"/>
                <w:szCs w:val="24"/>
              </w:rPr>
              <w:t>催化剂</w:t>
            </w:r>
            <w:r w:rsidRPr="00A81529">
              <w:rPr>
                <w:rFonts w:ascii="楷体" w:eastAsia="楷体" w:hAnsi="楷体" w:cs="Times New Roman" w:hint="eastAsia"/>
                <w:color w:val="000000"/>
                <w:sz w:val="24"/>
                <w:szCs w:val="24"/>
              </w:rPr>
              <w:t>实现销售</w:t>
            </w:r>
            <w:r>
              <w:rPr>
                <w:rFonts w:ascii="楷体" w:eastAsia="楷体" w:hAnsi="楷体" w:cs="Times New Roman" w:hint="eastAsia"/>
                <w:color w:val="000000"/>
                <w:sz w:val="24"/>
              </w:rPr>
              <w:t>。</w:t>
            </w:r>
            <w:r w:rsidRPr="00FB492A">
              <w:rPr>
                <w:rFonts w:ascii="楷体" w:eastAsia="楷体" w:hAnsi="楷体" w:cs="Times New Roman"/>
                <w:color w:val="000000"/>
                <w:sz w:val="24"/>
              </w:rPr>
              <w:t>公司全面覆盖 PVC 无汞化技术革新所需用催化剂，保持乙炔法用无汞催化剂竞争优势的同时，乙烯法用催化剂研发取得突破，开始推广试用</w:t>
            </w:r>
            <w:r>
              <w:rPr>
                <w:rFonts w:ascii="楷体" w:eastAsia="楷体" w:hAnsi="楷体" w:cs="Times New Roman" w:hint="eastAsia"/>
                <w:color w:val="000000"/>
                <w:sz w:val="24"/>
              </w:rPr>
              <w:t>，整体市场规模在万吨/年左右</w:t>
            </w:r>
            <w:r w:rsidRPr="00FB492A">
              <w:rPr>
                <w:rFonts w:ascii="楷体" w:eastAsia="楷体" w:hAnsi="楷体" w:cs="Times New Roman"/>
                <w:color w:val="000000"/>
                <w:sz w:val="24"/>
              </w:rPr>
              <w:t>；</w:t>
            </w:r>
            <w:r w:rsidRPr="00A81529">
              <w:rPr>
                <w:rFonts w:ascii="楷体" w:eastAsia="楷体" w:hAnsi="楷体" w:cs="Times New Roman" w:hint="eastAsia"/>
                <w:color w:val="000000"/>
                <w:sz w:val="24"/>
                <w:szCs w:val="24"/>
              </w:rPr>
              <w:t>BDO</w:t>
            </w:r>
            <w:r>
              <w:rPr>
                <w:rFonts w:ascii="楷体" w:eastAsia="楷体" w:hAnsi="楷体" w:cs="Times New Roman" w:hint="eastAsia"/>
                <w:color w:val="000000"/>
                <w:sz w:val="24"/>
                <w:szCs w:val="24"/>
              </w:rPr>
              <w:t>用</w:t>
            </w:r>
            <w:r w:rsidRPr="00A81529">
              <w:rPr>
                <w:rFonts w:ascii="楷体" w:eastAsia="楷体" w:hAnsi="楷体" w:cs="Times New Roman" w:hint="eastAsia"/>
                <w:color w:val="000000"/>
                <w:sz w:val="24"/>
                <w:szCs w:val="24"/>
              </w:rPr>
              <w:t>催化剂，目前</w:t>
            </w:r>
            <w:r>
              <w:rPr>
                <w:rFonts w:ascii="楷体" w:eastAsia="楷体" w:hAnsi="楷体" w:cs="Times New Roman" w:hint="eastAsia"/>
                <w:color w:val="000000"/>
                <w:sz w:val="24"/>
                <w:szCs w:val="24"/>
              </w:rPr>
              <w:t>个别种类</w:t>
            </w:r>
            <w:r w:rsidRPr="00A81529">
              <w:rPr>
                <w:rFonts w:ascii="楷体" w:eastAsia="楷体" w:hAnsi="楷体" w:cs="Times New Roman" w:hint="eastAsia"/>
                <w:color w:val="000000"/>
                <w:sz w:val="24"/>
                <w:szCs w:val="24"/>
              </w:rPr>
              <w:t>已经实现销售，整体市场规模在</w:t>
            </w:r>
            <w:r w:rsidR="001C7553">
              <w:rPr>
                <w:rFonts w:ascii="楷体" w:eastAsia="楷体" w:hAnsi="楷体" w:cs="Times New Roman"/>
                <w:color w:val="000000"/>
                <w:sz w:val="24"/>
              </w:rPr>
              <w:t>3500</w:t>
            </w:r>
            <w:r w:rsidRPr="007B420B">
              <w:rPr>
                <w:rFonts w:ascii="楷体" w:eastAsia="楷体" w:hAnsi="楷体" w:cs="Times New Roman"/>
                <w:color w:val="000000"/>
                <w:sz w:val="24"/>
                <w:szCs w:val="24"/>
              </w:rPr>
              <w:t>吨/年</w:t>
            </w:r>
            <w:r>
              <w:rPr>
                <w:rFonts w:ascii="楷体" w:eastAsia="楷体" w:hAnsi="楷体" w:cs="Times New Roman" w:hint="eastAsia"/>
                <w:color w:val="000000"/>
                <w:sz w:val="24"/>
                <w:szCs w:val="24"/>
              </w:rPr>
              <w:t>左右</w:t>
            </w:r>
            <w:r>
              <w:rPr>
                <w:rFonts w:ascii="楷体" w:eastAsia="楷体" w:hAnsi="楷体" w:cs="Times New Roman" w:hint="eastAsia"/>
                <w:color w:val="000000"/>
                <w:sz w:val="24"/>
              </w:rPr>
              <w:t>；</w:t>
            </w:r>
            <w:r w:rsidRPr="00FB492A">
              <w:rPr>
                <w:rFonts w:ascii="楷体" w:eastAsia="楷体" w:hAnsi="楷体" w:cs="Times New Roman" w:hint="eastAsia"/>
                <w:color w:val="000000"/>
                <w:sz w:val="24"/>
              </w:rPr>
              <w:t>烷烃脱氢</w:t>
            </w:r>
            <w:r>
              <w:rPr>
                <w:rFonts w:ascii="楷体" w:eastAsia="楷体" w:hAnsi="楷体" w:cs="Times New Roman" w:hint="eastAsia"/>
                <w:color w:val="000000"/>
                <w:sz w:val="24"/>
              </w:rPr>
              <w:t>用</w:t>
            </w:r>
            <w:r w:rsidRPr="00FB492A">
              <w:rPr>
                <w:rFonts w:ascii="楷体" w:eastAsia="楷体" w:hAnsi="楷体" w:cs="Times New Roman" w:hint="eastAsia"/>
                <w:color w:val="000000"/>
                <w:sz w:val="24"/>
              </w:rPr>
              <w:t>催化剂载体达到了规模化生产要求目前正在进行批量试制，工业测线评估，</w:t>
            </w:r>
            <w:r w:rsidRPr="00FB492A">
              <w:rPr>
                <w:rFonts w:ascii="楷体" w:eastAsia="楷体" w:hAnsi="楷体" w:cs="Times New Roman"/>
                <w:color w:val="000000"/>
                <w:sz w:val="24"/>
              </w:rPr>
              <w:t>整体市场规模在1,400吨/年左右</w:t>
            </w:r>
            <w:r>
              <w:rPr>
                <w:rFonts w:ascii="楷体" w:eastAsia="楷体" w:hAnsi="楷体" w:cs="Times New Roman" w:hint="eastAsia"/>
                <w:color w:val="000000"/>
                <w:sz w:val="24"/>
              </w:rPr>
              <w:t>；</w:t>
            </w:r>
            <w:r w:rsidRPr="00FB492A">
              <w:rPr>
                <w:rFonts w:ascii="楷体" w:eastAsia="楷体" w:hAnsi="楷体" w:cs="Times New Roman" w:hint="eastAsia"/>
                <w:color w:val="000000"/>
                <w:sz w:val="24"/>
              </w:rPr>
              <w:t>盐酸氧化催化剂，性能进一步得到了提升</w:t>
            </w:r>
            <w:r w:rsidRPr="00FB492A">
              <w:rPr>
                <w:rFonts w:ascii="楷体" w:eastAsia="楷体" w:hAnsi="楷体" w:cs="Times New Roman"/>
                <w:color w:val="000000"/>
                <w:sz w:val="24"/>
              </w:rPr>
              <w:t>。在新产品和新客户的推动下，基础化工领域销量较上年同期上涨 185.54%，技术布局和市场开拓的成效开始显现。</w:t>
            </w:r>
            <w:r w:rsidRPr="00FB492A">
              <w:rPr>
                <w:rFonts w:ascii="楷体" w:eastAsia="楷体" w:hAnsi="楷体" w:hint="eastAsia"/>
                <w:sz w:val="24"/>
              </w:rPr>
              <w:t>感谢您的关注！</w:t>
            </w:r>
          </w:p>
          <w:p w14:paraId="02090817" w14:textId="77777777" w:rsidR="00E970EF" w:rsidRPr="00FB492A" w:rsidRDefault="00E970EF" w:rsidP="00E970EF">
            <w:pPr>
              <w:pStyle w:val="af3"/>
              <w:numPr>
                <w:ilvl w:val="0"/>
                <w:numId w:val="2"/>
              </w:numPr>
              <w:spacing w:after="160" w:line="360" w:lineRule="auto"/>
              <w:ind w:firstLine="482"/>
              <w:outlineLvl w:val="2"/>
              <w:rPr>
                <w:rFonts w:ascii="楷体" w:eastAsia="楷体" w:hAnsi="楷体" w:cs="Times New Roman"/>
                <w:b/>
                <w:bCs/>
                <w:color w:val="000000"/>
                <w:sz w:val="24"/>
              </w:rPr>
            </w:pPr>
            <w:r w:rsidRPr="00FB492A">
              <w:rPr>
                <w:rFonts w:ascii="楷体" w:eastAsia="楷体" w:hAnsi="楷体" w:cs="Times New Roman" w:hint="eastAsia"/>
                <w:b/>
                <w:bCs/>
                <w:color w:val="000000"/>
                <w:sz w:val="24"/>
              </w:rPr>
              <w:t>烷烃脱氢</w:t>
            </w:r>
            <w:r w:rsidRPr="00FB492A">
              <w:rPr>
                <w:rFonts w:ascii="楷体" w:eastAsia="楷体" w:hAnsi="楷体" w:cs="Times New Roman"/>
                <w:b/>
                <w:bCs/>
                <w:color w:val="000000"/>
                <w:sz w:val="24"/>
              </w:rPr>
              <w:t>催化剂</w:t>
            </w:r>
            <w:r>
              <w:rPr>
                <w:rFonts w:ascii="楷体" w:eastAsia="楷体" w:hAnsi="楷体" w:cs="Times New Roman" w:hint="eastAsia"/>
                <w:b/>
                <w:bCs/>
                <w:color w:val="000000"/>
                <w:sz w:val="24"/>
              </w:rPr>
              <w:t>（P</w:t>
            </w:r>
            <w:r>
              <w:rPr>
                <w:rFonts w:ascii="楷体" w:eastAsia="楷体" w:hAnsi="楷体" w:cs="Times New Roman"/>
                <w:b/>
                <w:bCs/>
                <w:color w:val="000000"/>
                <w:sz w:val="24"/>
              </w:rPr>
              <w:t>DH</w:t>
            </w:r>
            <w:r>
              <w:rPr>
                <w:rFonts w:ascii="楷体" w:eastAsia="楷体" w:hAnsi="楷体" w:cs="Times New Roman" w:hint="eastAsia"/>
                <w:b/>
                <w:bCs/>
                <w:color w:val="000000"/>
                <w:sz w:val="24"/>
              </w:rPr>
              <w:t>）</w:t>
            </w:r>
            <w:r w:rsidRPr="00FB492A">
              <w:rPr>
                <w:rFonts w:ascii="楷体" w:eastAsia="楷体" w:hAnsi="楷体" w:cs="Times New Roman"/>
                <w:b/>
                <w:bCs/>
                <w:color w:val="000000"/>
                <w:sz w:val="24"/>
              </w:rPr>
              <w:t xml:space="preserve">，目前这个项目的进度如何？ </w:t>
            </w:r>
          </w:p>
          <w:p w14:paraId="2F87FC13" w14:textId="77777777" w:rsidR="00E970EF" w:rsidRPr="00FB492A" w:rsidRDefault="00E970EF" w:rsidP="00E970EF">
            <w:pPr>
              <w:spacing w:line="360" w:lineRule="auto"/>
              <w:ind w:firstLineChars="200" w:firstLine="480"/>
              <w:jc w:val="both"/>
              <w:rPr>
                <w:rFonts w:ascii="楷体" w:eastAsia="楷体" w:hAnsi="楷体" w:cs="Times New Roman"/>
                <w:color w:val="000000"/>
                <w:sz w:val="24"/>
              </w:rPr>
            </w:pPr>
            <w:r w:rsidRPr="00FB492A">
              <w:rPr>
                <w:rFonts w:ascii="楷体" w:eastAsia="楷体" w:hAnsi="楷体" w:cs="Times New Roman" w:hint="eastAsia"/>
                <w:color w:val="000000"/>
                <w:sz w:val="24"/>
              </w:rPr>
              <w:t>尊敬的投资者您好！公司在</w:t>
            </w:r>
            <w:proofErr w:type="gramStart"/>
            <w:r w:rsidRPr="00FB492A">
              <w:rPr>
                <w:rFonts w:ascii="楷体" w:eastAsia="楷体" w:hAnsi="楷体" w:cs="Times New Roman" w:hint="eastAsia"/>
                <w:color w:val="000000"/>
                <w:sz w:val="24"/>
              </w:rPr>
              <w:t>研</w:t>
            </w:r>
            <w:proofErr w:type="gramEnd"/>
            <w:r w:rsidRPr="00FB492A">
              <w:rPr>
                <w:rFonts w:ascii="楷体" w:eastAsia="楷体" w:hAnsi="楷体" w:cs="Times New Roman" w:hint="eastAsia"/>
                <w:color w:val="000000"/>
                <w:sz w:val="24"/>
              </w:rPr>
              <w:t>项目“高性能烷烃脱氢铂系催化剂研发”正处于批量试产</w:t>
            </w:r>
            <w:r w:rsidRPr="00FB492A">
              <w:rPr>
                <w:rFonts w:ascii="楷体" w:eastAsia="楷体" w:hAnsi="楷体" w:cs="Times New Roman"/>
                <w:color w:val="000000"/>
                <w:sz w:val="24"/>
              </w:rPr>
              <w:t>/</w:t>
            </w:r>
            <w:proofErr w:type="gramStart"/>
            <w:r w:rsidRPr="00FB492A">
              <w:rPr>
                <w:rFonts w:ascii="楷体" w:eastAsia="楷体" w:hAnsi="楷体" w:cs="Times New Roman"/>
                <w:color w:val="000000"/>
                <w:sz w:val="24"/>
              </w:rPr>
              <w:t>产线建设</w:t>
            </w:r>
            <w:proofErr w:type="gramEnd"/>
            <w:r w:rsidRPr="00FB492A">
              <w:rPr>
                <w:rFonts w:ascii="楷体" w:eastAsia="楷体" w:hAnsi="楷体" w:cs="Times New Roman"/>
                <w:color w:val="000000"/>
                <w:sz w:val="24"/>
              </w:rPr>
              <w:t>，正在设备调试与工序试生产阶段。公司经过持续创新，自主研发设计的氧化铝</w:t>
            </w:r>
            <w:proofErr w:type="gramStart"/>
            <w:r w:rsidRPr="00FB492A">
              <w:rPr>
                <w:rFonts w:ascii="楷体" w:eastAsia="楷体" w:hAnsi="楷体" w:cs="Times New Roman"/>
                <w:color w:val="000000"/>
                <w:sz w:val="24"/>
              </w:rPr>
              <w:t>载体产线和</w:t>
            </w:r>
            <w:proofErr w:type="gramEnd"/>
            <w:r w:rsidRPr="00FB492A">
              <w:rPr>
                <w:rFonts w:ascii="楷体" w:eastAsia="楷体" w:hAnsi="楷体" w:cs="Times New Roman"/>
                <w:color w:val="000000"/>
                <w:sz w:val="24"/>
              </w:rPr>
              <w:t>后段</w:t>
            </w:r>
            <w:proofErr w:type="gramStart"/>
            <w:r w:rsidRPr="00FB492A">
              <w:rPr>
                <w:rFonts w:ascii="楷体" w:eastAsia="楷体" w:hAnsi="楷体" w:cs="Times New Roman"/>
                <w:color w:val="000000"/>
                <w:sz w:val="24"/>
              </w:rPr>
              <w:t>催化剂产线完成</w:t>
            </w:r>
            <w:proofErr w:type="gramEnd"/>
            <w:r w:rsidRPr="00FB492A">
              <w:rPr>
                <w:rFonts w:ascii="楷体" w:eastAsia="楷体" w:hAnsi="楷体" w:cs="Times New Roman"/>
                <w:color w:val="000000"/>
                <w:sz w:val="24"/>
              </w:rPr>
              <w:t>安装调试。该项目的产业化将实现</w:t>
            </w:r>
            <w:proofErr w:type="gramStart"/>
            <w:r w:rsidRPr="00FB492A">
              <w:rPr>
                <w:rFonts w:ascii="楷体" w:eastAsia="楷体" w:hAnsi="楷体" w:cs="Times New Roman"/>
                <w:color w:val="000000"/>
                <w:sz w:val="24"/>
              </w:rPr>
              <w:t>从铝源到</w:t>
            </w:r>
            <w:proofErr w:type="gramEnd"/>
            <w:r w:rsidRPr="00FB492A">
              <w:rPr>
                <w:rFonts w:ascii="楷体" w:eastAsia="楷体" w:hAnsi="楷体" w:cs="Times New Roman"/>
                <w:color w:val="000000"/>
                <w:sz w:val="24"/>
              </w:rPr>
              <w:t>铂氧化铝催化剂产品的全链条自主可控生产，为下游烷烃脱氢客户提供催化剂完全国产化供应保障。感谢您对公司的关注！</w:t>
            </w:r>
          </w:p>
          <w:p w14:paraId="0EDE34B5" w14:textId="77777777" w:rsidR="00E970EF" w:rsidRPr="00A81529" w:rsidRDefault="00E970EF" w:rsidP="00E970EF">
            <w:pPr>
              <w:pStyle w:val="af3"/>
              <w:numPr>
                <w:ilvl w:val="0"/>
                <w:numId w:val="2"/>
              </w:numPr>
              <w:spacing w:after="160" w:line="360" w:lineRule="auto"/>
              <w:ind w:firstLine="482"/>
              <w:outlineLvl w:val="2"/>
              <w:rPr>
                <w:rFonts w:ascii="楷体" w:eastAsia="楷体" w:hAnsi="楷体" w:cs="Times New Roman"/>
                <w:b/>
                <w:bCs/>
                <w:color w:val="000000"/>
                <w:sz w:val="24"/>
                <w:szCs w:val="24"/>
              </w:rPr>
            </w:pPr>
            <w:r w:rsidRPr="00FB492A">
              <w:rPr>
                <w:rFonts w:ascii="楷体" w:eastAsia="楷体" w:hAnsi="楷体" w:cs="Times New Roman" w:hint="eastAsia"/>
                <w:b/>
                <w:bCs/>
                <w:color w:val="000000"/>
                <w:sz w:val="24"/>
              </w:rPr>
              <w:t>氢化丁腈橡胶项目进展情况怎么样</w:t>
            </w:r>
            <w:r>
              <w:rPr>
                <w:rFonts w:ascii="楷体" w:eastAsia="楷体" w:hAnsi="楷体" w:cs="Times New Roman" w:hint="eastAsia"/>
                <w:b/>
                <w:bCs/>
                <w:color w:val="000000"/>
                <w:sz w:val="24"/>
              </w:rPr>
              <w:t>，</w:t>
            </w:r>
            <w:r w:rsidRPr="00A81529">
              <w:rPr>
                <w:rFonts w:ascii="楷体" w:eastAsia="楷体" w:hAnsi="楷体" w:cs="Times New Roman"/>
                <w:b/>
                <w:bCs/>
                <w:color w:val="000000"/>
                <w:sz w:val="24"/>
                <w:szCs w:val="24"/>
              </w:rPr>
              <w:t>跟哪些客户对接，我们下游的具体应用瞄准的目标是在哪个领域？</w:t>
            </w:r>
          </w:p>
          <w:p w14:paraId="7D98B906" w14:textId="77777777" w:rsidR="00E970EF" w:rsidRDefault="00E970EF" w:rsidP="00E970EF">
            <w:pPr>
              <w:spacing w:line="360" w:lineRule="auto"/>
              <w:ind w:firstLineChars="200" w:firstLine="480"/>
              <w:jc w:val="both"/>
              <w:rPr>
                <w:rFonts w:ascii="楷体" w:eastAsia="楷体" w:hAnsi="楷体"/>
                <w:sz w:val="24"/>
              </w:rPr>
            </w:pPr>
            <w:r w:rsidRPr="00A81529">
              <w:rPr>
                <w:rFonts w:ascii="楷体" w:eastAsia="楷体" w:hAnsi="楷体" w:hint="eastAsia"/>
                <w:sz w:val="24"/>
                <w:szCs w:val="24"/>
              </w:rPr>
              <w:t>尊敬的投资者您好！</w:t>
            </w:r>
            <w:proofErr w:type="gramStart"/>
            <w:r w:rsidRPr="00FB492A">
              <w:rPr>
                <w:rFonts w:ascii="楷体" w:eastAsia="楷体" w:hAnsi="楷体" w:hint="eastAsia"/>
                <w:sz w:val="24"/>
              </w:rPr>
              <w:t>彬州凯泰氢</w:t>
            </w:r>
            <w:proofErr w:type="gramEnd"/>
            <w:r w:rsidRPr="00FB492A">
              <w:rPr>
                <w:rFonts w:ascii="楷体" w:eastAsia="楷体" w:hAnsi="楷体" w:hint="eastAsia"/>
                <w:sz w:val="24"/>
              </w:rPr>
              <w:t>化丁腈橡胶产业化项目主体及配套设施建设、设备安装已经完成，目前进入调试，联动，收尾阶段，整个项目稳定有序的推进，项目落地将为公司后续下游高端新材料的发展和新型催化技术的成果落地转化奠定坚实的基础。</w:t>
            </w:r>
            <w:r w:rsidRPr="00A81529">
              <w:rPr>
                <w:rFonts w:ascii="楷体" w:eastAsia="楷体" w:hAnsi="楷体" w:hint="eastAsia"/>
                <w:sz w:val="24"/>
                <w:szCs w:val="24"/>
              </w:rPr>
              <w:t>氢化丁腈橡胶是一种综合性能优异的特种橡胶。广泛用于油田、汽车工业等领域用于制备传动带、密封件、胶管、电缆等器件。未来，新能源、新型建筑材料和医疗用品等新兴行业快速发展将进一步带动HNBR的消费量的增长。目前</w:t>
            </w:r>
            <w:r w:rsidRPr="00A81529">
              <w:rPr>
                <w:rFonts w:ascii="楷体" w:eastAsia="楷体" w:hAnsi="楷体" w:cs="Times New Roman"/>
                <w:color w:val="000000"/>
                <w:sz w:val="24"/>
                <w:szCs w:val="24"/>
              </w:rPr>
              <w:t>我们</w:t>
            </w:r>
            <w:r w:rsidRPr="00A81529">
              <w:rPr>
                <w:rFonts w:ascii="楷体" w:eastAsia="楷体" w:hAnsi="楷体" w:cs="Times New Roman" w:hint="eastAsia"/>
                <w:color w:val="000000"/>
                <w:sz w:val="24"/>
                <w:szCs w:val="24"/>
              </w:rPr>
              <w:t>正</w:t>
            </w:r>
            <w:r w:rsidRPr="00A81529">
              <w:rPr>
                <w:rFonts w:ascii="楷体" w:eastAsia="楷体" w:hAnsi="楷体" w:cs="Times New Roman"/>
                <w:color w:val="000000"/>
                <w:sz w:val="24"/>
                <w:szCs w:val="24"/>
              </w:rPr>
              <w:t>积极的在</w:t>
            </w:r>
            <w:proofErr w:type="gramStart"/>
            <w:r w:rsidRPr="00A81529">
              <w:rPr>
                <w:rFonts w:ascii="楷体" w:eastAsia="楷体" w:hAnsi="楷体" w:cs="Times New Roman"/>
                <w:color w:val="000000"/>
                <w:sz w:val="24"/>
                <w:szCs w:val="24"/>
              </w:rPr>
              <w:t>跟相关</w:t>
            </w:r>
            <w:proofErr w:type="gramEnd"/>
            <w:r w:rsidRPr="00A81529">
              <w:rPr>
                <w:rFonts w:ascii="楷体" w:eastAsia="楷体" w:hAnsi="楷体" w:cs="Times New Roman"/>
                <w:color w:val="000000"/>
                <w:sz w:val="24"/>
                <w:szCs w:val="24"/>
              </w:rPr>
              <w:t>产业的一些客户在做一些接触，为后续的客户市场做储备。具体名称</w:t>
            </w:r>
            <w:r w:rsidRPr="00A81529">
              <w:rPr>
                <w:rFonts w:ascii="楷体" w:eastAsia="楷体" w:hAnsi="楷体" w:cs="Times New Roman" w:hint="eastAsia"/>
                <w:color w:val="000000"/>
                <w:sz w:val="24"/>
                <w:szCs w:val="24"/>
              </w:rPr>
              <w:t>敬请关注</w:t>
            </w:r>
            <w:r w:rsidRPr="00A81529">
              <w:rPr>
                <w:rFonts w:ascii="楷体" w:eastAsia="楷体" w:hAnsi="楷体" w:cs="Times New Roman"/>
                <w:color w:val="000000"/>
                <w:sz w:val="24"/>
                <w:szCs w:val="24"/>
              </w:rPr>
              <w:t>后续</w:t>
            </w:r>
            <w:r w:rsidRPr="00A81529">
              <w:rPr>
                <w:rFonts w:ascii="楷体" w:eastAsia="楷体" w:hAnsi="楷体" w:cs="Times New Roman" w:hint="eastAsia"/>
                <w:color w:val="000000"/>
                <w:sz w:val="24"/>
                <w:szCs w:val="24"/>
              </w:rPr>
              <w:t>的</w:t>
            </w:r>
            <w:r w:rsidRPr="00A81529">
              <w:rPr>
                <w:rFonts w:ascii="楷体" w:eastAsia="楷体" w:hAnsi="楷体" w:cs="Times New Roman"/>
                <w:color w:val="000000"/>
                <w:sz w:val="24"/>
                <w:szCs w:val="24"/>
              </w:rPr>
              <w:t>披露。</w:t>
            </w:r>
            <w:r w:rsidRPr="00A81529">
              <w:rPr>
                <w:rFonts w:ascii="楷体" w:eastAsia="楷体" w:hAnsi="楷体" w:hint="eastAsia"/>
                <w:sz w:val="24"/>
                <w:szCs w:val="24"/>
              </w:rPr>
              <w:t>感谢您的关注！</w:t>
            </w:r>
          </w:p>
          <w:p w14:paraId="66FF2100" w14:textId="77777777" w:rsidR="00E970EF" w:rsidRPr="00A81529" w:rsidRDefault="00E970EF" w:rsidP="00E970EF">
            <w:pPr>
              <w:pStyle w:val="af3"/>
              <w:numPr>
                <w:ilvl w:val="0"/>
                <w:numId w:val="2"/>
              </w:numPr>
              <w:spacing w:after="160" w:line="360" w:lineRule="auto"/>
              <w:ind w:firstLine="482"/>
              <w:outlineLvl w:val="2"/>
              <w:rPr>
                <w:rFonts w:ascii="楷体" w:eastAsia="楷体" w:hAnsi="楷体" w:cs="Times New Roman"/>
                <w:b/>
                <w:bCs/>
                <w:color w:val="000000"/>
                <w:sz w:val="24"/>
                <w:szCs w:val="24"/>
              </w:rPr>
            </w:pPr>
            <w:r w:rsidRPr="00A81529">
              <w:rPr>
                <w:rFonts w:ascii="楷体" w:eastAsia="楷体" w:hAnsi="楷体" w:cs="Times New Roman"/>
                <w:b/>
                <w:bCs/>
                <w:color w:val="000000"/>
                <w:sz w:val="24"/>
                <w:szCs w:val="24"/>
              </w:rPr>
              <w:lastRenderedPageBreak/>
              <w:t>我们有没有未来对茂金属催化剂这个领域的增长的预期？</w:t>
            </w:r>
          </w:p>
          <w:p w14:paraId="64A1E6B9" w14:textId="6BF4BB36" w:rsidR="00E970EF" w:rsidRPr="00E35C1A" w:rsidRDefault="00E970EF" w:rsidP="00E970EF">
            <w:pPr>
              <w:spacing w:line="360" w:lineRule="auto"/>
              <w:ind w:firstLineChars="200" w:firstLine="480"/>
              <w:jc w:val="both"/>
              <w:rPr>
                <w:rFonts w:ascii="楷体" w:eastAsia="楷体" w:hAnsi="楷体" w:cs="Times New Roman"/>
                <w:color w:val="000000"/>
                <w:sz w:val="24"/>
                <w:szCs w:val="24"/>
              </w:rPr>
            </w:pPr>
            <w:r w:rsidRPr="00A81529">
              <w:rPr>
                <w:rFonts w:ascii="楷体" w:eastAsia="楷体" w:hAnsi="楷体" w:hint="eastAsia"/>
                <w:sz w:val="24"/>
                <w:szCs w:val="24"/>
              </w:rPr>
              <w:t>尊敬的投资者您好！</w:t>
            </w:r>
            <w:r w:rsidRPr="00E75763">
              <w:rPr>
                <w:rFonts w:ascii="楷体" w:eastAsia="楷体" w:hAnsi="楷体" w:cs="Times New Roman" w:hint="eastAsia"/>
                <w:color w:val="000000"/>
                <w:sz w:val="24"/>
              </w:rPr>
              <w:t>茂金属催化体系的用途十分广泛，可以用于生产茂金属聚乙烯、茂金属聚丙烯、茂金属间</w:t>
            </w:r>
            <w:proofErr w:type="gramStart"/>
            <w:r w:rsidRPr="00E75763">
              <w:rPr>
                <w:rFonts w:ascii="楷体" w:eastAsia="楷体" w:hAnsi="楷体" w:cs="Times New Roman" w:hint="eastAsia"/>
                <w:color w:val="000000"/>
                <w:sz w:val="24"/>
              </w:rPr>
              <w:t>规</w:t>
            </w:r>
            <w:proofErr w:type="gramEnd"/>
            <w:r w:rsidRPr="00E75763">
              <w:rPr>
                <w:rFonts w:ascii="楷体" w:eastAsia="楷体" w:hAnsi="楷体" w:cs="Times New Roman" w:hint="eastAsia"/>
                <w:color w:val="000000"/>
                <w:sz w:val="24"/>
              </w:rPr>
              <w:t>聚苯乙烯、聚烯烃弹性体、环烯烃共聚物等等。茂金属催化体系的研发，可以有力地推动高端聚烯烃全产业链的国产化，是有效突破国外技术封锁垄断的基础。</w:t>
            </w:r>
            <w:r w:rsidRPr="00E75763">
              <w:rPr>
                <w:rFonts w:ascii="楷体" w:eastAsia="楷体" w:hAnsi="楷体" w:cs="Times New Roman"/>
                <w:color w:val="000000"/>
                <w:sz w:val="24"/>
              </w:rPr>
              <w:t>公司聚烯烃用茂金属催化剂产品完成首批订单生产并交付客户使用，运行良好，得到客户好评</w:t>
            </w:r>
            <w:r w:rsidRPr="00A81529">
              <w:rPr>
                <w:rFonts w:ascii="楷体" w:eastAsia="楷体" w:hAnsi="楷体" w:cs="Times New Roman" w:hint="eastAsia"/>
                <w:color w:val="000000"/>
                <w:sz w:val="24"/>
                <w:szCs w:val="24"/>
              </w:rPr>
              <w:t>。</w:t>
            </w:r>
            <w:bookmarkStart w:id="0" w:name="OLE_LINK2"/>
            <w:r w:rsidRPr="00A81529">
              <w:rPr>
                <w:rFonts w:ascii="楷体" w:eastAsia="楷体" w:hAnsi="楷体" w:hint="eastAsia"/>
                <w:sz w:val="24"/>
                <w:szCs w:val="24"/>
              </w:rPr>
              <w:t>感谢您的关注！</w:t>
            </w:r>
            <w:bookmarkEnd w:id="0"/>
          </w:p>
          <w:p w14:paraId="321D2C5D" w14:textId="77777777" w:rsidR="00E970EF" w:rsidRPr="00A81529" w:rsidRDefault="00E970EF" w:rsidP="00E970EF">
            <w:pPr>
              <w:pStyle w:val="af3"/>
              <w:numPr>
                <w:ilvl w:val="0"/>
                <w:numId w:val="2"/>
              </w:numPr>
              <w:spacing w:after="160" w:line="360" w:lineRule="auto"/>
              <w:ind w:firstLine="482"/>
              <w:outlineLvl w:val="2"/>
              <w:rPr>
                <w:rFonts w:ascii="楷体" w:eastAsia="楷体" w:hAnsi="楷体" w:cs="Times New Roman"/>
                <w:b/>
                <w:bCs/>
                <w:color w:val="000000"/>
                <w:sz w:val="24"/>
                <w:szCs w:val="24"/>
              </w:rPr>
            </w:pPr>
            <w:r w:rsidRPr="00A81529">
              <w:rPr>
                <w:rFonts w:ascii="楷体" w:eastAsia="楷体" w:hAnsi="楷体" w:cs="Times New Roman"/>
                <w:b/>
                <w:bCs/>
                <w:color w:val="000000"/>
                <w:sz w:val="24"/>
                <w:szCs w:val="24"/>
              </w:rPr>
              <w:t>我们如何展望医药领域后面的增长趋势？</w:t>
            </w:r>
          </w:p>
          <w:p w14:paraId="243BA781" w14:textId="4C855723" w:rsidR="00E970EF" w:rsidRDefault="00E970EF" w:rsidP="00E970EF">
            <w:pPr>
              <w:spacing w:line="360" w:lineRule="auto"/>
              <w:ind w:firstLineChars="200" w:firstLine="480"/>
              <w:jc w:val="both"/>
              <w:rPr>
                <w:rFonts w:ascii="楷体" w:eastAsia="楷体" w:hAnsi="楷体"/>
                <w:sz w:val="24"/>
              </w:rPr>
            </w:pPr>
            <w:r w:rsidRPr="00A81529">
              <w:rPr>
                <w:rFonts w:ascii="楷体" w:eastAsia="楷体" w:hAnsi="楷体" w:hint="eastAsia"/>
                <w:sz w:val="24"/>
                <w:szCs w:val="24"/>
              </w:rPr>
              <w:t>尊敬的投资者您好！2025年上半年，公司医药板块的销量较上年同期增长49.26%，主要是因为医药领域核心客户需求略有增加，同时公司竞争力增强，市场份额提升。</w:t>
            </w:r>
            <w:r>
              <w:rPr>
                <w:rFonts w:ascii="楷体" w:eastAsia="楷体" w:hAnsi="楷体" w:hint="eastAsia"/>
                <w:sz w:val="24"/>
                <w:szCs w:val="24"/>
              </w:rPr>
              <w:t>公司在医药领域客户覆盖创新药到原料药，</w:t>
            </w:r>
            <w:r w:rsidRPr="00CE38AF">
              <w:rPr>
                <w:rFonts w:ascii="楷体" w:eastAsia="楷体" w:hAnsi="楷体" w:hint="eastAsia"/>
                <w:sz w:val="24"/>
                <w:szCs w:val="24"/>
              </w:rPr>
              <w:t>伴随着全球各国经济的发展、全球人口总量的增长、人口老龄化程度的提高、科技进步、医疗开支上升以及大众对于健康生活的需求不断增强，预计全球制药市场规模以及对于医药研发服务的需求仍然将持续增长</w:t>
            </w:r>
            <w:r>
              <w:rPr>
                <w:rFonts w:ascii="楷体" w:eastAsia="楷体" w:hAnsi="楷体" w:cs="Times New Roman" w:hint="eastAsia"/>
                <w:color w:val="000000"/>
                <w:sz w:val="24"/>
                <w:szCs w:val="24"/>
              </w:rPr>
              <w:t>，公司</w:t>
            </w:r>
            <w:r w:rsidRPr="00A81529">
              <w:rPr>
                <w:rFonts w:ascii="楷体" w:eastAsia="楷体" w:hAnsi="楷体" w:cs="Times New Roman"/>
                <w:color w:val="000000"/>
                <w:sz w:val="24"/>
                <w:szCs w:val="24"/>
              </w:rPr>
              <w:t>会根据</w:t>
            </w:r>
            <w:r>
              <w:rPr>
                <w:rFonts w:ascii="楷体" w:eastAsia="楷体" w:hAnsi="楷体" w:cs="Times New Roman" w:hint="eastAsia"/>
                <w:color w:val="000000"/>
                <w:sz w:val="24"/>
                <w:szCs w:val="24"/>
              </w:rPr>
              <w:t>医药领域</w:t>
            </w:r>
            <w:r w:rsidRPr="00A81529">
              <w:rPr>
                <w:rFonts w:ascii="楷体" w:eastAsia="楷体" w:hAnsi="楷体" w:cs="Times New Roman"/>
                <w:color w:val="000000"/>
                <w:sz w:val="24"/>
                <w:szCs w:val="24"/>
              </w:rPr>
              <w:t>客户的情况去争取</w:t>
            </w:r>
            <w:r>
              <w:rPr>
                <w:rFonts w:ascii="楷体" w:eastAsia="楷体" w:hAnsi="楷体" w:cs="Times New Roman" w:hint="eastAsia"/>
                <w:color w:val="000000"/>
                <w:sz w:val="24"/>
                <w:szCs w:val="24"/>
              </w:rPr>
              <w:t>更多</w:t>
            </w:r>
            <w:r w:rsidRPr="00A81529">
              <w:rPr>
                <w:rFonts w:ascii="楷体" w:eastAsia="楷体" w:hAnsi="楷体" w:cs="Times New Roman"/>
                <w:color w:val="000000"/>
                <w:sz w:val="24"/>
                <w:szCs w:val="24"/>
              </w:rPr>
              <w:t>的市场</w:t>
            </w:r>
            <w:r w:rsidRPr="00A81529">
              <w:rPr>
                <w:rFonts w:ascii="楷体" w:eastAsia="楷体" w:hAnsi="楷体" w:cs="Times New Roman" w:hint="eastAsia"/>
                <w:color w:val="000000"/>
                <w:sz w:val="24"/>
                <w:szCs w:val="24"/>
              </w:rPr>
              <w:t>。</w:t>
            </w:r>
            <w:r w:rsidRPr="00A81529">
              <w:rPr>
                <w:rFonts w:ascii="楷体" w:eastAsia="楷体" w:hAnsi="楷体" w:hint="eastAsia"/>
                <w:sz w:val="24"/>
                <w:szCs w:val="24"/>
              </w:rPr>
              <w:t>感谢您的关注！</w:t>
            </w:r>
          </w:p>
          <w:p w14:paraId="72C72636" w14:textId="77777777" w:rsidR="00E970EF" w:rsidRPr="00A81529" w:rsidRDefault="00E970EF" w:rsidP="00E970EF">
            <w:pPr>
              <w:pStyle w:val="af3"/>
              <w:numPr>
                <w:ilvl w:val="0"/>
                <w:numId w:val="2"/>
              </w:numPr>
              <w:spacing w:after="160" w:line="360" w:lineRule="auto"/>
              <w:ind w:firstLine="482"/>
              <w:outlineLvl w:val="2"/>
              <w:rPr>
                <w:rFonts w:ascii="楷体" w:eastAsia="楷体" w:hAnsi="楷体" w:cs="Times New Roman"/>
                <w:b/>
                <w:bCs/>
                <w:color w:val="000000"/>
                <w:sz w:val="24"/>
                <w:szCs w:val="24"/>
              </w:rPr>
            </w:pPr>
            <w:proofErr w:type="gramStart"/>
            <w:r w:rsidRPr="00A81529">
              <w:rPr>
                <w:rFonts w:ascii="楷体" w:eastAsia="楷体" w:hAnsi="楷体" w:cs="Times New Roman" w:hint="eastAsia"/>
                <w:b/>
                <w:bCs/>
                <w:color w:val="000000"/>
                <w:sz w:val="24"/>
                <w:szCs w:val="24"/>
              </w:rPr>
              <w:t>彬州</w:t>
            </w:r>
            <w:proofErr w:type="gramEnd"/>
            <w:r w:rsidRPr="00A81529">
              <w:rPr>
                <w:rFonts w:ascii="楷体" w:eastAsia="楷体" w:hAnsi="楷体" w:cs="Times New Roman"/>
                <w:b/>
                <w:bCs/>
                <w:color w:val="000000"/>
                <w:sz w:val="24"/>
                <w:szCs w:val="24"/>
              </w:rPr>
              <w:t>产能的规划</w:t>
            </w:r>
            <w:r w:rsidRPr="00A81529">
              <w:rPr>
                <w:rFonts w:ascii="楷体" w:eastAsia="楷体" w:hAnsi="楷体" w:cs="Times New Roman" w:hint="eastAsia"/>
                <w:b/>
                <w:bCs/>
                <w:color w:val="000000"/>
                <w:sz w:val="24"/>
                <w:szCs w:val="24"/>
              </w:rPr>
              <w:t>和进展？</w:t>
            </w:r>
          </w:p>
          <w:p w14:paraId="5D11D3FC" w14:textId="20D34550" w:rsidR="00E970EF" w:rsidRPr="00A81529" w:rsidRDefault="00E970EF" w:rsidP="00E970EF">
            <w:pPr>
              <w:spacing w:line="360" w:lineRule="auto"/>
              <w:ind w:firstLineChars="200" w:firstLine="480"/>
              <w:jc w:val="both"/>
              <w:rPr>
                <w:rFonts w:ascii="楷体" w:eastAsia="楷体" w:hAnsi="楷体"/>
                <w:sz w:val="24"/>
                <w:szCs w:val="24"/>
              </w:rPr>
            </w:pPr>
            <w:r w:rsidRPr="00A81529">
              <w:rPr>
                <w:rFonts w:ascii="楷体" w:eastAsia="楷体" w:hAnsi="楷体" w:hint="eastAsia"/>
                <w:sz w:val="24"/>
                <w:szCs w:val="24"/>
              </w:rPr>
              <w:t>尊敬的投资者您好！公司在</w:t>
            </w:r>
            <w:proofErr w:type="gramStart"/>
            <w:r w:rsidRPr="00A81529">
              <w:rPr>
                <w:rFonts w:ascii="楷体" w:eastAsia="楷体" w:hAnsi="楷体" w:hint="eastAsia"/>
                <w:sz w:val="24"/>
                <w:szCs w:val="24"/>
              </w:rPr>
              <w:t>彬州</w:t>
            </w:r>
            <w:proofErr w:type="gramEnd"/>
            <w:r w:rsidRPr="00A81529">
              <w:rPr>
                <w:rFonts w:ascii="楷体" w:eastAsia="楷体" w:hAnsi="楷体" w:hint="eastAsia"/>
                <w:sz w:val="24"/>
                <w:szCs w:val="24"/>
              </w:rPr>
              <w:t>规划400多亩地，目前</w:t>
            </w:r>
            <w:r>
              <w:rPr>
                <w:rFonts w:ascii="楷体" w:eastAsia="楷体" w:hAnsi="楷体" w:hint="eastAsia"/>
                <w:sz w:val="24"/>
                <w:szCs w:val="24"/>
              </w:rPr>
              <w:t>控股子公司</w:t>
            </w:r>
            <w:proofErr w:type="gramStart"/>
            <w:r>
              <w:rPr>
                <w:rFonts w:ascii="楷体" w:eastAsia="楷体" w:hAnsi="楷体" w:hint="eastAsia"/>
                <w:sz w:val="24"/>
                <w:szCs w:val="24"/>
              </w:rPr>
              <w:t>彬州</w:t>
            </w:r>
            <w:r w:rsidRPr="00A81529">
              <w:rPr>
                <w:rFonts w:ascii="楷体" w:eastAsia="楷体" w:hAnsi="楷体" w:hint="eastAsia"/>
                <w:sz w:val="24"/>
                <w:szCs w:val="24"/>
              </w:rPr>
              <w:t>凯泰氢</w:t>
            </w:r>
            <w:proofErr w:type="gramEnd"/>
            <w:r w:rsidRPr="00A81529">
              <w:rPr>
                <w:rFonts w:ascii="楷体" w:eastAsia="楷体" w:hAnsi="楷体" w:hint="eastAsia"/>
                <w:sz w:val="24"/>
                <w:szCs w:val="24"/>
              </w:rPr>
              <w:t>化丁腈橡胶项目占</w:t>
            </w:r>
            <w:r>
              <w:rPr>
                <w:rFonts w:ascii="楷体" w:eastAsia="楷体" w:hAnsi="楷体" w:hint="eastAsia"/>
                <w:sz w:val="24"/>
                <w:szCs w:val="24"/>
              </w:rPr>
              <w:t>地</w:t>
            </w:r>
            <w:r w:rsidRPr="00A81529">
              <w:rPr>
                <w:rFonts w:ascii="楷体" w:eastAsia="楷体" w:hAnsi="楷体" w:hint="eastAsia"/>
                <w:sz w:val="24"/>
                <w:szCs w:val="24"/>
              </w:rPr>
              <w:t>20亩。其他场地主要为后续公司的产品放量、新产品、新技术的成果转化做准备。定增时公司有披露规划了3000吨PVC无汞催化剂和2500吨铜系、1500吨镍系催化剂，目前公司在结合市场情况分期进行调整和安排，有重要项目会及时披露给大家了解。</w:t>
            </w:r>
          </w:p>
          <w:p w14:paraId="0FFE59D2" w14:textId="28F2CEB9" w:rsidR="00E970EF" w:rsidRPr="00FB492A" w:rsidRDefault="00E970EF" w:rsidP="00E970EF">
            <w:pPr>
              <w:spacing w:line="360" w:lineRule="auto"/>
              <w:ind w:firstLineChars="175" w:firstLine="420"/>
              <w:jc w:val="both"/>
              <w:rPr>
                <w:rFonts w:ascii="楷体" w:eastAsia="楷体" w:hAnsi="楷体" w:cs="Times New Roman"/>
                <w:color w:val="000000"/>
                <w:sz w:val="24"/>
              </w:rPr>
            </w:pPr>
            <w:r>
              <w:rPr>
                <w:rFonts w:ascii="楷体" w:eastAsia="楷体" w:hAnsi="楷体" w:hint="eastAsia"/>
                <w:sz w:val="24"/>
                <w:szCs w:val="24"/>
              </w:rPr>
              <w:t>已经开工建设的</w:t>
            </w:r>
            <w:r w:rsidRPr="00A81529">
              <w:rPr>
                <w:rFonts w:ascii="楷体" w:eastAsia="楷体" w:hAnsi="楷体" w:hint="eastAsia"/>
                <w:sz w:val="24"/>
                <w:szCs w:val="24"/>
              </w:rPr>
              <w:t>氢化丁腈橡胶产业化项目</w:t>
            </w:r>
            <w:r>
              <w:rPr>
                <w:rFonts w:ascii="楷体" w:eastAsia="楷体" w:hAnsi="楷体" w:hint="eastAsia"/>
                <w:sz w:val="24"/>
                <w:szCs w:val="24"/>
              </w:rPr>
              <w:t>一期规划</w:t>
            </w:r>
            <w:r w:rsidRPr="00A81529">
              <w:rPr>
                <w:rFonts w:ascii="楷体" w:eastAsia="楷体" w:hAnsi="楷体" w:hint="eastAsia"/>
                <w:sz w:val="24"/>
                <w:szCs w:val="24"/>
              </w:rPr>
              <w:t>产能为1000吨/年，</w:t>
            </w:r>
            <w:r w:rsidRPr="00A81529" w:rsidDel="003D0FFE">
              <w:rPr>
                <w:rFonts w:ascii="楷体" w:eastAsia="楷体" w:hAnsi="楷体" w:hint="eastAsia"/>
                <w:sz w:val="24"/>
                <w:szCs w:val="24"/>
              </w:rPr>
              <w:t xml:space="preserve"> </w:t>
            </w:r>
            <w:r>
              <w:rPr>
                <w:rFonts w:ascii="楷体" w:eastAsia="楷体" w:hAnsi="楷体" w:hint="eastAsia"/>
                <w:sz w:val="24"/>
                <w:szCs w:val="24"/>
              </w:rPr>
              <w:t>20</w:t>
            </w:r>
            <w:r w:rsidRPr="00A81529">
              <w:rPr>
                <w:rFonts w:ascii="楷体" w:eastAsia="楷体" w:hAnsi="楷体" w:hint="eastAsia"/>
                <w:sz w:val="24"/>
                <w:szCs w:val="24"/>
              </w:rPr>
              <w:t>25年计划释放30%-40%产能</w:t>
            </w:r>
            <w:r>
              <w:rPr>
                <w:rFonts w:ascii="楷体" w:eastAsia="楷体" w:hAnsi="楷体" w:hint="eastAsia"/>
                <w:sz w:val="24"/>
                <w:szCs w:val="24"/>
              </w:rPr>
              <w:t>左右</w:t>
            </w:r>
            <w:r w:rsidRPr="00A81529">
              <w:rPr>
                <w:rFonts w:ascii="楷体" w:eastAsia="楷体" w:hAnsi="楷体" w:hint="eastAsia"/>
                <w:sz w:val="24"/>
                <w:szCs w:val="24"/>
              </w:rPr>
              <w:t>。</w:t>
            </w:r>
            <w:r>
              <w:rPr>
                <w:rFonts w:ascii="楷体" w:eastAsia="楷体" w:hAnsi="楷体" w:hint="eastAsia"/>
                <w:sz w:val="24"/>
                <w:szCs w:val="24"/>
              </w:rPr>
              <w:t>该</w:t>
            </w:r>
            <w:r w:rsidRPr="00A81529">
              <w:rPr>
                <w:rFonts w:ascii="楷体" w:eastAsia="楷体" w:hAnsi="楷体" w:hint="eastAsia"/>
                <w:sz w:val="24"/>
                <w:szCs w:val="24"/>
              </w:rPr>
              <w:t>项目主体及配套设施建设、设备安装已经完成，截止6月末进入调试，联动，收尾阶段，整个项目正稳步有序地推进中。感谢您的关注！</w:t>
            </w:r>
          </w:p>
          <w:p w14:paraId="2BC876A7" w14:textId="77777777" w:rsidR="00E970EF" w:rsidRPr="00A81529" w:rsidRDefault="00E970EF" w:rsidP="00E970EF">
            <w:pPr>
              <w:pStyle w:val="af3"/>
              <w:numPr>
                <w:ilvl w:val="0"/>
                <w:numId w:val="2"/>
              </w:numPr>
              <w:spacing w:after="160" w:line="360" w:lineRule="auto"/>
              <w:ind w:firstLine="482"/>
              <w:outlineLvl w:val="2"/>
              <w:rPr>
                <w:rFonts w:ascii="楷体" w:eastAsia="楷体" w:hAnsi="楷体" w:cs="Times New Roman"/>
                <w:b/>
                <w:bCs/>
                <w:color w:val="000000"/>
                <w:sz w:val="24"/>
                <w:szCs w:val="24"/>
              </w:rPr>
            </w:pPr>
            <w:r w:rsidRPr="00A81529">
              <w:rPr>
                <w:rFonts w:ascii="楷体" w:eastAsia="楷体" w:hAnsi="楷体" w:cs="Times New Roman"/>
                <w:b/>
                <w:bCs/>
                <w:color w:val="000000"/>
                <w:sz w:val="24"/>
                <w:szCs w:val="24"/>
              </w:rPr>
              <w:t>我们</w:t>
            </w:r>
            <w:proofErr w:type="gramStart"/>
            <w:r w:rsidRPr="00A81529">
              <w:rPr>
                <w:rFonts w:ascii="楷体" w:eastAsia="楷体" w:hAnsi="楷体" w:cs="Times New Roman"/>
                <w:b/>
                <w:bCs/>
                <w:color w:val="000000"/>
                <w:sz w:val="24"/>
                <w:szCs w:val="24"/>
              </w:rPr>
              <w:t>注销了</w:t>
            </w:r>
            <w:r w:rsidRPr="00A81529">
              <w:rPr>
                <w:rFonts w:ascii="楷体" w:eastAsia="楷体" w:hAnsi="楷体" w:cs="Times New Roman" w:hint="eastAsia"/>
                <w:b/>
                <w:bCs/>
                <w:color w:val="000000"/>
                <w:sz w:val="24"/>
                <w:szCs w:val="24"/>
              </w:rPr>
              <w:t>铂翠</w:t>
            </w:r>
            <w:proofErr w:type="gramEnd"/>
            <w:r w:rsidRPr="00A81529">
              <w:rPr>
                <w:rFonts w:ascii="楷体" w:eastAsia="楷体" w:hAnsi="楷体" w:cs="Times New Roman"/>
                <w:b/>
                <w:bCs/>
                <w:color w:val="000000"/>
                <w:sz w:val="24"/>
                <w:szCs w:val="24"/>
              </w:rPr>
              <w:t>，请问一下是什么理由？</w:t>
            </w:r>
          </w:p>
          <w:p w14:paraId="447CA256" w14:textId="32495E14" w:rsidR="00E970EF" w:rsidRPr="00A81529" w:rsidRDefault="00E970EF" w:rsidP="00E970EF">
            <w:pPr>
              <w:spacing w:line="360" w:lineRule="auto"/>
              <w:ind w:firstLineChars="200" w:firstLine="480"/>
              <w:jc w:val="both"/>
              <w:rPr>
                <w:rFonts w:ascii="楷体" w:eastAsia="楷体" w:hAnsi="楷体"/>
                <w:sz w:val="24"/>
                <w:szCs w:val="24"/>
              </w:rPr>
            </w:pPr>
            <w:r w:rsidRPr="00A81529">
              <w:rPr>
                <w:rFonts w:ascii="楷体" w:eastAsia="楷体" w:hAnsi="楷体" w:hint="eastAsia"/>
                <w:sz w:val="24"/>
                <w:szCs w:val="24"/>
              </w:rPr>
              <w:t>尊敬的投资者您好！</w:t>
            </w:r>
            <w:r w:rsidRPr="00FB492A">
              <w:rPr>
                <w:rFonts w:ascii="楷体" w:eastAsia="楷体" w:hAnsi="楷体" w:hint="eastAsia"/>
                <w:sz w:val="24"/>
              </w:rPr>
              <w:t>公司基于市场环境、宏观环境、合作方等多方面因素影响，考虑</w:t>
            </w:r>
            <w:proofErr w:type="gramStart"/>
            <w:r w:rsidRPr="00FB492A">
              <w:rPr>
                <w:rFonts w:ascii="楷体" w:eastAsia="楷体" w:hAnsi="楷体" w:hint="eastAsia"/>
                <w:sz w:val="24"/>
              </w:rPr>
              <w:t>凯立铂翠未来</w:t>
            </w:r>
            <w:proofErr w:type="gramEnd"/>
            <w:r w:rsidRPr="00FB492A">
              <w:rPr>
                <w:rFonts w:ascii="楷体" w:eastAsia="楷体" w:hAnsi="楷体" w:hint="eastAsia"/>
                <w:sz w:val="24"/>
              </w:rPr>
              <w:t>经营状况不确定性上升。鉴于</w:t>
            </w:r>
            <w:proofErr w:type="gramStart"/>
            <w:r w:rsidRPr="00FB492A">
              <w:rPr>
                <w:rFonts w:ascii="楷体" w:eastAsia="楷体" w:hAnsi="楷体" w:hint="eastAsia"/>
                <w:sz w:val="24"/>
              </w:rPr>
              <w:t>凯立铂翠未</w:t>
            </w:r>
            <w:proofErr w:type="gramEnd"/>
            <w:r w:rsidRPr="00FB492A">
              <w:rPr>
                <w:rFonts w:ascii="楷体" w:eastAsia="楷体" w:hAnsi="楷体" w:hint="eastAsia"/>
                <w:sz w:val="24"/>
              </w:rPr>
              <w:t>实际开展经营活动，股东均未实缴出资。为进一步优化资源，提高资产运营效率，降低管理成本，经与各股东友好协商，拟注销</w:t>
            </w:r>
            <w:proofErr w:type="gramStart"/>
            <w:r w:rsidRPr="00FB492A">
              <w:rPr>
                <w:rFonts w:ascii="楷体" w:eastAsia="楷体" w:hAnsi="楷体" w:hint="eastAsia"/>
                <w:sz w:val="24"/>
              </w:rPr>
              <w:t>凯立铂</w:t>
            </w:r>
            <w:proofErr w:type="gramEnd"/>
            <w:r w:rsidRPr="00FB492A">
              <w:rPr>
                <w:rFonts w:ascii="楷体" w:eastAsia="楷体" w:hAnsi="楷体" w:hint="eastAsia"/>
                <w:sz w:val="24"/>
              </w:rPr>
              <w:t>翠。</w:t>
            </w:r>
            <w:r w:rsidRPr="00FB492A">
              <w:rPr>
                <w:rFonts w:ascii="楷体" w:eastAsia="楷体" w:hAnsi="楷体"/>
                <w:sz w:val="24"/>
              </w:rPr>
              <w:t>铜川</w:t>
            </w:r>
            <w:proofErr w:type="gramStart"/>
            <w:r w:rsidRPr="00FB492A">
              <w:rPr>
                <w:rFonts w:ascii="楷体" w:eastAsia="楷体" w:hAnsi="楷体"/>
                <w:sz w:val="24"/>
              </w:rPr>
              <w:t>凯</w:t>
            </w:r>
            <w:proofErr w:type="gramEnd"/>
            <w:r w:rsidRPr="00FB492A">
              <w:rPr>
                <w:rFonts w:ascii="楷体" w:eastAsia="楷体" w:hAnsi="楷体"/>
                <w:sz w:val="24"/>
              </w:rPr>
              <w:t>立目前已规划建成2000吨</w:t>
            </w:r>
            <w:proofErr w:type="gramStart"/>
            <w:r w:rsidRPr="00FB492A">
              <w:rPr>
                <w:rFonts w:ascii="楷体" w:eastAsia="楷体" w:hAnsi="楷体"/>
                <w:sz w:val="24"/>
              </w:rPr>
              <w:t>吨</w:t>
            </w:r>
            <w:proofErr w:type="gramEnd"/>
            <w:r w:rsidRPr="00FB492A">
              <w:rPr>
                <w:rFonts w:ascii="楷体" w:eastAsia="楷体" w:hAnsi="楷体"/>
                <w:sz w:val="24"/>
              </w:rPr>
              <w:t>废旧贵金属催化剂回收产能，</w:t>
            </w:r>
            <w:r>
              <w:rPr>
                <w:rFonts w:ascii="楷体" w:eastAsia="楷体" w:hAnsi="楷体" w:hint="eastAsia"/>
                <w:sz w:val="24"/>
              </w:rPr>
              <w:t>近期</w:t>
            </w:r>
            <w:r w:rsidRPr="00FB492A">
              <w:rPr>
                <w:rFonts w:ascii="楷体" w:eastAsia="楷体" w:hAnsi="楷体"/>
                <w:sz w:val="24"/>
              </w:rPr>
              <w:t>可以满足公司</w:t>
            </w:r>
            <w:r>
              <w:rPr>
                <w:rFonts w:ascii="楷体" w:eastAsia="楷体" w:hAnsi="楷体" w:hint="eastAsia"/>
                <w:sz w:val="24"/>
              </w:rPr>
              <w:t>对上游贵金属回收能力的配套</w:t>
            </w:r>
            <w:r w:rsidRPr="00FB492A">
              <w:rPr>
                <w:rFonts w:ascii="楷体" w:eastAsia="楷体" w:hAnsi="楷体"/>
                <w:sz w:val="24"/>
              </w:rPr>
              <w:t>需求。</w:t>
            </w:r>
            <w:r w:rsidRPr="00A81529">
              <w:rPr>
                <w:rFonts w:ascii="楷体" w:eastAsia="楷体" w:hAnsi="楷体" w:hint="eastAsia"/>
                <w:sz w:val="24"/>
                <w:szCs w:val="24"/>
              </w:rPr>
              <w:t>感谢您的关注！</w:t>
            </w:r>
          </w:p>
          <w:p w14:paraId="7C6C8386" w14:textId="77777777" w:rsidR="00E970EF" w:rsidRPr="00A81529" w:rsidRDefault="00E970EF" w:rsidP="00E970EF">
            <w:pPr>
              <w:pStyle w:val="af3"/>
              <w:numPr>
                <w:ilvl w:val="0"/>
                <w:numId w:val="2"/>
              </w:numPr>
              <w:spacing w:after="160" w:line="360" w:lineRule="auto"/>
              <w:ind w:firstLine="482"/>
              <w:outlineLvl w:val="2"/>
              <w:rPr>
                <w:rFonts w:ascii="楷体" w:eastAsia="楷体" w:hAnsi="楷体"/>
                <w:b/>
                <w:bCs/>
                <w:sz w:val="24"/>
                <w:szCs w:val="24"/>
              </w:rPr>
            </w:pPr>
            <w:r w:rsidRPr="00A81529">
              <w:rPr>
                <w:rFonts w:ascii="楷体" w:eastAsia="楷体" w:hAnsi="楷体" w:cs="Times New Roman"/>
                <w:b/>
                <w:bCs/>
                <w:color w:val="000000"/>
                <w:sz w:val="24"/>
                <w:szCs w:val="24"/>
              </w:rPr>
              <w:lastRenderedPageBreak/>
              <w:t>技术服务这几年收入占比不高，能不能</w:t>
            </w:r>
            <w:proofErr w:type="gramStart"/>
            <w:r w:rsidRPr="00A81529">
              <w:rPr>
                <w:rFonts w:ascii="楷体" w:eastAsia="楷体" w:hAnsi="楷体" w:cs="Times New Roman"/>
                <w:b/>
                <w:bCs/>
                <w:color w:val="000000"/>
                <w:sz w:val="24"/>
                <w:szCs w:val="24"/>
              </w:rPr>
              <w:t>解解释</w:t>
            </w:r>
            <w:proofErr w:type="gramEnd"/>
            <w:r w:rsidRPr="00A81529">
              <w:rPr>
                <w:rFonts w:ascii="楷体" w:eastAsia="楷体" w:hAnsi="楷体" w:cs="Times New Roman"/>
                <w:b/>
                <w:bCs/>
                <w:color w:val="000000"/>
                <w:sz w:val="24"/>
                <w:szCs w:val="24"/>
              </w:rPr>
              <w:t>一下原因，以及对未来技术服务的展望？</w:t>
            </w:r>
          </w:p>
          <w:p w14:paraId="69FE940D" w14:textId="72BA1873" w:rsidR="00E970EF" w:rsidRDefault="00E970EF" w:rsidP="00E970EF">
            <w:pPr>
              <w:spacing w:line="360" w:lineRule="auto"/>
              <w:ind w:firstLineChars="200" w:firstLine="480"/>
              <w:jc w:val="both"/>
              <w:rPr>
                <w:rFonts w:ascii="楷体" w:eastAsia="楷体" w:hAnsi="楷体"/>
                <w:sz w:val="24"/>
              </w:rPr>
            </w:pPr>
            <w:r w:rsidRPr="00A81529">
              <w:rPr>
                <w:rFonts w:ascii="楷体" w:eastAsia="楷体" w:hAnsi="楷体" w:hint="eastAsia"/>
                <w:sz w:val="24"/>
                <w:szCs w:val="24"/>
              </w:rPr>
              <w:t>尊敬的投资者您好！2025年上半年，技术服务收入新签订单808.31万元，</w:t>
            </w:r>
            <w:r w:rsidRPr="00A81529">
              <w:rPr>
                <w:rFonts w:ascii="楷体" w:eastAsia="楷体" w:hAnsi="楷体" w:cs="Times New Roman" w:hint="eastAsia"/>
                <w:color w:val="000000"/>
                <w:sz w:val="24"/>
                <w:szCs w:val="24"/>
              </w:rPr>
              <w:t>技术服务收入</w:t>
            </w:r>
            <w:r>
              <w:rPr>
                <w:rFonts w:ascii="楷体" w:eastAsia="楷体" w:hAnsi="楷体" w:cs="Times New Roman" w:hint="eastAsia"/>
                <w:color w:val="000000"/>
                <w:sz w:val="24"/>
                <w:szCs w:val="24"/>
              </w:rPr>
              <w:t>一般</w:t>
            </w:r>
            <w:r w:rsidRPr="00A81529">
              <w:rPr>
                <w:rFonts w:ascii="楷体" w:eastAsia="楷体" w:hAnsi="楷体" w:cs="Times New Roman" w:hint="eastAsia"/>
                <w:color w:val="000000"/>
                <w:sz w:val="24"/>
                <w:szCs w:val="24"/>
              </w:rPr>
              <w:t>确认</w:t>
            </w:r>
            <w:r w:rsidRPr="00A81529">
              <w:rPr>
                <w:rFonts w:ascii="楷体" w:eastAsia="楷体" w:hAnsi="楷体" w:cs="Times New Roman"/>
                <w:color w:val="000000"/>
                <w:sz w:val="24"/>
                <w:szCs w:val="24"/>
              </w:rPr>
              <w:t>周期较长</w:t>
            </w:r>
            <w:r w:rsidRPr="00A81529">
              <w:rPr>
                <w:rFonts w:ascii="楷体" w:eastAsia="楷体" w:hAnsi="楷体" w:cs="Times New Roman" w:hint="eastAsia"/>
                <w:color w:val="000000"/>
                <w:sz w:val="24"/>
                <w:szCs w:val="24"/>
              </w:rPr>
              <w:t>。</w:t>
            </w:r>
            <w:r>
              <w:rPr>
                <w:rFonts w:ascii="楷体" w:eastAsia="楷体" w:hAnsi="楷体" w:cs="Times New Roman" w:hint="eastAsia"/>
                <w:color w:val="000000"/>
                <w:sz w:val="24"/>
                <w:szCs w:val="24"/>
              </w:rPr>
              <w:t>公司一直注重催化剂产品制备和催化应用技术协同发展，推动对产业的技术服务水平是公司的重点发展方向之一，</w:t>
            </w:r>
            <w:r w:rsidRPr="00A81529">
              <w:rPr>
                <w:rFonts w:ascii="楷体" w:eastAsia="楷体" w:hAnsi="楷体" w:hint="eastAsia"/>
                <w:sz w:val="24"/>
                <w:szCs w:val="24"/>
              </w:rPr>
              <w:t>感谢您的关注！</w:t>
            </w:r>
          </w:p>
          <w:p w14:paraId="6682B7F9" w14:textId="77777777" w:rsidR="00E970EF" w:rsidRPr="00A81529" w:rsidRDefault="00E970EF" w:rsidP="00E970EF">
            <w:pPr>
              <w:pStyle w:val="af3"/>
              <w:numPr>
                <w:ilvl w:val="0"/>
                <w:numId w:val="2"/>
              </w:numPr>
              <w:spacing w:after="160" w:line="360" w:lineRule="auto"/>
              <w:ind w:firstLine="482"/>
              <w:outlineLvl w:val="2"/>
              <w:rPr>
                <w:rFonts w:ascii="楷体" w:eastAsia="楷体" w:hAnsi="楷体" w:cs="Times New Roman"/>
                <w:b/>
                <w:bCs/>
                <w:color w:val="000000"/>
                <w:sz w:val="24"/>
                <w:szCs w:val="24"/>
              </w:rPr>
            </w:pPr>
            <w:r w:rsidRPr="00A81529">
              <w:rPr>
                <w:rFonts w:ascii="楷体" w:eastAsia="楷体" w:hAnsi="楷体" w:cs="Times New Roman"/>
                <w:b/>
                <w:bCs/>
                <w:color w:val="000000"/>
                <w:sz w:val="24"/>
                <w:szCs w:val="24"/>
              </w:rPr>
              <w:t>上半年公允价值变动损失有接近400万，主要原因是什么？</w:t>
            </w:r>
          </w:p>
          <w:p w14:paraId="3FD8B1F6" w14:textId="518298D4" w:rsidR="00E970EF" w:rsidRPr="00A81529" w:rsidRDefault="00E970EF" w:rsidP="00E970EF">
            <w:pPr>
              <w:spacing w:line="360" w:lineRule="auto"/>
              <w:ind w:firstLineChars="200" w:firstLine="480"/>
              <w:jc w:val="both"/>
              <w:rPr>
                <w:rFonts w:ascii="楷体" w:eastAsia="楷体" w:hAnsi="楷体"/>
                <w:sz w:val="24"/>
                <w:szCs w:val="24"/>
              </w:rPr>
            </w:pPr>
            <w:r w:rsidRPr="00A81529">
              <w:rPr>
                <w:rFonts w:ascii="楷体" w:eastAsia="楷体" w:hAnsi="楷体" w:hint="eastAsia"/>
                <w:sz w:val="24"/>
                <w:szCs w:val="24"/>
              </w:rPr>
              <w:t>尊敬的</w:t>
            </w:r>
            <w:r w:rsidRPr="00A81529">
              <w:rPr>
                <w:rFonts w:ascii="楷体" w:eastAsia="楷体" w:hAnsi="楷体" w:cs="Times New Roman" w:hint="eastAsia"/>
                <w:color w:val="000000"/>
                <w:sz w:val="24"/>
                <w:szCs w:val="24"/>
              </w:rPr>
              <w:t>投资者</w:t>
            </w:r>
            <w:r w:rsidRPr="00A81529">
              <w:rPr>
                <w:rFonts w:ascii="楷体" w:eastAsia="楷体" w:hAnsi="楷体" w:hint="eastAsia"/>
                <w:sz w:val="24"/>
                <w:szCs w:val="24"/>
              </w:rPr>
              <w:t>您好！</w:t>
            </w:r>
            <w:r w:rsidRPr="00D27B96">
              <w:rPr>
                <w:rFonts w:ascii="楷体" w:eastAsia="楷体" w:hAnsi="楷体" w:cs="Times New Roman"/>
                <w:color w:val="000000"/>
                <w:sz w:val="24"/>
                <w:szCs w:val="24"/>
              </w:rPr>
              <w:t>公允价值变动损失</w:t>
            </w:r>
            <w:r w:rsidRPr="00A81529">
              <w:rPr>
                <w:rFonts w:ascii="楷体" w:eastAsia="楷体" w:hAnsi="楷体" w:hint="eastAsia"/>
                <w:sz w:val="24"/>
                <w:szCs w:val="24"/>
              </w:rPr>
              <w:t>主要是</w:t>
            </w:r>
            <w:r>
              <w:rPr>
                <w:rFonts w:ascii="楷体" w:eastAsia="楷体" w:hAnsi="楷体" w:hint="eastAsia"/>
                <w:sz w:val="24"/>
                <w:szCs w:val="24"/>
              </w:rPr>
              <w:t>因开展</w:t>
            </w:r>
            <w:r w:rsidRPr="00A81529">
              <w:rPr>
                <w:rFonts w:ascii="楷体" w:eastAsia="楷体" w:hAnsi="楷体" w:cs="Times New Roman"/>
                <w:color w:val="000000"/>
                <w:sz w:val="24"/>
                <w:szCs w:val="24"/>
              </w:rPr>
              <w:t>黄金租赁</w:t>
            </w:r>
            <w:r w:rsidRPr="00A81529">
              <w:rPr>
                <w:rFonts w:ascii="楷体" w:eastAsia="楷体" w:hAnsi="楷体" w:cs="Times New Roman" w:hint="eastAsia"/>
                <w:color w:val="000000"/>
                <w:sz w:val="24"/>
                <w:szCs w:val="24"/>
              </w:rPr>
              <w:t>业务</w:t>
            </w:r>
            <w:r>
              <w:rPr>
                <w:rFonts w:ascii="楷体" w:eastAsia="楷体" w:hAnsi="楷体" w:cs="Times New Roman" w:hint="eastAsia"/>
                <w:color w:val="000000"/>
                <w:sz w:val="24"/>
                <w:szCs w:val="24"/>
              </w:rPr>
              <w:t>产生</w:t>
            </w:r>
            <w:r w:rsidRPr="00A81529">
              <w:rPr>
                <w:rFonts w:ascii="楷体" w:eastAsia="楷体" w:hAnsi="楷体" w:cs="Times New Roman"/>
                <w:color w:val="000000"/>
                <w:sz w:val="24"/>
                <w:szCs w:val="24"/>
              </w:rPr>
              <w:t>。</w:t>
            </w:r>
            <w:r w:rsidRPr="00A81529">
              <w:rPr>
                <w:rFonts w:ascii="楷体" w:eastAsia="楷体" w:hAnsi="楷体" w:cs="Times New Roman" w:hint="eastAsia"/>
                <w:color w:val="000000"/>
                <w:sz w:val="24"/>
                <w:szCs w:val="24"/>
              </w:rPr>
              <w:t>公司租赁黄金是为了</w:t>
            </w:r>
            <w:r w:rsidRPr="00FB492A">
              <w:rPr>
                <w:rFonts w:ascii="楷体" w:eastAsia="楷体" w:hAnsi="楷体" w:cstheme="minorBidi" w:hint="eastAsia"/>
                <w:sz w:val="24"/>
                <w:szCs w:val="24"/>
              </w:rPr>
              <w:t>执行</w:t>
            </w:r>
            <w:r w:rsidRPr="00A81529">
              <w:rPr>
                <w:rFonts w:ascii="楷体" w:eastAsia="楷体" w:hAnsi="楷体" w:cs="Times New Roman" w:hint="eastAsia"/>
                <w:color w:val="000000"/>
                <w:sz w:val="24"/>
                <w:szCs w:val="24"/>
              </w:rPr>
              <w:t>与客户签订的加工业务，客户直接给公司归还黄金，公司与银行签署的也是实物交割的黄金租赁合同，因此在客户归还黄金后，账面损益就</w:t>
            </w:r>
            <w:r>
              <w:rPr>
                <w:rFonts w:ascii="楷体" w:eastAsia="楷体" w:hAnsi="楷体" w:cs="Times New Roman" w:hint="eastAsia"/>
                <w:color w:val="000000"/>
                <w:sz w:val="24"/>
                <w:szCs w:val="24"/>
              </w:rPr>
              <w:t>可以</w:t>
            </w:r>
            <w:r w:rsidRPr="00A81529">
              <w:rPr>
                <w:rFonts w:ascii="楷体" w:eastAsia="楷体" w:hAnsi="楷体" w:cs="Times New Roman" w:hint="eastAsia"/>
                <w:color w:val="000000"/>
                <w:sz w:val="24"/>
                <w:szCs w:val="24"/>
              </w:rPr>
              <w:t>冲抵。</w:t>
            </w:r>
            <w:r w:rsidRPr="00A81529">
              <w:rPr>
                <w:rFonts w:ascii="楷体" w:eastAsia="楷体" w:hAnsi="楷体" w:hint="eastAsia"/>
                <w:sz w:val="24"/>
                <w:szCs w:val="24"/>
              </w:rPr>
              <w:t>感谢您的关注！</w:t>
            </w:r>
          </w:p>
          <w:p w14:paraId="772FF06C" w14:textId="77777777" w:rsidR="00E970EF" w:rsidRPr="00A81529" w:rsidRDefault="00E970EF" w:rsidP="00E970EF">
            <w:pPr>
              <w:pStyle w:val="af3"/>
              <w:numPr>
                <w:ilvl w:val="0"/>
                <w:numId w:val="2"/>
              </w:numPr>
              <w:spacing w:after="160" w:line="360" w:lineRule="auto"/>
              <w:ind w:firstLine="482"/>
              <w:outlineLvl w:val="2"/>
              <w:rPr>
                <w:rFonts w:ascii="楷体" w:eastAsia="楷体" w:hAnsi="楷体" w:cs="Times New Roman"/>
                <w:b/>
                <w:bCs/>
                <w:color w:val="000000"/>
                <w:sz w:val="24"/>
                <w:szCs w:val="24"/>
              </w:rPr>
            </w:pPr>
            <w:r w:rsidRPr="00A81529">
              <w:rPr>
                <w:rFonts w:ascii="楷体" w:eastAsia="楷体" w:hAnsi="楷体" w:cs="Times New Roman"/>
                <w:b/>
                <w:bCs/>
                <w:color w:val="000000"/>
                <w:sz w:val="24"/>
                <w:szCs w:val="24"/>
              </w:rPr>
              <w:t>中报的周转材料增长比较多，能不能解释一下原因？</w:t>
            </w:r>
            <w:r w:rsidRPr="00A81529">
              <w:rPr>
                <w:rFonts w:ascii="楷体" w:eastAsia="楷体" w:hAnsi="楷体" w:cs="Times New Roman" w:hint="eastAsia"/>
                <w:b/>
                <w:bCs/>
                <w:color w:val="000000"/>
                <w:sz w:val="24"/>
                <w:szCs w:val="24"/>
              </w:rPr>
              <w:t xml:space="preserve"> </w:t>
            </w:r>
          </w:p>
          <w:p w14:paraId="05275912" w14:textId="77777777" w:rsidR="00E970EF" w:rsidRPr="00A81529" w:rsidRDefault="00E970EF" w:rsidP="00E970EF">
            <w:pPr>
              <w:spacing w:line="360" w:lineRule="auto"/>
              <w:ind w:firstLineChars="200" w:firstLine="480"/>
              <w:jc w:val="both"/>
              <w:rPr>
                <w:rFonts w:ascii="楷体" w:eastAsia="楷体" w:hAnsi="楷体"/>
                <w:sz w:val="24"/>
                <w:szCs w:val="24"/>
              </w:rPr>
            </w:pPr>
            <w:r w:rsidRPr="00A81529">
              <w:rPr>
                <w:rFonts w:ascii="楷体" w:eastAsia="楷体" w:hAnsi="楷体" w:hint="eastAsia"/>
                <w:sz w:val="24"/>
                <w:szCs w:val="24"/>
              </w:rPr>
              <w:t>尊敬的投资者您好！</w:t>
            </w:r>
            <w:r w:rsidRPr="00A81529">
              <w:rPr>
                <w:rFonts w:ascii="楷体" w:eastAsia="楷体" w:hAnsi="楷体" w:cs="Times New Roman" w:hint="eastAsia"/>
                <w:color w:val="000000"/>
                <w:sz w:val="24"/>
                <w:szCs w:val="24"/>
              </w:rPr>
              <w:t>半年报</w:t>
            </w:r>
            <w:r w:rsidRPr="00A81529">
              <w:rPr>
                <w:rFonts w:ascii="楷体" w:eastAsia="楷体" w:hAnsi="楷体" w:hint="eastAsia"/>
                <w:sz w:val="24"/>
                <w:szCs w:val="24"/>
              </w:rPr>
              <w:t>时点</w:t>
            </w:r>
            <w:r w:rsidRPr="00A81529">
              <w:rPr>
                <w:rFonts w:ascii="楷体" w:eastAsia="楷体" w:hAnsi="楷体" w:cs="Times New Roman" w:hint="eastAsia"/>
                <w:color w:val="000000"/>
                <w:sz w:val="24"/>
                <w:szCs w:val="24"/>
              </w:rPr>
              <w:t>上周转材料有明显增长，这个和二季度执行的加工订单占比高有直接关系，从全年看垫料还是主要是集中在精细化工领域，尤其是医药领域的老客户，以前形成的业务模式还在继续，新客户和新产品，</w:t>
            </w:r>
            <w:r w:rsidRPr="00C94481">
              <w:rPr>
                <w:rFonts w:ascii="楷体" w:eastAsia="楷体" w:hAnsi="楷体" w:cs="Times New Roman" w:hint="eastAsia"/>
                <w:sz w:val="24"/>
                <w:szCs w:val="24"/>
              </w:rPr>
              <w:t>特别是基础化工领域，不会随着业务量的增长产生更多的垫料加工业务。</w:t>
            </w:r>
            <w:r w:rsidRPr="00A81529">
              <w:rPr>
                <w:rFonts w:ascii="楷体" w:eastAsia="楷体" w:hAnsi="楷体" w:hint="eastAsia"/>
                <w:sz w:val="24"/>
                <w:szCs w:val="24"/>
              </w:rPr>
              <w:t>感谢您的关注！</w:t>
            </w:r>
          </w:p>
          <w:p w14:paraId="32F51279" w14:textId="01C08BB0" w:rsidR="00E970EF" w:rsidRPr="000D6826" w:rsidRDefault="00E970EF" w:rsidP="00E970EF">
            <w:pPr>
              <w:spacing w:line="360" w:lineRule="auto"/>
              <w:ind w:firstLineChars="200" w:firstLine="480"/>
              <w:contextualSpacing/>
              <w:mirrorIndents/>
              <w:jc w:val="both"/>
              <w:rPr>
                <w:rFonts w:ascii="楷体" w:eastAsia="楷体" w:hAnsi="楷体" w:cs="Times New Roman"/>
                <w:color w:val="000000"/>
                <w:sz w:val="24"/>
                <w:szCs w:val="24"/>
              </w:rPr>
            </w:pPr>
          </w:p>
        </w:tc>
      </w:tr>
      <w:tr w:rsidR="00E970EF" w:rsidRPr="00B666AD" w14:paraId="34158B21" w14:textId="77777777" w:rsidTr="00C92825">
        <w:trPr>
          <w:trHeight w:val="558"/>
          <w:jc w:val="center"/>
        </w:trPr>
        <w:tc>
          <w:tcPr>
            <w:tcW w:w="1555" w:type="dxa"/>
            <w:vAlign w:val="center"/>
          </w:tcPr>
          <w:p w14:paraId="6919A62E" w14:textId="77777777" w:rsidR="00E970EF" w:rsidRPr="00B666AD" w:rsidRDefault="00E970EF" w:rsidP="00E970EF">
            <w:pPr>
              <w:pStyle w:val="TableParagraph"/>
              <w:spacing w:before="1" w:line="360" w:lineRule="auto"/>
              <w:ind w:firstLineChars="100" w:firstLine="210"/>
              <w:rPr>
                <w:rFonts w:ascii="楷体" w:eastAsia="楷体" w:hAnsi="楷体" w:cs="宋体"/>
                <w:sz w:val="21"/>
                <w:szCs w:val="21"/>
              </w:rPr>
            </w:pPr>
            <w:r w:rsidRPr="00B666AD">
              <w:rPr>
                <w:rFonts w:ascii="楷体" w:eastAsia="楷体" w:hAnsi="楷体" w:cs="宋体" w:hint="eastAsia"/>
                <w:sz w:val="21"/>
                <w:szCs w:val="21"/>
              </w:rPr>
              <w:lastRenderedPageBreak/>
              <w:t>日期</w:t>
            </w:r>
          </w:p>
        </w:tc>
        <w:tc>
          <w:tcPr>
            <w:tcW w:w="9072" w:type="dxa"/>
            <w:gridSpan w:val="4"/>
            <w:vAlign w:val="center"/>
          </w:tcPr>
          <w:p w14:paraId="180933D1" w14:textId="12300BFD" w:rsidR="00E970EF" w:rsidRPr="00B666AD" w:rsidRDefault="00E970EF" w:rsidP="00E970EF">
            <w:pPr>
              <w:pStyle w:val="TableParagraph"/>
              <w:spacing w:line="360" w:lineRule="auto"/>
              <w:rPr>
                <w:rFonts w:ascii="楷体" w:eastAsia="楷体" w:hAnsi="楷体" w:cs="宋体"/>
                <w:b/>
                <w:sz w:val="21"/>
                <w:szCs w:val="21"/>
              </w:rPr>
            </w:pPr>
            <w:r w:rsidRPr="00B666AD">
              <w:rPr>
                <w:rFonts w:ascii="楷体" w:eastAsia="楷体" w:hAnsi="楷体" w:cs="宋体" w:hint="eastAsia"/>
                <w:b/>
                <w:sz w:val="21"/>
                <w:szCs w:val="21"/>
              </w:rPr>
              <w:t>2</w:t>
            </w:r>
            <w:r w:rsidRPr="00B666AD">
              <w:rPr>
                <w:rFonts w:ascii="楷体" w:eastAsia="楷体" w:hAnsi="楷体" w:cs="宋体"/>
                <w:b/>
                <w:sz w:val="21"/>
                <w:szCs w:val="21"/>
              </w:rPr>
              <w:t>02</w:t>
            </w:r>
            <w:r>
              <w:rPr>
                <w:rFonts w:ascii="楷体" w:eastAsia="楷体" w:hAnsi="楷体" w:cs="宋体"/>
                <w:b/>
                <w:sz w:val="21"/>
                <w:szCs w:val="21"/>
              </w:rPr>
              <w:t>5</w:t>
            </w:r>
            <w:r w:rsidRPr="00B666AD">
              <w:rPr>
                <w:rFonts w:ascii="楷体" w:eastAsia="楷体" w:hAnsi="楷体" w:cs="宋体" w:hint="eastAsia"/>
                <w:b/>
                <w:sz w:val="21"/>
                <w:szCs w:val="21"/>
              </w:rPr>
              <w:t>年</w:t>
            </w:r>
            <w:r>
              <w:rPr>
                <w:rFonts w:ascii="楷体" w:eastAsia="楷体" w:hAnsi="楷体" w:cs="宋体"/>
                <w:b/>
                <w:sz w:val="21"/>
                <w:szCs w:val="21"/>
              </w:rPr>
              <w:t>08</w:t>
            </w:r>
            <w:r w:rsidRPr="00B666AD">
              <w:rPr>
                <w:rFonts w:ascii="楷体" w:eastAsia="楷体" w:hAnsi="楷体" w:cs="宋体" w:hint="eastAsia"/>
                <w:b/>
                <w:sz w:val="21"/>
                <w:szCs w:val="21"/>
              </w:rPr>
              <w:t>月</w:t>
            </w:r>
            <w:r>
              <w:rPr>
                <w:rFonts w:ascii="楷体" w:eastAsia="楷体" w:hAnsi="楷体" w:cs="宋体"/>
                <w:b/>
                <w:sz w:val="21"/>
                <w:szCs w:val="21"/>
                <w:lang w:val="en-US"/>
              </w:rPr>
              <w:t>18</w:t>
            </w:r>
            <w:r w:rsidRPr="00B666AD">
              <w:rPr>
                <w:rFonts w:ascii="楷体" w:eastAsia="楷体" w:hAnsi="楷体" w:cs="宋体" w:hint="eastAsia"/>
                <w:b/>
                <w:sz w:val="21"/>
                <w:szCs w:val="21"/>
              </w:rPr>
              <w:t>日</w:t>
            </w:r>
          </w:p>
        </w:tc>
      </w:tr>
    </w:tbl>
    <w:p w14:paraId="39873F4A" w14:textId="77777777" w:rsidR="00D4636F" w:rsidRPr="00B666AD" w:rsidRDefault="00D4636F">
      <w:pPr>
        <w:spacing w:line="360" w:lineRule="auto"/>
        <w:rPr>
          <w:rFonts w:ascii="楷体" w:eastAsia="楷体" w:hAnsi="楷体"/>
          <w:sz w:val="21"/>
          <w:szCs w:val="21"/>
        </w:rPr>
      </w:pPr>
    </w:p>
    <w:sectPr w:rsidR="00D4636F" w:rsidRPr="00B666A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6FA6E" w14:textId="77777777" w:rsidR="005B7850" w:rsidRDefault="005B7850" w:rsidP="006B61AA">
      <w:r>
        <w:separator/>
      </w:r>
    </w:p>
  </w:endnote>
  <w:endnote w:type="continuationSeparator" w:id="0">
    <w:p w14:paraId="01D50B22" w14:textId="77777777" w:rsidR="005B7850" w:rsidRDefault="005B7850" w:rsidP="006B6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楷体">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30020" w14:textId="77777777" w:rsidR="005B7850" w:rsidRDefault="005B7850" w:rsidP="006B61AA">
      <w:r>
        <w:separator/>
      </w:r>
    </w:p>
  </w:footnote>
  <w:footnote w:type="continuationSeparator" w:id="0">
    <w:p w14:paraId="761DE7CA" w14:textId="77777777" w:rsidR="005B7850" w:rsidRDefault="005B7850" w:rsidP="006B61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F36CA"/>
    <w:multiLevelType w:val="hybridMultilevel"/>
    <w:tmpl w:val="62B08B06"/>
    <w:lvl w:ilvl="0" w:tplc="8EEA507A">
      <w:start w:val="1"/>
      <w:numFmt w:val="decimal"/>
      <w:lvlText w:val="%1."/>
      <w:lvlJc w:val="left"/>
      <w:pPr>
        <w:ind w:left="360" w:hanging="360"/>
      </w:pPr>
      <w:rPr>
        <w:rFonts w:ascii="楷体" w:eastAsia="楷体" w:hAnsi="楷体" w:cs="Times New Roman" w:hint="default"/>
        <w:color w:val="000000"/>
        <w:sz w:val="24"/>
        <w:szCs w:val="28"/>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46BA0F7A"/>
    <w:multiLevelType w:val="hybridMultilevel"/>
    <w:tmpl w:val="F2262474"/>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36F"/>
    <w:rsid w:val="00011670"/>
    <w:rsid w:val="00055688"/>
    <w:rsid w:val="00061B78"/>
    <w:rsid w:val="00061BB0"/>
    <w:rsid w:val="00093AC2"/>
    <w:rsid w:val="000966D1"/>
    <w:rsid w:val="000A1631"/>
    <w:rsid w:val="000C2FA9"/>
    <w:rsid w:val="000D6826"/>
    <w:rsid w:val="000E72FB"/>
    <w:rsid w:val="00122CC4"/>
    <w:rsid w:val="00143CEC"/>
    <w:rsid w:val="00160C83"/>
    <w:rsid w:val="00167490"/>
    <w:rsid w:val="00171ADE"/>
    <w:rsid w:val="001835A4"/>
    <w:rsid w:val="001A3364"/>
    <w:rsid w:val="001A3FF5"/>
    <w:rsid w:val="001A721D"/>
    <w:rsid w:val="001B0381"/>
    <w:rsid w:val="001C7553"/>
    <w:rsid w:val="001F5F33"/>
    <w:rsid w:val="00251C10"/>
    <w:rsid w:val="002C10DD"/>
    <w:rsid w:val="002D3CE5"/>
    <w:rsid w:val="002D472E"/>
    <w:rsid w:val="002E6221"/>
    <w:rsid w:val="00326583"/>
    <w:rsid w:val="00326730"/>
    <w:rsid w:val="00333C1D"/>
    <w:rsid w:val="00336E1D"/>
    <w:rsid w:val="003564D2"/>
    <w:rsid w:val="00367934"/>
    <w:rsid w:val="00395614"/>
    <w:rsid w:val="003A6ABF"/>
    <w:rsid w:val="003C1F4A"/>
    <w:rsid w:val="003D0FFE"/>
    <w:rsid w:val="003D64B7"/>
    <w:rsid w:val="00401DB9"/>
    <w:rsid w:val="004044E3"/>
    <w:rsid w:val="0040590F"/>
    <w:rsid w:val="004331D2"/>
    <w:rsid w:val="00442937"/>
    <w:rsid w:val="004539EA"/>
    <w:rsid w:val="0045715B"/>
    <w:rsid w:val="00474914"/>
    <w:rsid w:val="00475891"/>
    <w:rsid w:val="00477563"/>
    <w:rsid w:val="004C7D68"/>
    <w:rsid w:val="004D0D94"/>
    <w:rsid w:val="004D23D0"/>
    <w:rsid w:val="004D2A4D"/>
    <w:rsid w:val="004E07B3"/>
    <w:rsid w:val="004E0AA9"/>
    <w:rsid w:val="004E3FFD"/>
    <w:rsid w:val="004E45B9"/>
    <w:rsid w:val="00510CBF"/>
    <w:rsid w:val="00527F6F"/>
    <w:rsid w:val="00533628"/>
    <w:rsid w:val="005368B0"/>
    <w:rsid w:val="00551814"/>
    <w:rsid w:val="0055250E"/>
    <w:rsid w:val="00585BDB"/>
    <w:rsid w:val="00596F15"/>
    <w:rsid w:val="005A05AA"/>
    <w:rsid w:val="005B0336"/>
    <w:rsid w:val="005B5296"/>
    <w:rsid w:val="005B7850"/>
    <w:rsid w:val="005E739B"/>
    <w:rsid w:val="005F3E44"/>
    <w:rsid w:val="00606047"/>
    <w:rsid w:val="00611CEE"/>
    <w:rsid w:val="00627138"/>
    <w:rsid w:val="00631B5A"/>
    <w:rsid w:val="006369D2"/>
    <w:rsid w:val="00646396"/>
    <w:rsid w:val="00662097"/>
    <w:rsid w:val="00665503"/>
    <w:rsid w:val="0067096F"/>
    <w:rsid w:val="006740BE"/>
    <w:rsid w:val="006941F3"/>
    <w:rsid w:val="006A3389"/>
    <w:rsid w:val="006B61AA"/>
    <w:rsid w:val="006C2111"/>
    <w:rsid w:val="006D3064"/>
    <w:rsid w:val="006F4D0B"/>
    <w:rsid w:val="00705C9E"/>
    <w:rsid w:val="00707F28"/>
    <w:rsid w:val="00714354"/>
    <w:rsid w:val="00720275"/>
    <w:rsid w:val="007240CB"/>
    <w:rsid w:val="00730927"/>
    <w:rsid w:val="0074241D"/>
    <w:rsid w:val="00786C47"/>
    <w:rsid w:val="007B420B"/>
    <w:rsid w:val="007B75C2"/>
    <w:rsid w:val="007C077D"/>
    <w:rsid w:val="007D6DCC"/>
    <w:rsid w:val="007F14AC"/>
    <w:rsid w:val="00801433"/>
    <w:rsid w:val="008567EC"/>
    <w:rsid w:val="00873F21"/>
    <w:rsid w:val="00877DBA"/>
    <w:rsid w:val="0088319B"/>
    <w:rsid w:val="0088747B"/>
    <w:rsid w:val="008912E3"/>
    <w:rsid w:val="008918B9"/>
    <w:rsid w:val="00897583"/>
    <w:rsid w:val="008C23C6"/>
    <w:rsid w:val="008C5B25"/>
    <w:rsid w:val="008F5E6F"/>
    <w:rsid w:val="009238F3"/>
    <w:rsid w:val="009247F2"/>
    <w:rsid w:val="00951859"/>
    <w:rsid w:val="00972327"/>
    <w:rsid w:val="00972544"/>
    <w:rsid w:val="009766F9"/>
    <w:rsid w:val="009B346A"/>
    <w:rsid w:val="009B5B8B"/>
    <w:rsid w:val="009E3E70"/>
    <w:rsid w:val="009E62BF"/>
    <w:rsid w:val="009E6301"/>
    <w:rsid w:val="00A25340"/>
    <w:rsid w:val="00A367F0"/>
    <w:rsid w:val="00A526F3"/>
    <w:rsid w:val="00A973D5"/>
    <w:rsid w:val="00AC1322"/>
    <w:rsid w:val="00AF3164"/>
    <w:rsid w:val="00B02010"/>
    <w:rsid w:val="00B14D45"/>
    <w:rsid w:val="00B21C28"/>
    <w:rsid w:val="00B57FDB"/>
    <w:rsid w:val="00B61258"/>
    <w:rsid w:val="00B658CA"/>
    <w:rsid w:val="00B666AD"/>
    <w:rsid w:val="00B94DE4"/>
    <w:rsid w:val="00B970EA"/>
    <w:rsid w:val="00B97F2A"/>
    <w:rsid w:val="00BE063F"/>
    <w:rsid w:val="00BF4527"/>
    <w:rsid w:val="00BF723E"/>
    <w:rsid w:val="00C07CE4"/>
    <w:rsid w:val="00C125EF"/>
    <w:rsid w:val="00C13B54"/>
    <w:rsid w:val="00C52546"/>
    <w:rsid w:val="00C52BFF"/>
    <w:rsid w:val="00C7114F"/>
    <w:rsid w:val="00C860A1"/>
    <w:rsid w:val="00C92825"/>
    <w:rsid w:val="00C94481"/>
    <w:rsid w:val="00CA5800"/>
    <w:rsid w:val="00CB6E7A"/>
    <w:rsid w:val="00CC32A6"/>
    <w:rsid w:val="00CE38AF"/>
    <w:rsid w:val="00D27B96"/>
    <w:rsid w:val="00D436EE"/>
    <w:rsid w:val="00D4636F"/>
    <w:rsid w:val="00D51529"/>
    <w:rsid w:val="00D92340"/>
    <w:rsid w:val="00D93CE1"/>
    <w:rsid w:val="00D957C8"/>
    <w:rsid w:val="00DB0130"/>
    <w:rsid w:val="00DB4158"/>
    <w:rsid w:val="00DE00FE"/>
    <w:rsid w:val="00DE7D57"/>
    <w:rsid w:val="00DF4184"/>
    <w:rsid w:val="00E10BAF"/>
    <w:rsid w:val="00E22803"/>
    <w:rsid w:val="00E23B14"/>
    <w:rsid w:val="00E268F7"/>
    <w:rsid w:val="00E627D4"/>
    <w:rsid w:val="00E92D40"/>
    <w:rsid w:val="00E970EF"/>
    <w:rsid w:val="00EC0E21"/>
    <w:rsid w:val="00EC27CC"/>
    <w:rsid w:val="00ED009B"/>
    <w:rsid w:val="00EE0A62"/>
    <w:rsid w:val="00EE6E66"/>
    <w:rsid w:val="00F066A6"/>
    <w:rsid w:val="00F10E8E"/>
    <w:rsid w:val="00F20A7E"/>
    <w:rsid w:val="00F23EB9"/>
    <w:rsid w:val="00F43AE6"/>
    <w:rsid w:val="00F46B72"/>
    <w:rsid w:val="00F5706B"/>
    <w:rsid w:val="00F62EA2"/>
    <w:rsid w:val="00F86DC5"/>
    <w:rsid w:val="00FA1E9A"/>
    <w:rsid w:val="00FC036C"/>
    <w:rsid w:val="00FE63DA"/>
    <w:rsid w:val="00FF1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A0558A"/>
  <w15:docId w15:val="{423B147A-AF81-40FD-89C7-86CDDC26E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Pr>
      <w:b/>
      <w:bCs/>
    </w:rPr>
  </w:style>
  <w:style w:type="paragraph" w:styleId="a4">
    <w:name w:val="annotation text"/>
    <w:basedOn w:val="a"/>
    <w:link w:val="a6"/>
    <w:uiPriority w:val="99"/>
    <w:unhideWhenUsed/>
    <w:qFormat/>
  </w:style>
  <w:style w:type="paragraph" w:styleId="a7">
    <w:name w:val="Body Text"/>
    <w:basedOn w:val="a"/>
    <w:link w:val="a8"/>
    <w:uiPriority w:val="1"/>
    <w:qFormat/>
    <w:pPr>
      <w:ind w:left="220"/>
    </w:pPr>
    <w:rPr>
      <w:sz w:val="32"/>
      <w:szCs w:val="32"/>
    </w:rPr>
  </w:style>
  <w:style w:type="paragraph" w:styleId="a9">
    <w:name w:val="Balloon Text"/>
    <w:basedOn w:val="a"/>
    <w:link w:val="aa"/>
    <w:uiPriority w:val="99"/>
    <w:unhideWhenUsed/>
    <w:qFormat/>
    <w:rPr>
      <w:sz w:val="18"/>
      <w:szCs w:val="18"/>
    </w:rPr>
  </w:style>
  <w:style w:type="paragraph" w:styleId="ab">
    <w:name w:val="footer"/>
    <w:basedOn w:val="a"/>
    <w:link w:val="ac"/>
    <w:uiPriority w:val="99"/>
    <w:unhideWhenUsed/>
    <w:qFormat/>
    <w:pPr>
      <w:tabs>
        <w:tab w:val="center" w:pos="4153"/>
        <w:tab w:val="right" w:pos="8306"/>
      </w:tabs>
      <w:snapToGrid w:val="0"/>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Normal (Web)"/>
    <w:basedOn w:val="a"/>
    <w:uiPriority w:val="99"/>
    <w:unhideWhenUsed/>
    <w:qFormat/>
    <w:pPr>
      <w:widowControl/>
      <w:autoSpaceDE/>
      <w:autoSpaceDN/>
      <w:spacing w:before="100" w:beforeAutospacing="1" w:after="100" w:afterAutospacing="1"/>
    </w:pPr>
    <w:rPr>
      <w:rFonts w:ascii="宋体" w:eastAsia="宋体" w:hAnsi="宋体" w:cs="宋体"/>
      <w:sz w:val="24"/>
      <w:szCs w:val="24"/>
      <w:lang w:val="en-US" w:bidi="ar-SA"/>
    </w:rPr>
  </w:style>
  <w:style w:type="character" w:styleId="af0">
    <w:name w:val="annotation reference"/>
    <w:basedOn w:val="a0"/>
    <w:uiPriority w:val="99"/>
    <w:unhideWhenUsed/>
    <w:qFormat/>
    <w:rPr>
      <w:sz w:val="21"/>
      <w:szCs w:val="21"/>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a8">
    <w:name w:val="正文文本 字符"/>
    <w:basedOn w:val="a0"/>
    <w:link w:val="a7"/>
    <w:uiPriority w:val="1"/>
    <w:qFormat/>
    <w:rPr>
      <w:rFonts w:ascii="仿宋" w:eastAsia="仿宋" w:hAnsi="仿宋" w:cs="仿宋"/>
      <w:kern w:val="0"/>
      <w:sz w:val="32"/>
      <w:szCs w:val="32"/>
      <w:lang w:val="zh-CN" w:bidi="zh-CN"/>
    </w:rPr>
  </w:style>
  <w:style w:type="paragraph" w:customStyle="1" w:styleId="TableParagraph">
    <w:name w:val="Table Paragraph"/>
    <w:basedOn w:val="a"/>
    <w:uiPriority w:val="1"/>
    <w:qFormat/>
  </w:style>
  <w:style w:type="paragraph" w:customStyle="1" w:styleId="1">
    <w:name w:val="列出段落1"/>
    <w:basedOn w:val="a"/>
    <w:uiPriority w:val="34"/>
    <w:qFormat/>
    <w:pPr>
      <w:autoSpaceDE/>
      <w:autoSpaceDN/>
      <w:ind w:firstLineChars="200" w:firstLine="420"/>
      <w:jc w:val="both"/>
    </w:pPr>
    <w:rPr>
      <w:rFonts w:asciiTheme="minorHAnsi" w:eastAsiaTheme="minorEastAsia" w:hAnsiTheme="minorHAnsi" w:cstheme="minorBidi"/>
      <w:kern w:val="2"/>
      <w:sz w:val="21"/>
      <w:lang w:val="en-US" w:bidi="ar-SA"/>
    </w:rPr>
  </w:style>
  <w:style w:type="character" w:customStyle="1" w:styleId="a6">
    <w:name w:val="批注文字 字符"/>
    <w:basedOn w:val="a0"/>
    <w:link w:val="a4"/>
    <w:uiPriority w:val="99"/>
    <w:qFormat/>
    <w:rPr>
      <w:rFonts w:ascii="仿宋" w:eastAsia="仿宋" w:hAnsi="仿宋" w:cs="仿宋"/>
      <w:kern w:val="0"/>
      <w:sz w:val="22"/>
      <w:lang w:val="zh-CN" w:bidi="zh-CN"/>
    </w:rPr>
  </w:style>
  <w:style w:type="character" w:customStyle="1" w:styleId="a5">
    <w:name w:val="批注主题 字符"/>
    <w:basedOn w:val="a6"/>
    <w:link w:val="a3"/>
    <w:uiPriority w:val="99"/>
    <w:semiHidden/>
    <w:qFormat/>
    <w:rPr>
      <w:rFonts w:ascii="仿宋" w:eastAsia="仿宋" w:hAnsi="仿宋" w:cs="仿宋"/>
      <w:b/>
      <w:bCs/>
      <w:kern w:val="0"/>
      <w:sz w:val="22"/>
      <w:lang w:val="zh-CN" w:bidi="zh-CN"/>
    </w:rPr>
  </w:style>
  <w:style w:type="character" w:customStyle="1" w:styleId="aa">
    <w:name w:val="批注框文本 字符"/>
    <w:basedOn w:val="a0"/>
    <w:link w:val="a9"/>
    <w:uiPriority w:val="99"/>
    <w:semiHidden/>
    <w:qFormat/>
    <w:rPr>
      <w:rFonts w:ascii="仿宋" w:eastAsia="仿宋" w:hAnsi="仿宋" w:cs="仿宋"/>
      <w:kern w:val="0"/>
      <w:sz w:val="18"/>
      <w:szCs w:val="18"/>
      <w:lang w:val="zh-CN" w:bidi="zh-CN"/>
    </w:rPr>
  </w:style>
  <w:style w:type="paragraph" w:customStyle="1" w:styleId="10">
    <w:name w:val="修订1"/>
    <w:hidden/>
    <w:uiPriority w:val="99"/>
    <w:semiHidden/>
    <w:qFormat/>
    <w:rPr>
      <w:rFonts w:ascii="仿宋" w:eastAsia="仿宋" w:hAnsi="仿宋" w:cs="仿宋"/>
      <w:sz w:val="22"/>
      <w:szCs w:val="22"/>
      <w:lang w:val="zh-CN" w:bidi="zh-CN"/>
    </w:rPr>
  </w:style>
  <w:style w:type="character" w:customStyle="1" w:styleId="005Char">
    <w:name w:val="005正文 Char"/>
    <w:link w:val="005"/>
    <w:qFormat/>
    <w:rPr>
      <w:rFonts w:ascii="Times New Roman" w:eastAsia="宋体" w:hAnsi="Times New Roman" w:cs="Times New Roman"/>
      <w:sz w:val="24"/>
    </w:rPr>
  </w:style>
  <w:style w:type="paragraph" w:customStyle="1" w:styleId="005">
    <w:name w:val="005正文"/>
    <w:basedOn w:val="a"/>
    <w:link w:val="005Char"/>
    <w:qFormat/>
    <w:pPr>
      <w:autoSpaceDE/>
      <w:autoSpaceDN/>
      <w:spacing w:line="360" w:lineRule="auto"/>
      <w:ind w:firstLineChars="200" w:firstLine="200"/>
      <w:jc w:val="both"/>
    </w:pPr>
    <w:rPr>
      <w:rFonts w:ascii="Times New Roman" w:eastAsia="宋体" w:hAnsi="Times New Roman" w:cs="Times New Roman"/>
      <w:kern w:val="2"/>
      <w:sz w:val="24"/>
      <w:lang w:val="en-US" w:bidi="ar-SA"/>
    </w:rPr>
  </w:style>
  <w:style w:type="paragraph" w:customStyle="1" w:styleId="2">
    <w:name w:val="列出段落2"/>
    <w:basedOn w:val="a"/>
    <w:link w:val="af1"/>
    <w:uiPriority w:val="34"/>
    <w:qFormat/>
    <w:pPr>
      <w:autoSpaceDE/>
      <w:autoSpaceDN/>
      <w:ind w:firstLineChars="200" w:firstLine="420"/>
      <w:jc w:val="both"/>
    </w:pPr>
    <w:rPr>
      <w:rFonts w:asciiTheme="minorHAnsi" w:eastAsiaTheme="minorEastAsia" w:hAnsiTheme="minorHAnsi" w:cstheme="minorBidi"/>
      <w:kern w:val="2"/>
      <w:sz w:val="21"/>
      <w:lang w:val="en-US" w:bidi="ar-SA"/>
    </w:rPr>
  </w:style>
  <w:style w:type="character" w:customStyle="1" w:styleId="af1">
    <w:name w:val="列出段落 字符"/>
    <w:link w:val="2"/>
    <w:uiPriority w:val="34"/>
    <w:qFormat/>
    <w:locked/>
  </w:style>
  <w:style w:type="paragraph" w:customStyle="1" w:styleId="11">
    <w:name w:val="列表段落1"/>
    <w:basedOn w:val="a"/>
    <w:uiPriority w:val="34"/>
    <w:qFormat/>
    <w:pPr>
      <w:autoSpaceDE/>
      <w:autoSpaceDN/>
      <w:ind w:firstLineChars="200" w:firstLine="420"/>
      <w:jc w:val="both"/>
    </w:pPr>
    <w:rPr>
      <w:rFonts w:asciiTheme="minorHAnsi" w:eastAsiaTheme="minorEastAsia" w:hAnsiTheme="minorHAnsi" w:cstheme="minorBidi"/>
      <w:kern w:val="2"/>
      <w:sz w:val="21"/>
      <w:lang w:val="en-US" w:bidi="ar-SA"/>
    </w:rPr>
  </w:style>
  <w:style w:type="character" w:customStyle="1" w:styleId="keyword">
    <w:name w:val="keyword"/>
    <w:basedOn w:val="a0"/>
  </w:style>
  <w:style w:type="paragraph" w:styleId="af2">
    <w:name w:val="Revision"/>
    <w:hidden/>
    <w:uiPriority w:val="99"/>
    <w:semiHidden/>
    <w:rsid w:val="007C077D"/>
    <w:rPr>
      <w:rFonts w:ascii="仿宋" w:eastAsia="仿宋" w:hAnsi="仿宋" w:cs="仿宋"/>
      <w:sz w:val="22"/>
      <w:szCs w:val="22"/>
      <w:lang w:val="zh-CN" w:bidi="zh-CN"/>
    </w:rPr>
  </w:style>
  <w:style w:type="paragraph" w:styleId="af3">
    <w:name w:val="List Paragraph"/>
    <w:basedOn w:val="a"/>
    <w:uiPriority w:val="34"/>
    <w:qFormat/>
    <w:rsid w:val="000D6826"/>
    <w:pPr>
      <w:autoSpaceDE/>
      <w:autoSpaceDN/>
      <w:ind w:firstLineChars="200" w:firstLine="420"/>
      <w:jc w:val="both"/>
    </w:pPr>
    <w:rPr>
      <w:rFonts w:asciiTheme="minorHAnsi" w:eastAsiaTheme="minorEastAsia" w:hAnsiTheme="minorHAnsi" w:cstheme="minorBidi"/>
      <w:kern w:val="2"/>
      <w:sz w:val="21"/>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872249">
      <w:bodyDiv w:val="1"/>
      <w:marLeft w:val="0"/>
      <w:marRight w:val="0"/>
      <w:marTop w:val="0"/>
      <w:marBottom w:val="0"/>
      <w:divBdr>
        <w:top w:val="none" w:sz="0" w:space="0" w:color="auto"/>
        <w:left w:val="none" w:sz="0" w:space="0" w:color="auto"/>
        <w:bottom w:val="none" w:sz="0" w:space="0" w:color="auto"/>
        <w:right w:val="none" w:sz="0" w:space="0" w:color="auto"/>
      </w:divBdr>
    </w:div>
    <w:div w:id="547843077">
      <w:bodyDiv w:val="1"/>
      <w:marLeft w:val="0"/>
      <w:marRight w:val="0"/>
      <w:marTop w:val="0"/>
      <w:marBottom w:val="0"/>
      <w:divBdr>
        <w:top w:val="none" w:sz="0" w:space="0" w:color="auto"/>
        <w:left w:val="none" w:sz="0" w:space="0" w:color="auto"/>
        <w:bottom w:val="none" w:sz="0" w:space="0" w:color="auto"/>
        <w:right w:val="none" w:sz="0" w:space="0" w:color="auto"/>
      </w:divBdr>
    </w:div>
    <w:div w:id="1146975693">
      <w:bodyDiv w:val="1"/>
      <w:marLeft w:val="0"/>
      <w:marRight w:val="0"/>
      <w:marTop w:val="0"/>
      <w:marBottom w:val="0"/>
      <w:divBdr>
        <w:top w:val="none" w:sz="0" w:space="0" w:color="auto"/>
        <w:left w:val="none" w:sz="0" w:space="0" w:color="auto"/>
        <w:bottom w:val="none" w:sz="0" w:space="0" w:color="auto"/>
        <w:right w:val="none" w:sz="0" w:space="0" w:color="auto"/>
      </w:divBdr>
    </w:div>
    <w:div w:id="1680428776">
      <w:bodyDiv w:val="1"/>
      <w:marLeft w:val="0"/>
      <w:marRight w:val="0"/>
      <w:marTop w:val="0"/>
      <w:marBottom w:val="0"/>
      <w:divBdr>
        <w:top w:val="none" w:sz="0" w:space="0" w:color="auto"/>
        <w:left w:val="none" w:sz="0" w:space="0" w:color="auto"/>
        <w:bottom w:val="none" w:sz="0" w:space="0" w:color="auto"/>
        <w:right w:val="none" w:sz="0" w:space="0" w:color="auto"/>
      </w:divBdr>
    </w:div>
    <w:div w:id="1899054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687</Words>
  <Characters>3919</Characters>
  <Application>Microsoft Office Word</Application>
  <DocSecurity>0</DocSecurity>
  <Lines>32</Lines>
  <Paragraphs>9</Paragraphs>
  <ScaleCrop>false</ScaleCrop>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shijingwen</cp:lastModifiedBy>
  <cp:revision>7</cp:revision>
  <cp:lastPrinted>2023-09-01T08:20:00Z</cp:lastPrinted>
  <dcterms:created xsi:type="dcterms:W3CDTF">2025-08-18T07:30:00Z</dcterms:created>
  <dcterms:modified xsi:type="dcterms:W3CDTF">2025-08-18T08:59:00Z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2052-11.37.8</vt:lpwstr>
  </property>
  <property fmtid="{D5CDD505-2E9C-101B-9397-08002B2CF9AE}" pid="3" name="ICV">
    <vt:lpwstr>D2181413A5F747E5A42A30A82ACB8F3C</vt:lpwstr>
  </property>
</Properties>
</file>