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201B" w14:textId="77777777" w:rsidR="00981D05" w:rsidRPr="00783215" w:rsidRDefault="005370B4">
      <w:pPr>
        <w:pStyle w:val="1"/>
        <w:rPr>
          <w:rFonts w:asciiTheme="minorEastAsia" w:eastAsiaTheme="minorEastAsia" w:hAnsiTheme="minorEastAsia" w:cs="宋体"/>
          <w:b/>
          <w:sz w:val="24"/>
          <w:szCs w:val="21"/>
        </w:rPr>
      </w:pP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证券代码：</w:t>
      </w:r>
      <w:r w:rsidRPr="00783215">
        <w:rPr>
          <w:rFonts w:asciiTheme="minorEastAsia" w:eastAsiaTheme="minorEastAsia" w:hAnsiTheme="minorEastAsia" w:cs="宋体" w:hint="eastAsia"/>
          <w:b/>
          <w:sz w:val="24"/>
          <w:szCs w:val="21"/>
        </w:rPr>
        <w:t>6</w:t>
      </w: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88183                                  证券简称：生益电子</w:t>
      </w:r>
    </w:p>
    <w:p w14:paraId="1E6D8EC0" w14:textId="77777777" w:rsidR="005370B4" w:rsidRPr="00783215" w:rsidRDefault="005370B4" w:rsidP="005370B4">
      <w:pPr>
        <w:rPr>
          <w:rFonts w:asciiTheme="minorEastAsia" w:eastAsiaTheme="minorEastAsia" w:hAnsiTheme="minorEastAsia"/>
          <w:sz w:val="24"/>
          <w:szCs w:val="21"/>
        </w:rPr>
      </w:pPr>
    </w:p>
    <w:p w14:paraId="7C61CF62" w14:textId="77777777" w:rsidR="00D7778D" w:rsidRPr="00783215" w:rsidRDefault="005370B4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生益电子</w:t>
      </w:r>
      <w:r w:rsidR="00885EAC"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股份有限公司</w:t>
      </w:r>
    </w:p>
    <w:p w14:paraId="5DBF7EA6" w14:textId="4F5DD7A4" w:rsidR="00981D05" w:rsidRPr="00783215" w:rsidRDefault="00885EAC">
      <w:pPr>
        <w:spacing w:line="360" w:lineRule="auto"/>
        <w:jc w:val="center"/>
        <w:rPr>
          <w:rFonts w:asciiTheme="minorEastAsia" w:eastAsiaTheme="minorEastAsia" w:hAnsiTheme="minorEastAsia" w:cs="宋体"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投资者关系活动记录表</w:t>
      </w:r>
    </w:p>
    <w:p w14:paraId="166A88D7" w14:textId="2CA08858" w:rsidR="00981D05" w:rsidRPr="00783215" w:rsidRDefault="00885EAC" w:rsidP="003E13C9">
      <w:pPr>
        <w:tabs>
          <w:tab w:val="left" w:pos="6521"/>
        </w:tabs>
        <w:spacing w:before="51" w:after="32"/>
        <w:ind w:right="59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783215">
        <w:rPr>
          <w:rFonts w:asciiTheme="minorEastAsia" w:eastAsiaTheme="minorEastAsia" w:hAnsiTheme="minorEastAsia" w:cs="宋体" w:hint="eastAsia"/>
          <w:sz w:val="21"/>
          <w:szCs w:val="21"/>
        </w:rPr>
        <w:t>编号：</w:t>
      </w:r>
      <w:r w:rsidR="005370B4" w:rsidRPr="000524D4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5A14FA" w:rsidRPr="000524D4">
        <w:rPr>
          <w:rFonts w:asciiTheme="minorEastAsia" w:eastAsiaTheme="minorEastAsia" w:hAnsiTheme="minorEastAsia" w:cs="宋体"/>
          <w:sz w:val="21"/>
          <w:szCs w:val="21"/>
        </w:rPr>
        <w:t>02</w:t>
      </w:r>
      <w:r w:rsidR="00D35686">
        <w:rPr>
          <w:rFonts w:asciiTheme="minorEastAsia" w:eastAsiaTheme="minorEastAsia" w:hAnsiTheme="minorEastAsia" w:cs="宋体"/>
          <w:sz w:val="21"/>
          <w:szCs w:val="21"/>
        </w:rPr>
        <w:t>5</w:t>
      </w:r>
      <w:r w:rsidR="001B4AD2" w:rsidRPr="000524D4">
        <w:rPr>
          <w:rFonts w:asciiTheme="minorEastAsia" w:eastAsiaTheme="minorEastAsia" w:hAnsiTheme="minorEastAsia" w:cs="宋体" w:hint="eastAsia"/>
          <w:sz w:val="21"/>
          <w:szCs w:val="21"/>
        </w:rPr>
        <w:t>-</w:t>
      </w:r>
      <w:r w:rsidR="00813913" w:rsidRPr="000524D4">
        <w:rPr>
          <w:rFonts w:asciiTheme="minorEastAsia" w:eastAsiaTheme="minorEastAsia" w:hAnsiTheme="minorEastAsia" w:cs="宋体"/>
          <w:sz w:val="21"/>
          <w:szCs w:val="21"/>
        </w:rPr>
        <w:t>0</w:t>
      </w:r>
      <w:r w:rsidR="00D35686">
        <w:rPr>
          <w:rFonts w:asciiTheme="minorEastAsia" w:eastAsiaTheme="minorEastAsia" w:hAnsiTheme="minorEastAsia" w:cs="宋体"/>
          <w:sz w:val="21"/>
          <w:szCs w:val="21"/>
        </w:rPr>
        <w:t>0</w:t>
      </w:r>
      <w:r w:rsidR="005C214A">
        <w:rPr>
          <w:rFonts w:asciiTheme="minorEastAsia" w:eastAsiaTheme="minorEastAsia" w:hAnsiTheme="minorEastAsia" w:cs="宋体"/>
          <w:sz w:val="21"/>
          <w:szCs w:val="21"/>
        </w:rPr>
        <w:t>3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29"/>
      </w:tblGrid>
      <w:tr w:rsidR="00783215" w:rsidRPr="00783215" w14:paraId="534B349D" w14:textId="77777777" w:rsidTr="00F215DF">
        <w:trPr>
          <w:trHeight w:val="1311"/>
          <w:jc w:val="center"/>
        </w:trPr>
        <w:tc>
          <w:tcPr>
            <w:tcW w:w="1555" w:type="dxa"/>
            <w:vAlign w:val="center"/>
          </w:tcPr>
          <w:p w14:paraId="0C055E7C" w14:textId="77777777" w:rsidR="00B15D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</w:t>
            </w:r>
          </w:p>
          <w:p w14:paraId="5C91763D" w14:textId="4506727E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活动类别</w:t>
            </w:r>
          </w:p>
        </w:tc>
        <w:tc>
          <w:tcPr>
            <w:tcW w:w="7229" w:type="dxa"/>
            <w:shd w:val="clear" w:color="auto" w:fill="auto"/>
          </w:tcPr>
          <w:p w14:paraId="208C1468" w14:textId="7541995E" w:rsidR="00981D05" w:rsidRPr="00783215" w:rsidRDefault="00F72390" w:rsidP="00DF0200">
            <w:pPr>
              <w:pStyle w:val="TableParagraph"/>
              <w:tabs>
                <w:tab w:val="left" w:pos="2418"/>
              </w:tabs>
              <w:spacing w:before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调研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□分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析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议</w:t>
            </w:r>
          </w:p>
          <w:p w14:paraId="10D27686" w14:textId="37BD6A79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□媒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体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采访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□业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绩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说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明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</w:p>
          <w:p w14:paraId="762485E3" w14:textId="78AA85BC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□新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闻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布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□路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演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</w:t>
            </w:r>
          </w:p>
          <w:p w14:paraId="5FCCEA73" w14:textId="70A5ACC6" w:rsidR="00981D05" w:rsidRPr="00783215" w:rsidRDefault="00747796" w:rsidP="00783215">
            <w:pPr>
              <w:pStyle w:val="TableParagraph"/>
              <w:spacing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现场参观</w:t>
            </w:r>
            <w:r w:rsidR="006B363D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6B363D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        </w:t>
            </w:r>
            <w:r w:rsidR="0028632C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C10B2C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F72390" w:rsidRPr="00F7239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█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其他</w:t>
            </w:r>
          </w:p>
        </w:tc>
      </w:tr>
      <w:tr w:rsidR="00966C00" w:rsidRPr="00783215" w14:paraId="7F501AE0" w14:textId="77777777" w:rsidTr="00F215DF">
        <w:trPr>
          <w:trHeight w:val="1311"/>
          <w:jc w:val="center"/>
        </w:trPr>
        <w:tc>
          <w:tcPr>
            <w:tcW w:w="1555" w:type="dxa"/>
            <w:vAlign w:val="center"/>
          </w:tcPr>
          <w:p w14:paraId="320478F8" w14:textId="31FFBC9D" w:rsidR="00966C00" w:rsidRPr="00D53F86" w:rsidRDefault="00966C00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3F8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参与单位名称或人员姓名</w:t>
            </w:r>
          </w:p>
        </w:tc>
        <w:tc>
          <w:tcPr>
            <w:tcW w:w="7229" w:type="dxa"/>
            <w:shd w:val="clear" w:color="auto" w:fill="auto"/>
          </w:tcPr>
          <w:p w14:paraId="23757B9C" w14:textId="65824E91" w:rsidR="003F0F69" w:rsidRDefault="003F0F69" w:rsidP="00EA3FBB">
            <w:pPr>
              <w:pStyle w:val="TableParagraph"/>
              <w:shd w:val="clear" w:color="auto" w:fill="FFFFFF" w:themeFill="background1"/>
              <w:spacing w:before="120"/>
              <w:ind w:leftChars="50" w:left="110" w:rightChars="64" w:right="141" w:firstLineChars="200" w:firstLine="420"/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</w:pPr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Millennium（千</w:t>
            </w:r>
            <w:proofErr w:type="gram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禧</w:t>
            </w:r>
            <w:proofErr w:type="gram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年）、</w:t>
            </w:r>
            <w:proofErr w:type="spell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cloudalpha</w:t>
            </w:r>
            <w:proofErr w:type="spell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capital、HSBC CAM、博时基金、财通基金、东北证券、东莞证券、东亚前海证券、国泰瑞丰、</w:t>
            </w:r>
            <w:proofErr w:type="gram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海创基金</w:t>
            </w:r>
            <w:proofErr w:type="gram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、华海证券、华能贵诚信托、华泰证券、华夏未来资本、嘉实基金、交银基金、摩根士丹利基金、农银基金、诺安基金、诺德基金、</w:t>
            </w:r>
            <w:proofErr w:type="gram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泉果基金</w:t>
            </w:r>
            <w:proofErr w:type="gram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、申万宏源、申万宏源FICC、世纪证券、韬略资产、天风证券、</w:t>
            </w:r>
            <w:proofErr w:type="gram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信达澳亚</w:t>
            </w:r>
            <w:proofErr w:type="gram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、野村证券、易方达、</w:t>
            </w:r>
            <w:r w:rsidR="00EA3FBB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摩根资管、中信证券、</w:t>
            </w:r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长城基金、长盛基金、</w:t>
            </w:r>
            <w:proofErr w:type="gram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浙商证券</w:t>
            </w:r>
            <w:proofErr w:type="gram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、中金公司、朱雀基金、红土创新基金、兴业证券、平安证券、中泰证券、上海</w:t>
            </w:r>
            <w:proofErr w:type="gramStart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虢</w:t>
            </w:r>
            <w:proofErr w:type="gramEnd"/>
            <w:r w:rsidRPr="003F0F69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盛私募、中航证券、招商证券、山西证券、深</w:t>
            </w:r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圳</w:t>
            </w:r>
            <w:proofErr w:type="gramStart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钮</w:t>
            </w:r>
            <w:proofErr w:type="gramEnd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富斯投资、云</w:t>
            </w:r>
            <w:proofErr w:type="gramStart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禧</w:t>
            </w:r>
            <w:proofErr w:type="gramEnd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基金、路翔投资、银河证券、国海证券、东方红资管、华安证券、华</w:t>
            </w:r>
            <w:r w:rsidR="008A23C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泰柏瑞基金、东方财富证券、深圳市路演时代、西部证券、华源证券、</w:t>
            </w:r>
            <w:proofErr w:type="gramStart"/>
            <w:r w:rsidR="008A23C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恒</w:t>
            </w:r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越基金</w:t>
            </w:r>
            <w:proofErr w:type="gramEnd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、国泰海通证券、平安基金、国泰海</w:t>
            </w:r>
            <w:proofErr w:type="gramStart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通资管</w:t>
            </w:r>
            <w:proofErr w:type="gramEnd"/>
            <w:r w:rsidRPr="003F0F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、国信证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券、华安基金、财通证券、华创证券、长江资管、中海基金、安信基金</w:t>
            </w:r>
          </w:p>
          <w:p w14:paraId="70A183F4" w14:textId="7EA15028" w:rsidR="00BD61E3" w:rsidRPr="00D53F86" w:rsidRDefault="00BD61E3" w:rsidP="003F0F69">
            <w:pPr>
              <w:pStyle w:val="TableParagraph"/>
              <w:shd w:val="clear" w:color="auto" w:fill="FFFFFF" w:themeFill="background1"/>
              <w:spacing w:before="120"/>
              <w:ind w:leftChars="50" w:left="110" w:firstLineChars="200" w:firstLine="422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本次投资者关系活动采取</w:t>
            </w:r>
            <w:r w:rsidR="002B446A"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现场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会议形式，</w:t>
            </w:r>
            <w:r w:rsidR="003F0F6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现场调研机构</w:t>
            </w:r>
            <w:proofErr w:type="gramStart"/>
            <w:r w:rsidR="003F0F6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均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签署</w:t>
            </w:r>
            <w:proofErr w:type="gramEnd"/>
            <w:r w:rsidRPr="00D53F8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调研承诺函。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在交流活动中，我司严格遵守相关规定，保证信息披露真实、准确、完整</w:t>
            </w:r>
            <w:r w:rsidRPr="00D53F86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、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及时、公平，没有出现未公开重大信息泄露等情况。</w:t>
            </w:r>
          </w:p>
        </w:tc>
      </w:tr>
      <w:tr w:rsidR="00783215" w:rsidRPr="00783215" w14:paraId="4DA4FC42" w14:textId="77777777" w:rsidTr="00F215DF">
        <w:trPr>
          <w:trHeight w:val="423"/>
          <w:jc w:val="center"/>
        </w:trPr>
        <w:tc>
          <w:tcPr>
            <w:tcW w:w="1555" w:type="dxa"/>
            <w:vAlign w:val="center"/>
          </w:tcPr>
          <w:p w14:paraId="3D33FF3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D2F245" w14:textId="3BF5262F" w:rsidR="00981D05" w:rsidRPr="006339FD" w:rsidRDefault="00D35686" w:rsidP="00A94BAC">
            <w:pPr>
              <w:pStyle w:val="TableParagraph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2025</w:t>
            </w:r>
            <w:r w:rsidR="00C90A05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年</w:t>
            </w:r>
            <w:r w:rsidR="005C214A">
              <w:rPr>
                <w:rFonts w:asciiTheme="minorEastAsia" w:eastAsiaTheme="minorEastAsia" w:hAnsiTheme="minorEastAsia" w:cs="宋体"/>
                <w:sz w:val="21"/>
                <w:szCs w:val="21"/>
              </w:rPr>
              <w:t>8</w:t>
            </w:r>
            <w:r w:rsidR="00813913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5C21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 w:rsidR="005C214A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="00813913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日</w:t>
            </w:r>
            <w:r w:rsidR="00A94BAC">
              <w:rPr>
                <w:rFonts w:asciiTheme="minorEastAsia" w:eastAsiaTheme="minorEastAsia" w:hAnsiTheme="minorEastAsia" w:cs="宋体"/>
                <w:sz w:val="21"/>
                <w:szCs w:val="21"/>
              </w:rPr>
              <w:t>、</w:t>
            </w:r>
            <w:r w:rsidR="005C214A">
              <w:rPr>
                <w:rFonts w:asciiTheme="minorEastAsia" w:eastAsiaTheme="minorEastAsia" w:hAnsiTheme="minorEastAsia" w:cs="宋体"/>
                <w:sz w:val="21"/>
                <w:szCs w:val="21"/>
              </w:rPr>
              <w:t>8</w:t>
            </w:r>
            <w:r w:rsidR="00A94BA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5C214A">
              <w:rPr>
                <w:rFonts w:asciiTheme="minorEastAsia" w:eastAsiaTheme="minorEastAsia" w:hAnsiTheme="minorEastAsia" w:cs="宋体"/>
                <w:sz w:val="21"/>
                <w:szCs w:val="21"/>
              </w:rPr>
              <w:t>20</w:t>
            </w:r>
            <w:r w:rsidR="00A94BA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</w:tr>
      <w:tr w:rsidR="00783215" w:rsidRPr="00783215" w14:paraId="1FB7DF34" w14:textId="77777777" w:rsidTr="00F215DF">
        <w:trPr>
          <w:trHeight w:val="415"/>
          <w:jc w:val="center"/>
        </w:trPr>
        <w:tc>
          <w:tcPr>
            <w:tcW w:w="1555" w:type="dxa"/>
            <w:vAlign w:val="center"/>
          </w:tcPr>
          <w:p w14:paraId="4D6E5CD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地点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ECC7C0" w14:textId="4504B858" w:rsidR="00981D05" w:rsidRPr="006339FD" w:rsidRDefault="0029472A" w:rsidP="00D35686">
            <w:pPr>
              <w:pStyle w:val="TableParagraph"/>
              <w:spacing w:before="1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生益电子会议室</w:t>
            </w:r>
            <w:r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D3568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</w:t>
            </w:r>
            <w:r w:rsidR="00E104A5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会议</w:t>
            </w:r>
          </w:p>
        </w:tc>
      </w:tr>
      <w:tr w:rsidR="00783215" w:rsidRPr="00783215" w14:paraId="3C88B73A" w14:textId="77777777" w:rsidTr="000C5209">
        <w:trPr>
          <w:trHeight w:val="274"/>
          <w:jc w:val="center"/>
        </w:trPr>
        <w:tc>
          <w:tcPr>
            <w:tcW w:w="1555" w:type="dxa"/>
            <w:vAlign w:val="center"/>
          </w:tcPr>
          <w:p w14:paraId="488918FC" w14:textId="77777777" w:rsid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上市公司</w:t>
            </w:r>
          </w:p>
          <w:p w14:paraId="5AE48E25" w14:textId="4E90559C" w:rsidR="000023BA" w:rsidRP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接待人员</w:t>
            </w:r>
          </w:p>
        </w:tc>
        <w:tc>
          <w:tcPr>
            <w:tcW w:w="7229" w:type="dxa"/>
            <w:vAlign w:val="center"/>
          </w:tcPr>
          <w:p w14:paraId="5AE8BFB5" w14:textId="68013EBA" w:rsidR="000023BA" w:rsidRPr="006339FD" w:rsidRDefault="000023BA" w:rsidP="00783215">
            <w:pPr>
              <w:pStyle w:val="TableParagraph"/>
              <w:spacing w:beforeLines="50" w:before="120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董事会秘书</w:t>
            </w:r>
            <w:r w:rsidR="00A8335F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兼</w:t>
            </w:r>
            <w:r w:rsidR="00A8335F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财务总监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proofErr w:type="gramStart"/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唐慧芬</w:t>
            </w:r>
            <w:proofErr w:type="gramEnd"/>
          </w:p>
          <w:p w14:paraId="0D2E192E" w14:textId="05FFB9F6" w:rsidR="00970CDE" w:rsidRPr="006339FD" w:rsidRDefault="00970CDE" w:rsidP="00783215">
            <w:pPr>
              <w:pStyle w:val="TableParagraph"/>
              <w:spacing w:before="1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市场部负责人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黄炜</w:t>
            </w:r>
          </w:p>
        </w:tc>
      </w:tr>
      <w:tr w:rsidR="00783215" w:rsidRPr="00783215" w14:paraId="4FE7D220" w14:textId="77777777" w:rsidTr="00F215DF">
        <w:trPr>
          <w:trHeight w:val="841"/>
          <w:jc w:val="center"/>
        </w:trPr>
        <w:tc>
          <w:tcPr>
            <w:tcW w:w="1555" w:type="dxa"/>
            <w:vAlign w:val="center"/>
          </w:tcPr>
          <w:p w14:paraId="36BFEA6E" w14:textId="5B84185A" w:rsidR="00412DA8" w:rsidRDefault="00412DA8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A72B01" w14:textId="77777777" w:rsidR="00F260FC" w:rsidRDefault="00F260FC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75A1BD0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E9B289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72FF8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C2662A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8D63E09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E16C4E0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A8B848A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6880B2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51DE8F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556BA" w14:textId="4405CF94" w:rsidR="00047B5E" w:rsidRPr="00783215" w:rsidRDefault="00047B5E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投资者关系活动主要内容介绍</w:t>
            </w:r>
          </w:p>
          <w:p w14:paraId="5FD6F69A" w14:textId="77777777" w:rsidR="00C90EB9" w:rsidRDefault="00C90EB9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F1BC65" w14:textId="77777777" w:rsidR="008B3EDD" w:rsidRDefault="008B3EDD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5B39CD" w14:textId="77777777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397CD1" w14:textId="77777777" w:rsidR="00975D86" w:rsidRDefault="00975D86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136BC6B" w14:textId="77777777" w:rsidR="00303440" w:rsidRPr="005D1459" w:rsidRDefault="00303440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2ACFA4AB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AED09D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29F4F2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4AC611C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4165633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7F5B30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7E0E3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9724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5A301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F3C05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E25B4B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792FA3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95139A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E1DC0B4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7697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9928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4C6753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8A6EE7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CD842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14EC3E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9B7B43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78A0DA1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39BD4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01FBDF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C86149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E490736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2A6665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B16C54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959FF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827A613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41ACF70" w14:textId="77777777" w:rsidR="00E92E82" w:rsidRDefault="00E92E82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3BBC51C" w14:textId="029BD09B" w:rsidR="00F260FC" w:rsidRPr="00783215" w:rsidRDefault="00F260FC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158595BF" w14:textId="77777777" w:rsidR="00F260FC" w:rsidRPr="00783215" w:rsidRDefault="00F260FC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  <w:p w14:paraId="2858D6D0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7335A9B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CBC2472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8CF235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D8AEF0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932948B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54797FE5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42C678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8BA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7B65BFA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9EA48C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1B6AD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DFC8F2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2CE73E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F386B3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E8344A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2AB804" w14:textId="77777777" w:rsidR="00D55F13" w:rsidRDefault="00D55F1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EEE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5445BB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A7E75A8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1AE408E" w14:textId="77777777" w:rsidR="00E07233" w:rsidRDefault="00E0723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3A0385C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ED307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127076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9A5F36" w14:textId="69FD2462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F69A037" w14:textId="77777777" w:rsidR="00443CC1" w:rsidRDefault="00443CC1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1EA57CF" w14:textId="77777777" w:rsidR="00A41A26" w:rsidRDefault="00A41A26" w:rsidP="00E92E82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375266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9317373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26C982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00D6C0C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F6F0CF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811722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613657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06E69EA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6E22CB1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DD977B7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D27328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698B0E7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AC772EC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0909BE2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6B8DFE8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72809A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CBC6C10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38A6CAB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EC9232" w14:textId="77777777" w:rsidR="00967B9D" w:rsidRDefault="00967B9D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2312840" w14:textId="2E9E7F6F" w:rsidR="00783215" w:rsidRPr="00783215" w:rsidRDefault="00B94689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5BC094C2" w14:textId="50682E50" w:rsidR="00FF3923" w:rsidRPr="00783215" w:rsidRDefault="00B94689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</w:tc>
        <w:tc>
          <w:tcPr>
            <w:tcW w:w="7229" w:type="dxa"/>
            <w:vAlign w:val="center"/>
          </w:tcPr>
          <w:p w14:paraId="52884BEF" w14:textId="1256DB74" w:rsidR="00970CDE" w:rsidRPr="00E273EE" w:rsidRDefault="00EB61B8" w:rsidP="00FD19E8">
            <w:pPr>
              <w:pStyle w:val="TableParagraph"/>
              <w:spacing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lastRenderedPageBreak/>
              <w:t>一、</w:t>
            </w:r>
            <w:r w:rsidR="00970CDE" w:rsidRPr="00E273EE">
              <w:rPr>
                <w:rFonts w:asciiTheme="minorEastAsia" w:eastAsiaTheme="minorEastAsia" w:hAnsiTheme="minorEastAsia" w:cs="宋体" w:hint="eastAsia"/>
                <w:b/>
              </w:rPr>
              <w:t>介绍公司基本情况</w:t>
            </w:r>
          </w:p>
          <w:p w14:paraId="3FDD86E2" w14:textId="7752303D" w:rsidR="00253768" w:rsidRPr="00E273EE" w:rsidRDefault="00970CDE" w:rsidP="00F4185A">
            <w:pPr>
              <w:pStyle w:val="TableParagraph"/>
              <w:spacing w:line="360" w:lineRule="auto"/>
              <w:ind w:leftChars="50" w:left="110" w:rightChars="64" w:right="141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</w:rPr>
              <w:t>董事会秘书</w:t>
            </w:r>
            <w:r w:rsidR="00A8335F" w:rsidRPr="00E273EE">
              <w:rPr>
                <w:rFonts w:asciiTheme="minorEastAsia" w:eastAsiaTheme="minorEastAsia" w:hAnsiTheme="minorEastAsia" w:cs="宋体" w:hint="eastAsia"/>
              </w:rPr>
              <w:t>兼</w:t>
            </w:r>
            <w:r w:rsidR="00A8335F" w:rsidRPr="00E273EE">
              <w:rPr>
                <w:rFonts w:asciiTheme="minorEastAsia" w:eastAsiaTheme="minorEastAsia" w:hAnsiTheme="minorEastAsia" w:cs="宋体"/>
              </w:rPr>
              <w:t>财务总监</w:t>
            </w:r>
            <w:r w:rsidR="00520C06" w:rsidRPr="00E273EE">
              <w:rPr>
                <w:rFonts w:asciiTheme="minorEastAsia" w:eastAsiaTheme="minorEastAsia" w:hAnsiTheme="minorEastAsia" w:cs="宋体"/>
              </w:rPr>
              <w:t>简要</w:t>
            </w:r>
            <w:r w:rsidRPr="00E273EE">
              <w:rPr>
                <w:rFonts w:asciiTheme="minorEastAsia" w:eastAsiaTheme="minorEastAsia" w:hAnsiTheme="minorEastAsia" w:cs="宋体"/>
              </w:rPr>
              <w:t>介绍公司基本情况</w:t>
            </w:r>
            <w:r w:rsidRPr="00E273EE">
              <w:rPr>
                <w:rFonts w:asciiTheme="minorEastAsia" w:eastAsiaTheme="minorEastAsia" w:hAnsiTheme="minorEastAsia" w:cs="宋体" w:hint="eastAsia"/>
              </w:rPr>
              <w:t>，</w:t>
            </w:r>
            <w:r w:rsidR="00520C06" w:rsidRPr="00E273EE">
              <w:rPr>
                <w:rFonts w:asciiTheme="minorEastAsia" w:eastAsiaTheme="minorEastAsia" w:hAnsiTheme="minorEastAsia" w:cs="宋体"/>
              </w:rPr>
              <w:t>包括公司基本经营情</w:t>
            </w:r>
            <w:bookmarkStart w:id="0" w:name="_GoBack"/>
            <w:bookmarkEnd w:id="0"/>
            <w:r w:rsidR="00520C06" w:rsidRPr="00E273EE">
              <w:rPr>
                <w:rFonts w:asciiTheme="minorEastAsia" w:eastAsiaTheme="minorEastAsia" w:hAnsiTheme="minorEastAsia" w:cs="宋体"/>
              </w:rPr>
              <w:t>况</w:t>
            </w:r>
            <w:r w:rsidR="00520C06" w:rsidRPr="00E273EE">
              <w:rPr>
                <w:rFonts w:asciiTheme="minorEastAsia" w:eastAsiaTheme="minorEastAsia" w:hAnsiTheme="minorEastAsia" w:cs="宋体" w:hint="eastAsia"/>
              </w:rPr>
              <w:t>、主要产品应用领域、主要财务情况等内容。</w:t>
            </w:r>
          </w:p>
          <w:p w14:paraId="1E80F05F" w14:textId="5AA609D0" w:rsidR="00520C06" w:rsidRPr="00E273EE" w:rsidRDefault="00EB61B8" w:rsidP="00FD19E8">
            <w:pPr>
              <w:pStyle w:val="TableParagraph"/>
              <w:spacing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二、</w:t>
            </w:r>
            <w:r w:rsidR="00520C06" w:rsidRPr="00E273EE">
              <w:rPr>
                <w:rFonts w:asciiTheme="minorEastAsia" w:eastAsiaTheme="minorEastAsia" w:hAnsiTheme="minorEastAsia" w:cs="宋体"/>
                <w:b/>
              </w:rPr>
              <w:t>互动交流的主要问题</w:t>
            </w:r>
          </w:p>
          <w:p w14:paraId="63E51384" w14:textId="6C862C9A" w:rsidR="000A165D" w:rsidRPr="00E273EE" w:rsidRDefault="000A165D" w:rsidP="00FD19E8">
            <w:pPr>
              <w:widowControl/>
              <w:spacing w:line="360" w:lineRule="auto"/>
              <w:ind w:leftChars="64" w:left="141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1、</w:t>
            </w:r>
            <w:r w:rsidRPr="00E273EE">
              <w:rPr>
                <w:rFonts w:asciiTheme="minorEastAsia" w:eastAsiaTheme="minorEastAsia" w:hAnsiTheme="minorEastAsia" w:cs="宋体"/>
                <w:b/>
              </w:rPr>
              <w:t>公司202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5</w:t>
            </w:r>
            <w:r w:rsidRPr="00E273EE">
              <w:rPr>
                <w:rFonts w:asciiTheme="minorEastAsia" w:eastAsiaTheme="minorEastAsia" w:hAnsiTheme="minorEastAsia" w:cs="宋体"/>
                <w:b/>
              </w:rPr>
              <w:t>年</w:t>
            </w:r>
            <w:r w:rsidR="005C214A" w:rsidRPr="00E273EE">
              <w:rPr>
                <w:rFonts w:asciiTheme="minorEastAsia" w:eastAsiaTheme="minorEastAsia" w:hAnsiTheme="minorEastAsia" w:cs="宋体" w:hint="eastAsia"/>
                <w:b/>
              </w:rPr>
              <w:t>半年度</w:t>
            </w:r>
            <w:r w:rsidR="00C87AE6" w:rsidRPr="00E273EE">
              <w:rPr>
                <w:rFonts w:asciiTheme="minorEastAsia" w:eastAsiaTheme="minorEastAsia" w:hAnsiTheme="minorEastAsia" w:cs="宋体"/>
                <w:b/>
              </w:rPr>
              <w:t>营业收入、净利润变化的主要原因</w:t>
            </w:r>
          </w:p>
          <w:p w14:paraId="4423FC66" w14:textId="1CEFC341" w:rsidR="005B646C" w:rsidRPr="00E273EE" w:rsidRDefault="002A6934" w:rsidP="00F4185A">
            <w:pPr>
              <w:spacing w:line="360" w:lineRule="auto"/>
              <w:ind w:leftChars="64" w:left="141" w:rightChars="64" w:right="141" w:firstLineChars="200" w:firstLine="440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</w:rPr>
              <w:t>2025年</w:t>
            </w:r>
            <w:r w:rsidR="00BB5837" w:rsidRPr="00E273EE">
              <w:rPr>
                <w:rFonts w:asciiTheme="minorEastAsia" w:eastAsiaTheme="minorEastAsia" w:hAnsiTheme="minorEastAsia" w:cs="宋体" w:hint="eastAsia"/>
              </w:rPr>
              <w:t>半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年度</w:t>
            </w:r>
            <w:r w:rsidR="006D12FF" w:rsidRPr="00E273EE">
              <w:rPr>
                <w:rFonts w:asciiTheme="minorEastAsia" w:eastAsiaTheme="minorEastAsia" w:hAnsiTheme="minorEastAsia" w:cs="宋体"/>
              </w:rPr>
              <w:t>，</w:t>
            </w:r>
            <w:r w:rsidR="00CF6FA6" w:rsidRPr="00E273EE">
              <w:rPr>
                <w:rFonts w:asciiTheme="minorEastAsia" w:eastAsiaTheme="minorEastAsia" w:hAnsiTheme="minorEastAsia" w:cs="宋体" w:hint="eastAsia"/>
              </w:rPr>
              <w:t>公司实</w:t>
            </w:r>
            <w:r w:rsidR="00CF6FA6" w:rsidRPr="00FF15E5">
              <w:rPr>
                <w:rFonts w:asciiTheme="minorEastAsia" w:eastAsiaTheme="minorEastAsia" w:hAnsiTheme="minorEastAsia" w:cs="宋体" w:hint="eastAsia"/>
              </w:rPr>
              <w:t>现</w:t>
            </w:r>
            <w:r w:rsidR="008E291F" w:rsidRPr="00FF15E5">
              <w:rPr>
                <w:rFonts w:asciiTheme="minorEastAsia" w:eastAsiaTheme="minorEastAsia" w:hAnsiTheme="minorEastAsia" w:cs="宋体" w:hint="eastAsia"/>
              </w:rPr>
              <w:t>营业</w:t>
            </w:r>
            <w:r w:rsidR="00CF6FA6" w:rsidRPr="00FF15E5">
              <w:rPr>
                <w:rFonts w:asciiTheme="minorEastAsia" w:eastAsiaTheme="minorEastAsia" w:hAnsiTheme="minorEastAsia" w:cs="宋体" w:hint="eastAsia"/>
              </w:rPr>
              <w:t>收入</w:t>
            </w:r>
            <w:r w:rsidR="00BB5837" w:rsidRPr="00FF15E5">
              <w:rPr>
                <w:rFonts w:asciiTheme="minorEastAsia" w:eastAsiaTheme="minorEastAsia" w:hAnsiTheme="minorEastAsia" w:cs="宋体"/>
              </w:rPr>
              <w:t>37.69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亿元，相比去年同期上升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91.00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%，实现净利润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5.31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亿元，</w:t>
            </w:r>
            <w:r w:rsidRPr="00E273EE">
              <w:rPr>
                <w:rFonts w:asciiTheme="minorEastAsia" w:eastAsiaTheme="minorEastAsia" w:hAnsiTheme="minorEastAsia" w:cs="宋体"/>
              </w:rPr>
              <w:t>相比去年同期上升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452.11</w:t>
            </w:r>
            <w:r w:rsidRPr="00E273EE">
              <w:rPr>
                <w:rFonts w:asciiTheme="minorEastAsia" w:eastAsiaTheme="minorEastAsia" w:hAnsiTheme="minorEastAsia" w:cs="宋体"/>
              </w:rPr>
              <w:t>%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。</w:t>
            </w:r>
          </w:p>
          <w:p w14:paraId="57310101" w14:textId="3938C438" w:rsidR="00BB5837" w:rsidRPr="00E273EE" w:rsidRDefault="00AF7B1D" w:rsidP="00F4185A">
            <w:pPr>
              <w:widowControl/>
              <w:spacing w:line="360" w:lineRule="auto"/>
              <w:ind w:leftChars="64" w:left="141" w:rightChars="64" w:right="141" w:firstLineChars="200" w:firstLine="440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</w:rPr>
              <w:t>公司</w:t>
            </w:r>
            <w:r w:rsidRPr="00E273EE">
              <w:rPr>
                <w:rFonts w:asciiTheme="minorEastAsia" w:eastAsiaTheme="minorEastAsia" w:hAnsiTheme="minorEastAsia" w:cs="宋体" w:hint="eastAsia"/>
              </w:rPr>
              <w:t>2</w:t>
            </w:r>
            <w:r w:rsidRPr="00E273EE">
              <w:rPr>
                <w:rFonts w:asciiTheme="minorEastAsia" w:eastAsiaTheme="minorEastAsia" w:hAnsiTheme="minorEastAsia" w:cs="宋体"/>
              </w:rPr>
              <w:t>02</w:t>
            </w:r>
            <w:r w:rsidR="0006455C" w:rsidRPr="00E273EE">
              <w:rPr>
                <w:rFonts w:asciiTheme="minorEastAsia" w:eastAsiaTheme="minorEastAsia" w:hAnsiTheme="minorEastAsia" w:cs="宋体"/>
              </w:rPr>
              <w:t>5</w:t>
            </w:r>
            <w:r w:rsidRPr="00E273EE">
              <w:rPr>
                <w:rFonts w:asciiTheme="minorEastAsia" w:eastAsiaTheme="minorEastAsia" w:hAnsiTheme="minorEastAsia" w:cs="宋体"/>
              </w:rPr>
              <w:t>年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半年度</w:t>
            </w:r>
            <w:r w:rsidR="00B904FC" w:rsidRPr="00E273EE">
              <w:rPr>
                <w:rFonts w:asciiTheme="minorEastAsia" w:eastAsiaTheme="minorEastAsia" w:hAnsiTheme="minorEastAsia" w:cs="宋体"/>
              </w:rPr>
              <w:t>业绩</w:t>
            </w:r>
            <w:r w:rsidR="00370707" w:rsidRPr="00E273EE">
              <w:rPr>
                <w:rFonts w:asciiTheme="minorEastAsia" w:eastAsiaTheme="minorEastAsia" w:hAnsiTheme="minorEastAsia" w:cs="宋体"/>
              </w:rPr>
              <w:t>增长，</w:t>
            </w:r>
            <w:r w:rsidR="00B904FC" w:rsidRPr="00E273EE">
              <w:rPr>
                <w:rFonts w:asciiTheme="minorEastAsia" w:eastAsiaTheme="minorEastAsia" w:hAnsiTheme="minorEastAsia" w:cs="宋体"/>
              </w:rPr>
              <w:t>主要系</w:t>
            </w:r>
            <w:r w:rsidR="00BB5837" w:rsidRPr="00E273EE">
              <w:rPr>
                <w:rFonts w:asciiTheme="minorEastAsia" w:eastAsiaTheme="minorEastAsia" w:hAnsiTheme="minorEastAsia" w:cs="宋体" w:hint="eastAsia"/>
              </w:rPr>
              <w:t>公司紧抓行业发展机遇，持续优化产品结构、稳步推进产能布局调整，着力提升高附加值产品占比，</w:t>
            </w:r>
            <w:r w:rsidR="00BB5837" w:rsidRPr="00E273EE">
              <w:rPr>
                <w:rFonts w:asciiTheme="minorEastAsia" w:eastAsiaTheme="minorEastAsia" w:hAnsiTheme="minorEastAsia" w:cs="宋体" w:hint="eastAsia"/>
              </w:rPr>
              <w:lastRenderedPageBreak/>
              <w:t>进一步巩固了在中高端市场的竞争优势，实现营业收入及净利润较上年同期大幅增长。</w:t>
            </w:r>
          </w:p>
          <w:p w14:paraId="06546035" w14:textId="49324AE2" w:rsidR="0068728E" w:rsidRPr="00E273EE" w:rsidRDefault="00F01C85" w:rsidP="00FD19E8">
            <w:pPr>
              <w:widowControl/>
              <w:spacing w:line="360" w:lineRule="auto"/>
              <w:ind w:leftChars="64" w:left="141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2、</w:t>
            </w:r>
            <w:r w:rsidR="00A7460C" w:rsidRPr="00E273EE">
              <w:rPr>
                <w:rFonts w:asciiTheme="minorEastAsia" w:eastAsiaTheme="minorEastAsia" w:hAnsiTheme="minorEastAsia" w:cs="宋体"/>
                <w:b/>
              </w:rPr>
              <w:t>公司通讯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领域</w:t>
            </w:r>
            <w:r w:rsidR="00A7460C" w:rsidRPr="00E273EE">
              <w:rPr>
                <w:rFonts w:asciiTheme="minorEastAsia" w:eastAsiaTheme="minorEastAsia" w:hAnsiTheme="minorEastAsia" w:cs="宋体"/>
                <w:b/>
              </w:rPr>
              <w:t>产品情况</w:t>
            </w:r>
          </w:p>
          <w:p w14:paraId="47B0C778" w14:textId="330D18B3" w:rsidR="002B3A28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135" w:firstLine="297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根据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Dell'Oro Group预测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，随着技术的进步和需求的增长，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400G端口的份额在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未来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逐渐收缩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市场正逐渐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转向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更高速率的产品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800G端口的份额预计在2025年间超越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4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00G端口，占据主力地位。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另外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1600G端口预计将于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026年迎来爆发性增长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，其份额将实现飞跃式提升。</w:t>
            </w:r>
          </w:p>
          <w:p w14:paraId="15DEF6D6" w14:textId="29C69920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目前公司持续深耕</w:t>
            </w:r>
            <w:r w:rsidR="00E273EE"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800G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高速交换机市场，业务发展稳健向好。同时，正与核心客户紧密协同，加速推进下一代</w:t>
            </w:r>
            <w:r w:rsidR="00E273EE"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224G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产品的研发进程，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现已进入打样阶段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。通过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持续的技术创新与产品迭代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，公司致力于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不断超越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市场对高速网络设备的需求预期，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全方位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巩固在网络通信领域的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优势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地位。</w:t>
            </w:r>
          </w:p>
          <w:p w14:paraId="20CFAA44" w14:textId="0990C6BC" w:rsidR="00F1777A" w:rsidRPr="00E273EE" w:rsidRDefault="00F01C85" w:rsidP="00FD19E8">
            <w:pPr>
              <w:pStyle w:val="TableParagraph"/>
              <w:spacing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3、</w:t>
            </w:r>
            <w:r w:rsidR="00D35686" w:rsidRPr="00E273EE">
              <w:rPr>
                <w:rFonts w:asciiTheme="minorEastAsia" w:eastAsiaTheme="minorEastAsia" w:hAnsiTheme="minorEastAsia" w:cs="宋体" w:hint="eastAsia"/>
                <w:b/>
              </w:rPr>
              <w:t>公司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服务器领域产品情况</w:t>
            </w:r>
          </w:p>
          <w:p w14:paraId="26CF4EFC" w14:textId="4879062C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根据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TrendForce最新研究，北美</w:t>
            </w:r>
            <w:proofErr w:type="gramStart"/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大型云计算</w:t>
            </w:r>
            <w:proofErr w:type="gramEnd"/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服务提供商（CSP）仍是AI服务器市场需求扩张的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核心驱动力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叠加Tier-2数据中心及中东、欧洲等地主权云项目的积极推动，市场需求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保持稳健增长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。在北美CSP及OEM客户的持续需求驱动下，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预计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2025年全球AI服务器出货量将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维持两位数增长态势，同比增幅达24.3%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</w:t>
            </w:r>
          </w:p>
          <w:p w14:paraId="5DF028E9" w14:textId="214AF83C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目前，公司持续加码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AI服务器赛道，协同终端客户成功开发更多的AI服务器产品。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相关项目成效卓著，推动公司服务器产品整体销售额占比实现显著跃升。展望未来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公司致力于通过持续的技术升级与能力提升，不断优化产品性能，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精准满足客户对高端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AI服务器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快速迭代升级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的需求，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巩固并提升在此关键领域的核心竞争力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</w:t>
            </w:r>
          </w:p>
          <w:p w14:paraId="7C82C364" w14:textId="0903A021" w:rsidR="0068728E" w:rsidRPr="00E273EE" w:rsidRDefault="003A22AA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4、</w:t>
            </w:r>
            <w:r w:rsidR="00D35686" w:rsidRPr="00E273EE">
              <w:rPr>
                <w:rFonts w:asciiTheme="minorEastAsia" w:eastAsiaTheme="minorEastAsia" w:hAnsiTheme="minorEastAsia" w:cs="宋体" w:hint="eastAsia"/>
                <w:b/>
              </w:rPr>
              <w:t>公司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汽车电子领域产品情况</w:t>
            </w:r>
          </w:p>
          <w:p w14:paraId="5FEB55ED" w14:textId="77777777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在电子信息技术驱动下，汽车电子技术日益成为整车差异化竞争的核心。随着智能化、网联化、电动化“新三化”趋势深化，车载导航、娱乐系统等广泛普及，动力总成等关键系统的电子化日趋成熟并加速向中低端车型渗透。汽车电子在整车成本中的占</w:t>
            </w:r>
            <w:proofErr w:type="gramStart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比持续</w:t>
            </w:r>
            <w:proofErr w:type="gramEnd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提高，预计到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2030年，全球汽车电子占整车价值的比重将达到49.6%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而汽车电子市场预计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到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2028年有望达到6000亿美元左右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</w:p>
          <w:p w14:paraId="31D9B595" w14:textId="7740D5C6" w:rsidR="0067719F" w:rsidRPr="00E273EE" w:rsidRDefault="0067719F" w:rsidP="00F4185A">
            <w:pPr>
              <w:pStyle w:val="TableParagraph"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目前，公司深化与全球汽车电子及电动汽车领域领导者的战略合作，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lastRenderedPageBreak/>
              <w:t>成功在智能辅助驾驶、智能座舱、动力能源等关键技术板块开发了相关产品。其中，自</w:t>
            </w:r>
            <w:proofErr w:type="gramStart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驾域控</w:t>
            </w:r>
            <w:proofErr w:type="gramEnd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、毫米波雷达等相关产品已经成功进入量产阶段。随着更多汽车电子产品的成功开发和市场推广，相关业务上半年订单稳步增长，有力印证了公司领先的市场竞争力和客户的高度认可。</w:t>
            </w:r>
          </w:p>
          <w:p w14:paraId="78710739" w14:textId="71E8D96A" w:rsidR="00A02E25" w:rsidRPr="00E273EE" w:rsidRDefault="00EB30FE" w:rsidP="00E26BA6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bookmarkStart w:id="1" w:name="OLE_LINK1"/>
            <w:bookmarkStart w:id="2" w:name="OLE_LINK2"/>
            <w:r w:rsidRPr="00E273EE">
              <w:rPr>
                <w:rFonts w:asciiTheme="minorEastAsia" w:eastAsiaTheme="minorEastAsia" w:hAnsiTheme="minorEastAsia" w:cs="宋体"/>
                <w:b/>
              </w:rPr>
              <w:t>5</w:t>
            </w:r>
            <w:r w:rsidR="00A02E25" w:rsidRPr="00E273EE">
              <w:rPr>
                <w:rFonts w:asciiTheme="minorEastAsia" w:eastAsiaTheme="minorEastAsia" w:hAnsiTheme="minorEastAsia" w:cs="宋体" w:hint="eastAsia"/>
                <w:b/>
              </w:rPr>
              <w:t>、原材料变动情况以及对公司的影响</w:t>
            </w:r>
          </w:p>
          <w:p w14:paraId="69774995" w14:textId="50E12E46" w:rsidR="00A02E25" w:rsidRPr="00E273EE" w:rsidRDefault="00172483" w:rsidP="00F4185A">
            <w:pPr>
              <w:pStyle w:val="TableParagraph"/>
              <w:spacing w:beforeLines="50" w:before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截至目前，大宗材料价格略有增长，公司将持续关注主要原材料以及大宗商品等的价格走势，及时分析市场供需变化，并根据订单情况、库存情况以及原材料和大宗商品价格波动预测，动态调整公司的供应策略，公司目前的原材料价格整体保持稳定。</w:t>
            </w:r>
          </w:p>
          <w:bookmarkEnd w:id="1"/>
          <w:bookmarkEnd w:id="2"/>
          <w:p w14:paraId="6985A1E4" w14:textId="7BC3E3AC" w:rsidR="00746A6E" w:rsidRPr="00E273EE" w:rsidRDefault="00EB30FE" w:rsidP="00F4185A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6</w:t>
            </w:r>
            <w:r w:rsidR="00746A6E" w:rsidRPr="00E273EE">
              <w:rPr>
                <w:rFonts w:asciiTheme="minorEastAsia" w:eastAsiaTheme="minorEastAsia" w:hAnsiTheme="minorEastAsia" w:cs="宋体" w:hint="eastAsia"/>
                <w:b/>
              </w:rPr>
              <w:t>、公司泰国项目的进展情况</w:t>
            </w:r>
          </w:p>
          <w:p w14:paraId="6937DF24" w14:textId="6380F02B" w:rsidR="00A86AE7" w:rsidRPr="00E273EE" w:rsidRDefault="006F429B" w:rsidP="00F4185A">
            <w:pPr>
              <w:pStyle w:val="TableParagraph"/>
              <w:spacing w:beforeLines="50" w:before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公司泰国</w:t>
            </w:r>
            <w:r w:rsidR="00556EB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生产基地</w:t>
            </w:r>
            <w:r w:rsidR="00397E06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项目于</w:t>
            </w:r>
            <w:r w:rsidR="00397E06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2024年</w:t>
            </w:r>
            <w:r w:rsidR="00397E06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1</w:t>
            </w:r>
            <w:r w:rsidR="00397E06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1月正式动工，截至目前，土建工程稳步推进中，并于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20</w:t>
            </w:r>
            <w:r w:rsidR="00C617C3" w:rsidRPr="00622C8F">
              <w:rPr>
                <w:rFonts w:asciiTheme="minorEastAsia" w:eastAsiaTheme="minorEastAsia" w:hAnsiTheme="minorEastAsia"/>
              </w:rPr>
              <w:t>25年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3</w:t>
            </w:r>
            <w:r w:rsidR="00750BC7" w:rsidRPr="00622C8F">
              <w:rPr>
                <w:rFonts w:asciiTheme="minorEastAsia" w:eastAsiaTheme="minorEastAsia" w:hAnsiTheme="minorEastAsia" w:hint="eastAsia"/>
              </w:rPr>
              <w:t>月</w:t>
            </w:r>
            <w:r w:rsidR="00C617C3" w:rsidRPr="00622C8F">
              <w:rPr>
                <w:rFonts w:asciiTheme="minorEastAsia" w:eastAsiaTheme="minorEastAsia" w:hAnsiTheme="minorEastAsia"/>
              </w:rPr>
              <w:t>收到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泰国投资促进委员会（B</w:t>
            </w:r>
            <w:r w:rsidR="00C617C3" w:rsidRPr="00622C8F">
              <w:rPr>
                <w:rFonts w:asciiTheme="minorEastAsia" w:eastAsiaTheme="minorEastAsia" w:hAnsiTheme="minorEastAsia"/>
              </w:rPr>
              <w:t>OI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）颁发的投资优惠证书</w:t>
            </w:r>
            <w:r w:rsidR="00397E06" w:rsidRPr="00622C8F">
              <w:rPr>
                <w:rFonts w:asciiTheme="minorEastAsia" w:eastAsiaTheme="minorEastAsia" w:hAnsiTheme="minorEastAsia" w:hint="eastAsia"/>
              </w:rPr>
              <w:t>。</w:t>
            </w:r>
            <w:r w:rsidR="00750BC7" w:rsidRPr="00622C8F">
              <w:rPr>
                <w:rFonts w:asciiTheme="minorEastAsia" w:eastAsiaTheme="minorEastAsia" w:hAnsiTheme="minorEastAsia" w:hint="eastAsia"/>
              </w:rPr>
              <w:t>同时，</w:t>
            </w:r>
            <w:r w:rsidR="00A86AE7" w:rsidRPr="00E273EE">
              <w:rPr>
                <w:rFonts w:asciiTheme="minorEastAsia" w:eastAsiaTheme="minorEastAsia" w:hAnsiTheme="minorEastAsia" w:hint="eastAsia"/>
                <w:color w:val="000000" w:themeColor="text1"/>
              </w:rPr>
              <w:t>为保障项目投资安全和顺利运行，在公司集团化、国际化发展规划下，策划、制定和实施泰国公司人力资源策略，逐步建立起多元化团队，在人员储备和培养、项目资源协同、跨境系统搭建、综合风险管控等方面系统策划和协同推进，为公司海外战略布局的落实提供机制保障。</w:t>
            </w:r>
          </w:p>
          <w:p w14:paraId="52923223" w14:textId="62CBB1AF" w:rsidR="004B772B" w:rsidRPr="00E273EE" w:rsidRDefault="00EB30FE" w:rsidP="00F4185A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7</w:t>
            </w:r>
            <w:r w:rsidR="004B772B" w:rsidRPr="00E273EE">
              <w:rPr>
                <w:rFonts w:asciiTheme="minorEastAsia" w:eastAsiaTheme="minorEastAsia" w:hAnsiTheme="minorEastAsia" w:cs="宋体" w:hint="eastAsia"/>
                <w:b/>
              </w:rPr>
              <w:t>、公司</w:t>
            </w:r>
            <w:r w:rsidR="004B772B" w:rsidRPr="00E273EE">
              <w:rPr>
                <w:rFonts w:asciiTheme="minorEastAsia" w:eastAsiaTheme="minorEastAsia" w:hAnsiTheme="minorEastAsia" w:cs="宋体"/>
                <w:b/>
              </w:rPr>
              <w:t>智能算力中心高多层高密互连电路板建设项目的进展情况</w:t>
            </w:r>
          </w:p>
          <w:p w14:paraId="28FA0B6F" w14:textId="1953C320" w:rsidR="00A86AE7" w:rsidRPr="00622C8F" w:rsidRDefault="004B772B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为抓住市场机遇，满足高端产品产能需求，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024年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1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2月公司在现有厂房上启动</w:t>
            </w:r>
            <w:r w:rsidR="002B6025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实施了智能算力中心高多层高密互连电路板建设项目</w:t>
            </w:r>
            <w:r w:rsidR="00A54F31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  <w:r w:rsidR="002B6025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项目计划分两期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实施，</w:t>
            </w:r>
            <w:r w:rsidR="002B6025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第一期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计划年产</w:t>
            </w:r>
            <w:r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1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5万平方米，第二期计划年产</w:t>
            </w:r>
            <w:r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1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0万平方米</w:t>
            </w:r>
            <w:r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</w:p>
          <w:p w14:paraId="13ED5223" w14:textId="763BC338" w:rsidR="00A86AE7" w:rsidRPr="00622C8F" w:rsidRDefault="004B772B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公司全力推进项目</w:t>
            </w:r>
            <w:r w:rsidR="00A86AE7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的</w:t>
            </w:r>
            <w:r w:rsidR="00A86AE7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实施，</w:t>
            </w:r>
            <w:r w:rsidR="00A86AE7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按照既定计划顺利推进项目一期公共设施施工、设备投入、安装与调试等工作，目前项目一期已开始试生产</w:t>
            </w:r>
            <w:r w:rsidR="002B6025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，并提前策划项目二期，</w:t>
            </w:r>
            <w:r w:rsidR="002B6025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以快速响应日益增长的市场需求。</w:t>
            </w:r>
          </w:p>
          <w:p w14:paraId="4D77A8EA" w14:textId="42BE45E0" w:rsidR="00746A6E" w:rsidRPr="00E273EE" w:rsidRDefault="00CA0FD7" w:rsidP="00F4185A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8、</w:t>
            </w:r>
            <w:r w:rsidRPr="00E273EE">
              <w:rPr>
                <w:rFonts w:asciiTheme="minorEastAsia" w:eastAsiaTheme="minorEastAsia" w:hAnsiTheme="minorEastAsia" w:cs="宋体" w:hint="eastAsia"/>
                <w:b/>
              </w:rPr>
              <w:t>投资智能制造高多</w:t>
            </w:r>
            <w:proofErr w:type="gramStart"/>
            <w:r w:rsidRPr="00E273EE">
              <w:rPr>
                <w:rFonts w:asciiTheme="minorEastAsia" w:eastAsiaTheme="minorEastAsia" w:hAnsiTheme="minorEastAsia" w:cs="宋体" w:hint="eastAsia"/>
                <w:b/>
              </w:rPr>
              <w:t>层算力</w:t>
            </w:r>
            <w:proofErr w:type="gramEnd"/>
            <w:r w:rsidRPr="00E273EE">
              <w:rPr>
                <w:rFonts w:asciiTheme="minorEastAsia" w:eastAsiaTheme="minorEastAsia" w:hAnsiTheme="minorEastAsia" w:cs="宋体" w:hint="eastAsia"/>
                <w:b/>
              </w:rPr>
              <w:t>电路板项目的情况</w:t>
            </w:r>
          </w:p>
          <w:p w14:paraId="56CE6165" w14:textId="30514A38" w:rsidR="00092893" w:rsidRDefault="00CA0FD7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鉴于市场需求和生益电子集团产能布局规划需求，</w:t>
            </w:r>
            <w:r w:rsidR="002034A4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公司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拟</w:t>
            </w:r>
            <w:r w:rsidR="00177CEC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在吉安二期项目的基础上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实施投资建设智能制造高多层算力电路板项目，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实现资源重组与</w:t>
            </w:r>
            <w:r w:rsidR="002034A4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产能</w:t>
            </w:r>
            <w:r w:rsid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布局优化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以保障集团整体满足未来中高端订单需求，进一步提升市场响应速度和竞争力。</w:t>
            </w:r>
          </w:p>
          <w:p w14:paraId="188B8129" w14:textId="34AF466A" w:rsidR="00CA0FD7" w:rsidRPr="00E273EE" w:rsidRDefault="0048121C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lastRenderedPageBreak/>
              <w:t>该</w:t>
            </w:r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项目</w:t>
            </w:r>
            <w:r w:rsidR="00622C8F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实施主体为公司全资子公司吉安生益电子有限公司，项目</w:t>
            </w:r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聚焦智能制造高多</w:t>
            </w:r>
            <w:proofErr w:type="gramStart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层算力</w:t>
            </w:r>
            <w:proofErr w:type="gramEnd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电路板领域，旨在满足服务器、高多</w:t>
            </w:r>
            <w:proofErr w:type="gramStart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层网络</w:t>
            </w:r>
            <w:proofErr w:type="gramEnd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通信及快速发展的AI</w:t>
            </w:r>
            <w:proofErr w:type="gramStart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算力等</w:t>
            </w:r>
            <w:proofErr w:type="gramEnd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中高端市场需求。</w:t>
            </w:r>
            <w:r w:rsidR="00092893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项目计划分两阶段实施，</w:t>
            </w:r>
            <w:r w:rsidR="00556EB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其中第一阶段计划</w:t>
            </w:r>
            <w:r w:rsidR="00556EB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="00556EB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026年试生产，第二阶段计划</w:t>
            </w:r>
            <w:r w:rsidR="00556EB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="00556EB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027年试生产。在产能规划上，</w:t>
            </w:r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每阶段各年产35万平方米</w:t>
            </w:r>
            <w:r w:rsidR="00092893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，整体项目</w:t>
            </w:r>
            <w:r w:rsidR="00092893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完成后计划</w:t>
            </w:r>
            <w:r w:rsidR="00092893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年产印制电路板70万平方米</w:t>
            </w:r>
            <w:r w:rsidR="00092893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。</w:t>
            </w:r>
          </w:p>
          <w:p w14:paraId="03F45830" w14:textId="774F4BAF" w:rsidR="00975D86" w:rsidRPr="006339FD" w:rsidRDefault="00975D86" w:rsidP="00F4185A">
            <w:pPr>
              <w:pStyle w:val="TableParagraph"/>
              <w:spacing w:line="360" w:lineRule="auto"/>
              <w:ind w:leftChars="64" w:left="141" w:rightChars="64" w:right="141" w:firstLineChars="200" w:firstLine="442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注：公司严格按照《信息披露管理制度》等规定，保证信息披露的真实、准确、完整、及时、公平</w:t>
            </w:r>
            <w:r w:rsidRPr="00E273EE">
              <w:rPr>
                <w:rFonts w:asciiTheme="minorEastAsia" w:eastAsiaTheme="minorEastAsia" w:hAnsiTheme="minorEastAsia" w:cs="宋体" w:hint="eastAsia"/>
                <w:b/>
              </w:rPr>
              <w:t>，</w:t>
            </w:r>
            <w:r w:rsidRPr="00E273EE">
              <w:rPr>
                <w:rFonts w:asciiTheme="minorEastAsia" w:eastAsiaTheme="minorEastAsia" w:hAnsiTheme="minorEastAsia" w:cs="宋体"/>
                <w:b/>
              </w:rPr>
              <w:t>没有出现未公开重大信息泄露等情况。</w:t>
            </w:r>
          </w:p>
        </w:tc>
      </w:tr>
      <w:tr w:rsidR="00783215" w:rsidRPr="00783215" w14:paraId="6CE35A37" w14:textId="77777777" w:rsidTr="00F215DF">
        <w:trPr>
          <w:trHeight w:val="174"/>
          <w:jc w:val="center"/>
        </w:trPr>
        <w:tc>
          <w:tcPr>
            <w:tcW w:w="1555" w:type="dxa"/>
            <w:vAlign w:val="center"/>
          </w:tcPr>
          <w:p w14:paraId="10475FA2" w14:textId="1D2C9562" w:rsid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附件清单</w:t>
            </w:r>
          </w:p>
          <w:p w14:paraId="0B74F84D" w14:textId="10006E01" w:rsidR="00B94689" w:rsidRP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（如有）</w:t>
            </w:r>
          </w:p>
        </w:tc>
        <w:tc>
          <w:tcPr>
            <w:tcW w:w="7229" w:type="dxa"/>
            <w:vAlign w:val="center"/>
          </w:tcPr>
          <w:p w14:paraId="21664EA2" w14:textId="062C1FA8" w:rsidR="00B94689" w:rsidRPr="00A47089" w:rsidRDefault="00B94689" w:rsidP="0078321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4708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无</w:t>
            </w:r>
          </w:p>
        </w:tc>
      </w:tr>
      <w:tr w:rsidR="00783215" w:rsidRPr="00783215" w14:paraId="2AE9698C" w14:textId="77777777" w:rsidTr="00F215DF">
        <w:trPr>
          <w:trHeight w:val="525"/>
          <w:jc w:val="center"/>
        </w:trPr>
        <w:tc>
          <w:tcPr>
            <w:tcW w:w="1555" w:type="dxa"/>
            <w:vAlign w:val="center"/>
          </w:tcPr>
          <w:p w14:paraId="3442E424" w14:textId="5782ED69" w:rsidR="00F55687" w:rsidRPr="00783215" w:rsidRDefault="00F55687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53705E2" w14:textId="186C3E78" w:rsidR="00F55687" w:rsidRPr="00A47089" w:rsidRDefault="00692FEC" w:rsidP="00622C8F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965A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2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02</w:t>
            </w:r>
            <w:r w:rsidR="004B772B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5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年</w:t>
            </w:r>
            <w:r w:rsidR="00CA0FD7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8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月</w:t>
            </w:r>
            <w:r w:rsidR="00CA0FD7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2</w:t>
            </w:r>
            <w:r w:rsidR="00622C8F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1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14:paraId="68FC583C" w14:textId="28094D46" w:rsidR="00922867" w:rsidRPr="00783215" w:rsidRDefault="00922867" w:rsidP="00A41A26">
      <w:pPr>
        <w:widowControl/>
        <w:autoSpaceDE/>
        <w:autoSpaceDN/>
        <w:spacing w:line="360" w:lineRule="auto"/>
        <w:rPr>
          <w:rFonts w:asciiTheme="minorEastAsia" w:eastAsiaTheme="minorEastAsia" w:hAnsiTheme="minorEastAsia" w:cs="宋体"/>
          <w:sz w:val="21"/>
          <w:szCs w:val="21"/>
        </w:rPr>
      </w:pPr>
    </w:p>
    <w:sectPr w:rsidR="00922867" w:rsidRPr="00783215" w:rsidSect="00783215">
      <w:footerReference w:type="default" r:id="rId9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D9FE0" w14:textId="77777777" w:rsidR="0000253D" w:rsidRDefault="0000253D" w:rsidP="00922867">
      <w:r>
        <w:separator/>
      </w:r>
    </w:p>
  </w:endnote>
  <w:endnote w:type="continuationSeparator" w:id="0">
    <w:p w14:paraId="384257F2" w14:textId="77777777" w:rsidR="0000253D" w:rsidRDefault="0000253D" w:rsidP="0092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88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06FBF" w14:textId="1FAA205A" w:rsidR="00C914BF" w:rsidRDefault="00C914BF">
            <w:pPr>
              <w:pStyle w:val="a5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F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F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134B5" w14:textId="77777777" w:rsidR="00C914BF" w:rsidRDefault="00C91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C371F" w14:textId="77777777" w:rsidR="0000253D" w:rsidRDefault="0000253D" w:rsidP="00922867">
      <w:r>
        <w:separator/>
      </w:r>
    </w:p>
  </w:footnote>
  <w:footnote w:type="continuationSeparator" w:id="0">
    <w:p w14:paraId="1BCE3F17" w14:textId="77777777" w:rsidR="0000253D" w:rsidRDefault="0000253D" w:rsidP="0092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37F"/>
    <w:multiLevelType w:val="hybridMultilevel"/>
    <w:tmpl w:val="83863654"/>
    <w:lvl w:ilvl="0" w:tplc="18C807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E07AF"/>
    <w:multiLevelType w:val="hybridMultilevel"/>
    <w:tmpl w:val="888AAE7C"/>
    <w:lvl w:ilvl="0" w:tplc="3DAA2602">
      <w:start w:val="2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A326011"/>
    <w:multiLevelType w:val="multilevel"/>
    <w:tmpl w:val="6A32601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83310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A34077"/>
    <w:multiLevelType w:val="hybridMultilevel"/>
    <w:tmpl w:val="B6BA7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1A5C46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90E4D"/>
    <w:multiLevelType w:val="hybridMultilevel"/>
    <w:tmpl w:val="1BDC0570"/>
    <w:lvl w:ilvl="0" w:tplc="FA8EE4E8">
      <w:start w:val="1"/>
      <w:numFmt w:val="chi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05"/>
    <w:rsid w:val="000006FE"/>
    <w:rsid w:val="000022A9"/>
    <w:rsid w:val="00002306"/>
    <w:rsid w:val="000023BA"/>
    <w:rsid w:val="0000253D"/>
    <w:rsid w:val="00002627"/>
    <w:rsid w:val="00002A21"/>
    <w:rsid w:val="00004032"/>
    <w:rsid w:val="000078BF"/>
    <w:rsid w:val="000128F0"/>
    <w:rsid w:val="00015F87"/>
    <w:rsid w:val="00021591"/>
    <w:rsid w:val="00023089"/>
    <w:rsid w:val="00023495"/>
    <w:rsid w:val="000246E1"/>
    <w:rsid w:val="00025557"/>
    <w:rsid w:val="000267CA"/>
    <w:rsid w:val="000270B6"/>
    <w:rsid w:val="00030DDB"/>
    <w:rsid w:val="00035675"/>
    <w:rsid w:val="00041EAA"/>
    <w:rsid w:val="00044429"/>
    <w:rsid w:val="000479A3"/>
    <w:rsid w:val="00047B5E"/>
    <w:rsid w:val="00050478"/>
    <w:rsid w:val="00050D86"/>
    <w:rsid w:val="000511D5"/>
    <w:rsid w:val="000524D4"/>
    <w:rsid w:val="00054C12"/>
    <w:rsid w:val="000555E1"/>
    <w:rsid w:val="00055738"/>
    <w:rsid w:val="000559E7"/>
    <w:rsid w:val="00060033"/>
    <w:rsid w:val="0006455C"/>
    <w:rsid w:val="000651B1"/>
    <w:rsid w:val="000660B4"/>
    <w:rsid w:val="000666A8"/>
    <w:rsid w:val="0007041D"/>
    <w:rsid w:val="000725E3"/>
    <w:rsid w:val="00072BC4"/>
    <w:rsid w:val="00073178"/>
    <w:rsid w:val="00074262"/>
    <w:rsid w:val="00074D9A"/>
    <w:rsid w:val="00083F3C"/>
    <w:rsid w:val="00085338"/>
    <w:rsid w:val="000869F2"/>
    <w:rsid w:val="00086A12"/>
    <w:rsid w:val="00092893"/>
    <w:rsid w:val="00092B47"/>
    <w:rsid w:val="0009475A"/>
    <w:rsid w:val="00094F98"/>
    <w:rsid w:val="000A165D"/>
    <w:rsid w:val="000A4625"/>
    <w:rsid w:val="000A4EEE"/>
    <w:rsid w:val="000A6AD9"/>
    <w:rsid w:val="000A7F06"/>
    <w:rsid w:val="000B04F3"/>
    <w:rsid w:val="000B2C37"/>
    <w:rsid w:val="000B400F"/>
    <w:rsid w:val="000B42F2"/>
    <w:rsid w:val="000B431B"/>
    <w:rsid w:val="000B56E1"/>
    <w:rsid w:val="000C2E59"/>
    <w:rsid w:val="000C4BE7"/>
    <w:rsid w:val="000C5209"/>
    <w:rsid w:val="000D01E4"/>
    <w:rsid w:val="000D2FCF"/>
    <w:rsid w:val="000D6CC4"/>
    <w:rsid w:val="000E39A2"/>
    <w:rsid w:val="000E70FC"/>
    <w:rsid w:val="000E7798"/>
    <w:rsid w:val="000F19A3"/>
    <w:rsid w:val="000F5C76"/>
    <w:rsid w:val="00101909"/>
    <w:rsid w:val="00103048"/>
    <w:rsid w:val="001055ED"/>
    <w:rsid w:val="00107C14"/>
    <w:rsid w:val="00110219"/>
    <w:rsid w:val="00111C9B"/>
    <w:rsid w:val="0011294B"/>
    <w:rsid w:val="00112C2F"/>
    <w:rsid w:val="0011719F"/>
    <w:rsid w:val="00124A87"/>
    <w:rsid w:val="001257F8"/>
    <w:rsid w:val="00125DB6"/>
    <w:rsid w:val="001340ED"/>
    <w:rsid w:val="00134D49"/>
    <w:rsid w:val="00136145"/>
    <w:rsid w:val="00136BC8"/>
    <w:rsid w:val="00142283"/>
    <w:rsid w:val="00142C49"/>
    <w:rsid w:val="00143676"/>
    <w:rsid w:val="00143DFE"/>
    <w:rsid w:val="00144078"/>
    <w:rsid w:val="00144B0C"/>
    <w:rsid w:val="00145CC1"/>
    <w:rsid w:val="00146143"/>
    <w:rsid w:val="001464B0"/>
    <w:rsid w:val="00150550"/>
    <w:rsid w:val="0015175E"/>
    <w:rsid w:val="001542A4"/>
    <w:rsid w:val="0015437B"/>
    <w:rsid w:val="00155C6F"/>
    <w:rsid w:val="00157ED2"/>
    <w:rsid w:val="00160E7B"/>
    <w:rsid w:val="0016188E"/>
    <w:rsid w:val="00162B06"/>
    <w:rsid w:val="00162E0F"/>
    <w:rsid w:val="00163A2E"/>
    <w:rsid w:val="00164446"/>
    <w:rsid w:val="001646B0"/>
    <w:rsid w:val="00170898"/>
    <w:rsid w:val="00172483"/>
    <w:rsid w:val="00172F43"/>
    <w:rsid w:val="001754B1"/>
    <w:rsid w:val="001775E7"/>
    <w:rsid w:val="00177CEC"/>
    <w:rsid w:val="00181021"/>
    <w:rsid w:val="001816E9"/>
    <w:rsid w:val="00181B1D"/>
    <w:rsid w:val="00181FC0"/>
    <w:rsid w:val="00182B64"/>
    <w:rsid w:val="00183B3F"/>
    <w:rsid w:val="0018530A"/>
    <w:rsid w:val="0019263E"/>
    <w:rsid w:val="00192CDD"/>
    <w:rsid w:val="0019497A"/>
    <w:rsid w:val="001958EE"/>
    <w:rsid w:val="00195DEB"/>
    <w:rsid w:val="00196E61"/>
    <w:rsid w:val="001A0E07"/>
    <w:rsid w:val="001A0FC2"/>
    <w:rsid w:val="001A1C62"/>
    <w:rsid w:val="001A6184"/>
    <w:rsid w:val="001A73A4"/>
    <w:rsid w:val="001A77D7"/>
    <w:rsid w:val="001B0737"/>
    <w:rsid w:val="001B293A"/>
    <w:rsid w:val="001B4AD2"/>
    <w:rsid w:val="001B6464"/>
    <w:rsid w:val="001B770D"/>
    <w:rsid w:val="001C1FD7"/>
    <w:rsid w:val="001C6377"/>
    <w:rsid w:val="001D039F"/>
    <w:rsid w:val="001D1093"/>
    <w:rsid w:val="001D12E0"/>
    <w:rsid w:val="001D1E31"/>
    <w:rsid w:val="001D455F"/>
    <w:rsid w:val="001D4EBA"/>
    <w:rsid w:val="001D54CC"/>
    <w:rsid w:val="001D5A82"/>
    <w:rsid w:val="001D5EB6"/>
    <w:rsid w:val="001D5FD9"/>
    <w:rsid w:val="001E2166"/>
    <w:rsid w:val="001E2BA8"/>
    <w:rsid w:val="001E43AF"/>
    <w:rsid w:val="001E5F49"/>
    <w:rsid w:val="001E655B"/>
    <w:rsid w:val="001E69CB"/>
    <w:rsid w:val="001F2C72"/>
    <w:rsid w:val="001F3050"/>
    <w:rsid w:val="001F6D5D"/>
    <w:rsid w:val="001F70D8"/>
    <w:rsid w:val="001F7E32"/>
    <w:rsid w:val="002034A4"/>
    <w:rsid w:val="002036A9"/>
    <w:rsid w:val="0021026D"/>
    <w:rsid w:val="00212546"/>
    <w:rsid w:val="002169E6"/>
    <w:rsid w:val="002226E6"/>
    <w:rsid w:val="00227377"/>
    <w:rsid w:val="00227B20"/>
    <w:rsid w:val="002321F2"/>
    <w:rsid w:val="00232208"/>
    <w:rsid w:val="00232DB2"/>
    <w:rsid w:val="00233E99"/>
    <w:rsid w:val="002353F1"/>
    <w:rsid w:val="0023573D"/>
    <w:rsid w:val="002358BF"/>
    <w:rsid w:val="002371A2"/>
    <w:rsid w:val="002416A8"/>
    <w:rsid w:val="00243D7B"/>
    <w:rsid w:val="00245B9A"/>
    <w:rsid w:val="00246BF7"/>
    <w:rsid w:val="002479DF"/>
    <w:rsid w:val="00247B2F"/>
    <w:rsid w:val="00253768"/>
    <w:rsid w:val="00254F21"/>
    <w:rsid w:val="00256253"/>
    <w:rsid w:val="00257862"/>
    <w:rsid w:val="00262232"/>
    <w:rsid w:val="00273B89"/>
    <w:rsid w:val="002747A8"/>
    <w:rsid w:val="00277501"/>
    <w:rsid w:val="00277D9B"/>
    <w:rsid w:val="00280281"/>
    <w:rsid w:val="00280617"/>
    <w:rsid w:val="00280EA2"/>
    <w:rsid w:val="00281EAE"/>
    <w:rsid w:val="002824D0"/>
    <w:rsid w:val="0028632C"/>
    <w:rsid w:val="002869B4"/>
    <w:rsid w:val="002924B9"/>
    <w:rsid w:val="0029472A"/>
    <w:rsid w:val="00295894"/>
    <w:rsid w:val="00296A86"/>
    <w:rsid w:val="002971AC"/>
    <w:rsid w:val="00297A57"/>
    <w:rsid w:val="002A1A41"/>
    <w:rsid w:val="002A4054"/>
    <w:rsid w:val="002A50B5"/>
    <w:rsid w:val="002A6934"/>
    <w:rsid w:val="002B37C2"/>
    <w:rsid w:val="002B3A28"/>
    <w:rsid w:val="002B446A"/>
    <w:rsid w:val="002B5E83"/>
    <w:rsid w:val="002B6025"/>
    <w:rsid w:val="002B606F"/>
    <w:rsid w:val="002C1A23"/>
    <w:rsid w:val="002C415D"/>
    <w:rsid w:val="002C6A03"/>
    <w:rsid w:val="002C7836"/>
    <w:rsid w:val="002D4B4A"/>
    <w:rsid w:val="002D5ABB"/>
    <w:rsid w:val="002D718C"/>
    <w:rsid w:val="002E05A8"/>
    <w:rsid w:val="002E298A"/>
    <w:rsid w:val="002E30C2"/>
    <w:rsid w:val="002E468F"/>
    <w:rsid w:val="002E6925"/>
    <w:rsid w:val="002F2DDE"/>
    <w:rsid w:val="002F2F3E"/>
    <w:rsid w:val="002F3C0C"/>
    <w:rsid w:val="002F4CED"/>
    <w:rsid w:val="00303440"/>
    <w:rsid w:val="00304432"/>
    <w:rsid w:val="0030642E"/>
    <w:rsid w:val="00307E5D"/>
    <w:rsid w:val="003103C0"/>
    <w:rsid w:val="00310C81"/>
    <w:rsid w:val="00311A2A"/>
    <w:rsid w:val="003120EF"/>
    <w:rsid w:val="00313913"/>
    <w:rsid w:val="00314EDC"/>
    <w:rsid w:val="00316D6A"/>
    <w:rsid w:val="00321C73"/>
    <w:rsid w:val="003226DA"/>
    <w:rsid w:val="00322BDA"/>
    <w:rsid w:val="0032456E"/>
    <w:rsid w:val="00325189"/>
    <w:rsid w:val="00325FB7"/>
    <w:rsid w:val="00327EBE"/>
    <w:rsid w:val="003306F0"/>
    <w:rsid w:val="003318A0"/>
    <w:rsid w:val="003318EA"/>
    <w:rsid w:val="00332637"/>
    <w:rsid w:val="003336EC"/>
    <w:rsid w:val="00333FCE"/>
    <w:rsid w:val="00336C99"/>
    <w:rsid w:val="00337147"/>
    <w:rsid w:val="00337B9A"/>
    <w:rsid w:val="00340C5B"/>
    <w:rsid w:val="00341863"/>
    <w:rsid w:val="0034274E"/>
    <w:rsid w:val="0034291C"/>
    <w:rsid w:val="00343E91"/>
    <w:rsid w:val="003450DC"/>
    <w:rsid w:val="00345420"/>
    <w:rsid w:val="00345F48"/>
    <w:rsid w:val="003475D3"/>
    <w:rsid w:val="00352024"/>
    <w:rsid w:val="003531DE"/>
    <w:rsid w:val="003557C1"/>
    <w:rsid w:val="00356974"/>
    <w:rsid w:val="00356EF0"/>
    <w:rsid w:val="00360288"/>
    <w:rsid w:val="0036419E"/>
    <w:rsid w:val="00364FDC"/>
    <w:rsid w:val="00370707"/>
    <w:rsid w:val="00371C3A"/>
    <w:rsid w:val="00373449"/>
    <w:rsid w:val="003752F8"/>
    <w:rsid w:val="003759FF"/>
    <w:rsid w:val="00381561"/>
    <w:rsid w:val="00382D68"/>
    <w:rsid w:val="00383A47"/>
    <w:rsid w:val="00383B22"/>
    <w:rsid w:val="00385228"/>
    <w:rsid w:val="0038532E"/>
    <w:rsid w:val="003912CB"/>
    <w:rsid w:val="003921F9"/>
    <w:rsid w:val="003923B6"/>
    <w:rsid w:val="00392E88"/>
    <w:rsid w:val="00393250"/>
    <w:rsid w:val="003934DA"/>
    <w:rsid w:val="003938DD"/>
    <w:rsid w:val="003944CB"/>
    <w:rsid w:val="00396432"/>
    <w:rsid w:val="00397BC3"/>
    <w:rsid w:val="00397E06"/>
    <w:rsid w:val="003A0971"/>
    <w:rsid w:val="003A22AA"/>
    <w:rsid w:val="003A5373"/>
    <w:rsid w:val="003B0E50"/>
    <w:rsid w:val="003B2CBA"/>
    <w:rsid w:val="003B499E"/>
    <w:rsid w:val="003B5E04"/>
    <w:rsid w:val="003C0320"/>
    <w:rsid w:val="003C3060"/>
    <w:rsid w:val="003C3394"/>
    <w:rsid w:val="003C4035"/>
    <w:rsid w:val="003C42D1"/>
    <w:rsid w:val="003C4AAB"/>
    <w:rsid w:val="003D1932"/>
    <w:rsid w:val="003D3783"/>
    <w:rsid w:val="003D397B"/>
    <w:rsid w:val="003D422A"/>
    <w:rsid w:val="003D5BA2"/>
    <w:rsid w:val="003D6D68"/>
    <w:rsid w:val="003D7E51"/>
    <w:rsid w:val="003E13C9"/>
    <w:rsid w:val="003E147A"/>
    <w:rsid w:val="003E399D"/>
    <w:rsid w:val="003E59E1"/>
    <w:rsid w:val="003E7F9D"/>
    <w:rsid w:val="003F0F69"/>
    <w:rsid w:val="003F4483"/>
    <w:rsid w:val="003F5680"/>
    <w:rsid w:val="003F6080"/>
    <w:rsid w:val="004031CD"/>
    <w:rsid w:val="0040370E"/>
    <w:rsid w:val="00404FD2"/>
    <w:rsid w:val="004053A6"/>
    <w:rsid w:val="004108E7"/>
    <w:rsid w:val="00412DA8"/>
    <w:rsid w:val="00413C66"/>
    <w:rsid w:val="004174EE"/>
    <w:rsid w:val="004179F9"/>
    <w:rsid w:val="00420065"/>
    <w:rsid w:val="00421A72"/>
    <w:rsid w:val="00422DFD"/>
    <w:rsid w:val="00423499"/>
    <w:rsid w:val="004241C2"/>
    <w:rsid w:val="00425F9C"/>
    <w:rsid w:val="00425FE2"/>
    <w:rsid w:val="0043006E"/>
    <w:rsid w:val="00431D8F"/>
    <w:rsid w:val="00433479"/>
    <w:rsid w:val="0043390F"/>
    <w:rsid w:val="00433F3B"/>
    <w:rsid w:val="0043434A"/>
    <w:rsid w:val="0043587A"/>
    <w:rsid w:val="00435AAA"/>
    <w:rsid w:val="004368BB"/>
    <w:rsid w:val="00436963"/>
    <w:rsid w:val="00436E51"/>
    <w:rsid w:val="00437E08"/>
    <w:rsid w:val="004402C4"/>
    <w:rsid w:val="004403C0"/>
    <w:rsid w:val="00440D25"/>
    <w:rsid w:val="00441718"/>
    <w:rsid w:val="00441C75"/>
    <w:rsid w:val="00442450"/>
    <w:rsid w:val="004434DF"/>
    <w:rsid w:val="00443CC1"/>
    <w:rsid w:val="00443EE1"/>
    <w:rsid w:val="00444BF4"/>
    <w:rsid w:val="00446579"/>
    <w:rsid w:val="00447407"/>
    <w:rsid w:val="00447732"/>
    <w:rsid w:val="00452CB2"/>
    <w:rsid w:val="00454BA2"/>
    <w:rsid w:val="00460212"/>
    <w:rsid w:val="004641C3"/>
    <w:rsid w:val="004651B3"/>
    <w:rsid w:val="00467422"/>
    <w:rsid w:val="00470A85"/>
    <w:rsid w:val="00472A32"/>
    <w:rsid w:val="00472CD5"/>
    <w:rsid w:val="004808B0"/>
    <w:rsid w:val="004810C6"/>
    <w:rsid w:val="0048121C"/>
    <w:rsid w:val="004860D1"/>
    <w:rsid w:val="00487F27"/>
    <w:rsid w:val="00490F1A"/>
    <w:rsid w:val="00491309"/>
    <w:rsid w:val="00491789"/>
    <w:rsid w:val="004A0AAC"/>
    <w:rsid w:val="004A1365"/>
    <w:rsid w:val="004A1CEB"/>
    <w:rsid w:val="004A3140"/>
    <w:rsid w:val="004A384E"/>
    <w:rsid w:val="004A497A"/>
    <w:rsid w:val="004A6097"/>
    <w:rsid w:val="004A7FE2"/>
    <w:rsid w:val="004B065F"/>
    <w:rsid w:val="004B1341"/>
    <w:rsid w:val="004B1CF7"/>
    <w:rsid w:val="004B2319"/>
    <w:rsid w:val="004B50C2"/>
    <w:rsid w:val="004B772B"/>
    <w:rsid w:val="004C0B5D"/>
    <w:rsid w:val="004C13D7"/>
    <w:rsid w:val="004C1724"/>
    <w:rsid w:val="004C2C80"/>
    <w:rsid w:val="004C5602"/>
    <w:rsid w:val="004C5C73"/>
    <w:rsid w:val="004C646D"/>
    <w:rsid w:val="004C688C"/>
    <w:rsid w:val="004D475E"/>
    <w:rsid w:val="004D4DC4"/>
    <w:rsid w:val="004D7718"/>
    <w:rsid w:val="004D79F6"/>
    <w:rsid w:val="004E16E7"/>
    <w:rsid w:val="004E1918"/>
    <w:rsid w:val="004E1C43"/>
    <w:rsid w:val="004E2B2E"/>
    <w:rsid w:val="004E5C88"/>
    <w:rsid w:val="004E5ECD"/>
    <w:rsid w:val="004E768D"/>
    <w:rsid w:val="004F2627"/>
    <w:rsid w:val="004F4F70"/>
    <w:rsid w:val="004F6137"/>
    <w:rsid w:val="004F7CFA"/>
    <w:rsid w:val="004F7FBB"/>
    <w:rsid w:val="005025EE"/>
    <w:rsid w:val="005059C2"/>
    <w:rsid w:val="0050701A"/>
    <w:rsid w:val="0051026F"/>
    <w:rsid w:val="00511554"/>
    <w:rsid w:val="00512007"/>
    <w:rsid w:val="00512339"/>
    <w:rsid w:val="00512ED0"/>
    <w:rsid w:val="00516617"/>
    <w:rsid w:val="0051673E"/>
    <w:rsid w:val="00520C06"/>
    <w:rsid w:val="00531F41"/>
    <w:rsid w:val="00535412"/>
    <w:rsid w:val="005370B4"/>
    <w:rsid w:val="005405DA"/>
    <w:rsid w:val="005407B0"/>
    <w:rsid w:val="005415F6"/>
    <w:rsid w:val="00541F38"/>
    <w:rsid w:val="00541F9B"/>
    <w:rsid w:val="00541FDE"/>
    <w:rsid w:val="00543185"/>
    <w:rsid w:val="00543192"/>
    <w:rsid w:val="0054399E"/>
    <w:rsid w:val="005478A0"/>
    <w:rsid w:val="00551367"/>
    <w:rsid w:val="00551DFB"/>
    <w:rsid w:val="00555567"/>
    <w:rsid w:val="00556E37"/>
    <w:rsid w:val="00556EBE"/>
    <w:rsid w:val="00561EDE"/>
    <w:rsid w:val="00563F2D"/>
    <w:rsid w:val="0056501F"/>
    <w:rsid w:val="00575559"/>
    <w:rsid w:val="00575CF6"/>
    <w:rsid w:val="0057655A"/>
    <w:rsid w:val="00577C3E"/>
    <w:rsid w:val="005809D3"/>
    <w:rsid w:val="00580BCA"/>
    <w:rsid w:val="00581B41"/>
    <w:rsid w:val="005823B8"/>
    <w:rsid w:val="00582906"/>
    <w:rsid w:val="005829D5"/>
    <w:rsid w:val="0058414D"/>
    <w:rsid w:val="00584232"/>
    <w:rsid w:val="005843D3"/>
    <w:rsid w:val="00584F01"/>
    <w:rsid w:val="00591BA5"/>
    <w:rsid w:val="00592BF7"/>
    <w:rsid w:val="00594F2F"/>
    <w:rsid w:val="005A14FA"/>
    <w:rsid w:val="005A1D2B"/>
    <w:rsid w:val="005A63EC"/>
    <w:rsid w:val="005B29B5"/>
    <w:rsid w:val="005B41C8"/>
    <w:rsid w:val="005B4CE6"/>
    <w:rsid w:val="005B646C"/>
    <w:rsid w:val="005B767B"/>
    <w:rsid w:val="005B7F09"/>
    <w:rsid w:val="005C0CB3"/>
    <w:rsid w:val="005C0DE8"/>
    <w:rsid w:val="005C1326"/>
    <w:rsid w:val="005C214A"/>
    <w:rsid w:val="005C2D81"/>
    <w:rsid w:val="005C2E48"/>
    <w:rsid w:val="005C4F6A"/>
    <w:rsid w:val="005C5142"/>
    <w:rsid w:val="005C54EE"/>
    <w:rsid w:val="005C5A7D"/>
    <w:rsid w:val="005D1459"/>
    <w:rsid w:val="005D200A"/>
    <w:rsid w:val="005D45A8"/>
    <w:rsid w:val="005D4F2F"/>
    <w:rsid w:val="005D64E0"/>
    <w:rsid w:val="005D7E0D"/>
    <w:rsid w:val="005D7FDD"/>
    <w:rsid w:val="005E3F24"/>
    <w:rsid w:val="005E4E3A"/>
    <w:rsid w:val="005F5349"/>
    <w:rsid w:val="005F5C25"/>
    <w:rsid w:val="005F609D"/>
    <w:rsid w:val="00601064"/>
    <w:rsid w:val="006014F2"/>
    <w:rsid w:val="00602D53"/>
    <w:rsid w:val="0060457D"/>
    <w:rsid w:val="0061038E"/>
    <w:rsid w:val="00610B98"/>
    <w:rsid w:val="00610E8E"/>
    <w:rsid w:val="00610E90"/>
    <w:rsid w:val="0061364F"/>
    <w:rsid w:val="006137FC"/>
    <w:rsid w:val="006143DB"/>
    <w:rsid w:val="00614E52"/>
    <w:rsid w:val="0062177E"/>
    <w:rsid w:val="006226C3"/>
    <w:rsid w:val="00622C8F"/>
    <w:rsid w:val="00622FEA"/>
    <w:rsid w:val="00632012"/>
    <w:rsid w:val="006339FD"/>
    <w:rsid w:val="00633B99"/>
    <w:rsid w:val="006404A1"/>
    <w:rsid w:val="00641459"/>
    <w:rsid w:val="006443D6"/>
    <w:rsid w:val="006468E7"/>
    <w:rsid w:val="00650C35"/>
    <w:rsid w:val="00652724"/>
    <w:rsid w:val="006527E8"/>
    <w:rsid w:val="006561F0"/>
    <w:rsid w:val="00656AF6"/>
    <w:rsid w:val="00662CB2"/>
    <w:rsid w:val="006637A4"/>
    <w:rsid w:val="006662B7"/>
    <w:rsid w:val="006667EE"/>
    <w:rsid w:val="006673BA"/>
    <w:rsid w:val="0066791F"/>
    <w:rsid w:val="00670B2C"/>
    <w:rsid w:val="00670DFC"/>
    <w:rsid w:val="006723A1"/>
    <w:rsid w:val="006729E6"/>
    <w:rsid w:val="00674898"/>
    <w:rsid w:val="006750DC"/>
    <w:rsid w:val="00675D7F"/>
    <w:rsid w:val="0067719F"/>
    <w:rsid w:val="006773CA"/>
    <w:rsid w:val="0067772B"/>
    <w:rsid w:val="00677857"/>
    <w:rsid w:val="0068216C"/>
    <w:rsid w:val="006823F8"/>
    <w:rsid w:val="00682965"/>
    <w:rsid w:val="006833A4"/>
    <w:rsid w:val="00685F77"/>
    <w:rsid w:val="0068606D"/>
    <w:rsid w:val="0068728E"/>
    <w:rsid w:val="00691D22"/>
    <w:rsid w:val="00692FEC"/>
    <w:rsid w:val="00695C0F"/>
    <w:rsid w:val="006A5330"/>
    <w:rsid w:val="006A67C2"/>
    <w:rsid w:val="006A79B2"/>
    <w:rsid w:val="006B188E"/>
    <w:rsid w:val="006B26B7"/>
    <w:rsid w:val="006B363D"/>
    <w:rsid w:val="006B424A"/>
    <w:rsid w:val="006B4B63"/>
    <w:rsid w:val="006B6774"/>
    <w:rsid w:val="006C0AD9"/>
    <w:rsid w:val="006C0CFC"/>
    <w:rsid w:val="006C51DD"/>
    <w:rsid w:val="006C65D1"/>
    <w:rsid w:val="006C6BA2"/>
    <w:rsid w:val="006D12FF"/>
    <w:rsid w:val="006D152E"/>
    <w:rsid w:val="006D3540"/>
    <w:rsid w:val="006D3707"/>
    <w:rsid w:val="006D37F1"/>
    <w:rsid w:val="006D3922"/>
    <w:rsid w:val="006D3BED"/>
    <w:rsid w:val="006D48F3"/>
    <w:rsid w:val="006D5D04"/>
    <w:rsid w:val="006D7210"/>
    <w:rsid w:val="006E4694"/>
    <w:rsid w:val="006F064F"/>
    <w:rsid w:val="006F2BFE"/>
    <w:rsid w:val="006F34F0"/>
    <w:rsid w:val="006F429B"/>
    <w:rsid w:val="006F431E"/>
    <w:rsid w:val="006F7EF6"/>
    <w:rsid w:val="0070376E"/>
    <w:rsid w:val="00703FD9"/>
    <w:rsid w:val="00704F9B"/>
    <w:rsid w:val="00707737"/>
    <w:rsid w:val="007101B3"/>
    <w:rsid w:val="007114BB"/>
    <w:rsid w:val="007151CE"/>
    <w:rsid w:val="0071521F"/>
    <w:rsid w:val="00715E54"/>
    <w:rsid w:val="0071671B"/>
    <w:rsid w:val="007215A4"/>
    <w:rsid w:val="007229EA"/>
    <w:rsid w:val="00724C3E"/>
    <w:rsid w:val="007263E2"/>
    <w:rsid w:val="00726752"/>
    <w:rsid w:val="007273B3"/>
    <w:rsid w:val="007318EF"/>
    <w:rsid w:val="0073307B"/>
    <w:rsid w:val="00733A6B"/>
    <w:rsid w:val="00735A02"/>
    <w:rsid w:val="00735E6A"/>
    <w:rsid w:val="00735F35"/>
    <w:rsid w:val="007371DA"/>
    <w:rsid w:val="007412DD"/>
    <w:rsid w:val="0074658F"/>
    <w:rsid w:val="00746A6E"/>
    <w:rsid w:val="00747216"/>
    <w:rsid w:val="00747796"/>
    <w:rsid w:val="00750BC7"/>
    <w:rsid w:val="00750C80"/>
    <w:rsid w:val="00752A10"/>
    <w:rsid w:val="00753A90"/>
    <w:rsid w:val="007555C7"/>
    <w:rsid w:val="007619AE"/>
    <w:rsid w:val="00766D78"/>
    <w:rsid w:val="0076711F"/>
    <w:rsid w:val="00767A96"/>
    <w:rsid w:val="00770B57"/>
    <w:rsid w:val="00772253"/>
    <w:rsid w:val="00773BDB"/>
    <w:rsid w:val="00774617"/>
    <w:rsid w:val="00774CF5"/>
    <w:rsid w:val="0077672F"/>
    <w:rsid w:val="007776CE"/>
    <w:rsid w:val="00777C53"/>
    <w:rsid w:val="00777CB4"/>
    <w:rsid w:val="007810D6"/>
    <w:rsid w:val="007817F8"/>
    <w:rsid w:val="00783215"/>
    <w:rsid w:val="00785382"/>
    <w:rsid w:val="00785D89"/>
    <w:rsid w:val="00791133"/>
    <w:rsid w:val="00791808"/>
    <w:rsid w:val="0079249A"/>
    <w:rsid w:val="0079327B"/>
    <w:rsid w:val="007950B3"/>
    <w:rsid w:val="00797918"/>
    <w:rsid w:val="00797D61"/>
    <w:rsid w:val="007A26E3"/>
    <w:rsid w:val="007A2FBA"/>
    <w:rsid w:val="007A75B9"/>
    <w:rsid w:val="007A7744"/>
    <w:rsid w:val="007B1979"/>
    <w:rsid w:val="007B1DA7"/>
    <w:rsid w:val="007B34F0"/>
    <w:rsid w:val="007B3D1E"/>
    <w:rsid w:val="007B49FB"/>
    <w:rsid w:val="007B4C1B"/>
    <w:rsid w:val="007B792E"/>
    <w:rsid w:val="007C158E"/>
    <w:rsid w:val="007C2FC0"/>
    <w:rsid w:val="007C53C1"/>
    <w:rsid w:val="007C69D9"/>
    <w:rsid w:val="007D436C"/>
    <w:rsid w:val="007D4838"/>
    <w:rsid w:val="007D7187"/>
    <w:rsid w:val="007D7193"/>
    <w:rsid w:val="007E08C3"/>
    <w:rsid w:val="007E0FDC"/>
    <w:rsid w:val="007E20BE"/>
    <w:rsid w:val="007E32FD"/>
    <w:rsid w:val="007E3B83"/>
    <w:rsid w:val="007E40DE"/>
    <w:rsid w:val="007E4A2E"/>
    <w:rsid w:val="007E55F3"/>
    <w:rsid w:val="007F21EE"/>
    <w:rsid w:val="007F405F"/>
    <w:rsid w:val="007F6BEE"/>
    <w:rsid w:val="008013A8"/>
    <w:rsid w:val="00805D73"/>
    <w:rsid w:val="00812225"/>
    <w:rsid w:val="0081340D"/>
    <w:rsid w:val="00813913"/>
    <w:rsid w:val="008144A7"/>
    <w:rsid w:val="008152A6"/>
    <w:rsid w:val="00820400"/>
    <w:rsid w:val="008237B4"/>
    <w:rsid w:val="00826300"/>
    <w:rsid w:val="00826691"/>
    <w:rsid w:val="008269A5"/>
    <w:rsid w:val="0083081B"/>
    <w:rsid w:val="00830DE2"/>
    <w:rsid w:val="00831D54"/>
    <w:rsid w:val="00832E6B"/>
    <w:rsid w:val="00836232"/>
    <w:rsid w:val="00841AF8"/>
    <w:rsid w:val="008428A5"/>
    <w:rsid w:val="00842BE2"/>
    <w:rsid w:val="00842CC4"/>
    <w:rsid w:val="0084479B"/>
    <w:rsid w:val="008459D7"/>
    <w:rsid w:val="008469FB"/>
    <w:rsid w:val="0085160D"/>
    <w:rsid w:val="008522D4"/>
    <w:rsid w:val="0085653D"/>
    <w:rsid w:val="0086040E"/>
    <w:rsid w:val="00861D85"/>
    <w:rsid w:val="00864050"/>
    <w:rsid w:val="00864EFC"/>
    <w:rsid w:val="008657CE"/>
    <w:rsid w:val="0086789B"/>
    <w:rsid w:val="008709EF"/>
    <w:rsid w:val="00874234"/>
    <w:rsid w:val="00876B9C"/>
    <w:rsid w:val="00885378"/>
    <w:rsid w:val="00885B22"/>
    <w:rsid w:val="00885EAC"/>
    <w:rsid w:val="0089012B"/>
    <w:rsid w:val="008965AC"/>
    <w:rsid w:val="00897169"/>
    <w:rsid w:val="008A221B"/>
    <w:rsid w:val="008A23CC"/>
    <w:rsid w:val="008A2543"/>
    <w:rsid w:val="008A54FF"/>
    <w:rsid w:val="008B0194"/>
    <w:rsid w:val="008B10FD"/>
    <w:rsid w:val="008B14FA"/>
    <w:rsid w:val="008B2CB1"/>
    <w:rsid w:val="008B3EDD"/>
    <w:rsid w:val="008B6E10"/>
    <w:rsid w:val="008B70C8"/>
    <w:rsid w:val="008B74E3"/>
    <w:rsid w:val="008B79EB"/>
    <w:rsid w:val="008C08C2"/>
    <w:rsid w:val="008C39F6"/>
    <w:rsid w:val="008C5583"/>
    <w:rsid w:val="008C5DA4"/>
    <w:rsid w:val="008C6F32"/>
    <w:rsid w:val="008D16F7"/>
    <w:rsid w:val="008D1A29"/>
    <w:rsid w:val="008D1DE2"/>
    <w:rsid w:val="008E16DD"/>
    <w:rsid w:val="008E1FC1"/>
    <w:rsid w:val="008E291F"/>
    <w:rsid w:val="008E38BB"/>
    <w:rsid w:val="008E4374"/>
    <w:rsid w:val="008E48AC"/>
    <w:rsid w:val="008E4F62"/>
    <w:rsid w:val="008E5A93"/>
    <w:rsid w:val="008F3EB1"/>
    <w:rsid w:val="008F4117"/>
    <w:rsid w:val="008F43F4"/>
    <w:rsid w:val="008F5B0C"/>
    <w:rsid w:val="00913CAE"/>
    <w:rsid w:val="00913EC6"/>
    <w:rsid w:val="00914E13"/>
    <w:rsid w:val="00922867"/>
    <w:rsid w:val="009229DE"/>
    <w:rsid w:val="00930D5D"/>
    <w:rsid w:val="00932BFD"/>
    <w:rsid w:val="00932C4C"/>
    <w:rsid w:val="00932E61"/>
    <w:rsid w:val="00934188"/>
    <w:rsid w:val="009424B9"/>
    <w:rsid w:val="00943E7E"/>
    <w:rsid w:val="0094448E"/>
    <w:rsid w:val="00946A91"/>
    <w:rsid w:val="00947E0F"/>
    <w:rsid w:val="0095536C"/>
    <w:rsid w:val="00957954"/>
    <w:rsid w:val="00961DD0"/>
    <w:rsid w:val="00963440"/>
    <w:rsid w:val="009647F2"/>
    <w:rsid w:val="00965190"/>
    <w:rsid w:val="00966C00"/>
    <w:rsid w:val="00967B9D"/>
    <w:rsid w:val="00967C17"/>
    <w:rsid w:val="00970CDE"/>
    <w:rsid w:val="00970CE2"/>
    <w:rsid w:val="009727F9"/>
    <w:rsid w:val="00975A61"/>
    <w:rsid w:val="00975D86"/>
    <w:rsid w:val="00981209"/>
    <w:rsid w:val="00981D05"/>
    <w:rsid w:val="009829E8"/>
    <w:rsid w:val="00984FAD"/>
    <w:rsid w:val="00995469"/>
    <w:rsid w:val="009A16D6"/>
    <w:rsid w:val="009A2F7C"/>
    <w:rsid w:val="009A5B18"/>
    <w:rsid w:val="009B157C"/>
    <w:rsid w:val="009B1E18"/>
    <w:rsid w:val="009B68D5"/>
    <w:rsid w:val="009C33D6"/>
    <w:rsid w:val="009C5DF4"/>
    <w:rsid w:val="009C5EAB"/>
    <w:rsid w:val="009D5B36"/>
    <w:rsid w:val="009D7E44"/>
    <w:rsid w:val="009E16F3"/>
    <w:rsid w:val="009E1E6C"/>
    <w:rsid w:val="009E62AA"/>
    <w:rsid w:val="009E7E21"/>
    <w:rsid w:val="009F020A"/>
    <w:rsid w:val="009F0CB5"/>
    <w:rsid w:val="009F0DFD"/>
    <w:rsid w:val="009F1324"/>
    <w:rsid w:val="009F19A1"/>
    <w:rsid w:val="009F245F"/>
    <w:rsid w:val="009F4D32"/>
    <w:rsid w:val="009F4EBA"/>
    <w:rsid w:val="009F55E2"/>
    <w:rsid w:val="009F58EE"/>
    <w:rsid w:val="009F6ACC"/>
    <w:rsid w:val="009F6EA7"/>
    <w:rsid w:val="00A0097B"/>
    <w:rsid w:val="00A012D3"/>
    <w:rsid w:val="00A013FB"/>
    <w:rsid w:val="00A02E25"/>
    <w:rsid w:val="00A03866"/>
    <w:rsid w:val="00A045BC"/>
    <w:rsid w:val="00A0555B"/>
    <w:rsid w:val="00A0797A"/>
    <w:rsid w:val="00A10229"/>
    <w:rsid w:val="00A13188"/>
    <w:rsid w:val="00A20323"/>
    <w:rsid w:val="00A22294"/>
    <w:rsid w:val="00A2363B"/>
    <w:rsid w:val="00A237CE"/>
    <w:rsid w:val="00A258BC"/>
    <w:rsid w:val="00A27C48"/>
    <w:rsid w:val="00A304FE"/>
    <w:rsid w:val="00A310A1"/>
    <w:rsid w:val="00A31976"/>
    <w:rsid w:val="00A3283B"/>
    <w:rsid w:val="00A35BAD"/>
    <w:rsid w:val="00A419A5"/>
    <w:rsid w:val="00A41A26"/>
    <w:rsid w:val="00A44AAC"/>
    <w:rsid w:val="00A46C11"/>
    <w:rsid w:val="00A47089"/>
    <w:rsid w:val="00A4718F"/>
    <w:rsid w:val="00A5247B"/>
    <w:rsid w:val="00A52E0F"/>
    <w:rsid w:val="00A53569"/>
    <w:rsid w:val="00A54F31"/>
    <w:rsid w:val="00A55E79"/>
    <w:rsid w:val="00A573D2"/>
    <w:rsid w:val="00A577DB"/>
    <w:rsid w:val="00A60285"/>
    <w:rsid w:val="00A6676A"/>
    <w:rsid w:val="00A70F07"/>
    <w:rsid w:val="00A712BB"/>
    <w:rsid w:val="00A7460C"/>
    <w:rsid w:val="00A74EC9"/>
    <w:rsid w:val="00A75BAF"/>
    <w:rsid w:val="00A777ED"/>
    <w:rsid w:val="00A80125"/>
    <w:rsid w:val="00A8335F"/>
    <w:rsid w:val="00A863F4"/>
    <w:rsid w:val="00A86AE7"/>
    <w:rsid w:val="00A90406"/>
    <w:rsid w:val="00A939BB"/>
    <w:rsid w:val="00A93D2D"/>
    <w:rsid w:val="00A946A1"/>
    <w:rsid w:val="00A94BAC"/>
    <w:rsid w:val="00A95C31"/>
    <w:rsid w:val="00A96353"/>
    <w:rsid w:val="00AA2361"/>
    <w:rsid w:val="00AA7163"/>
    <w:rsid w:val="00AB1360"/>
    <w:rsid w:val="00AB2536"/>
    <w:rsid w:val="00AB3689"/>
    <w:rsid w:val="00AB575B"/>
    <w:rsid w:val="00AB6A3F"/>
    <w:rsid w:val="00AC0D45"/>
    <w:rsid w:val="00AC40A1"/>
    <w:rsid w:val="00AD3842"/>
    <w:rsid w:val="00AD3E79"/>
    <w:rsid w:val="00AE0482"/>
    <w:rsid w:val="00AE10D6"/>
    <w:rsid w:val="00AE20B9"/>
    <w:rsid w:val="00AE3558"/>
    <w:rsid w:val="00AE40BB"/>
    <w:rsid w:val="00AE427F"/>
    <w:rsid w:val="00AF0020"/>
    <w:rsid w:val="00AF5CC3"/>
    <w:rsid w:val="00AF7B1D"/>
    <w:rsid w:val="00B00696"/>
    <w:rsid w:val="00B04F1E"/>
    <w:rsid w:val="00B10490"/>
    <w:rsid w:val="00B10991"/>
    <w:rsid w:val="00B14389"/>
    <w:rsid w:val="00B15D15"/>
    <w:rsid w:val="00B15FAE"/>
    <w:rsid w:val="00B16350"/>
    <w:rsid w:val="00B2014B"/>
    <w:rsid w:val="00B23711"/>
    <w:rsid w:val="00B277F9"/>
    <w:rsid w:val="00B30E02"/>
    <w:rsid w:val="00B35BAB"/>
    <w:rsid w:val="00B3675E"/>
    <w:rsid w:val="00B40DA7"/>
    <w:rsid w:val="00B41FCD"/>
    <w:rsid w:val="00B44C75"/>
    <w:rsid w:val="00B46D5F"/>
    <w:rsid w:val="00B53095"/>
    <w:rsid w:val="00B54353"/>
    <w:rsid w:val="00B55327"/>
    <w:rsid w:val="00B554D8"/>
    <w:rsid w:val="00B55E3D"/>
    <w:rsid w:val="00B72DE1"/>
    <w:rsid w:val="00B7578B"/>
    <w:rsid w:val="00B76AA1"/>
    <w:rsid w:val="00B81768"/>
    <w:rsid w:val="00B83D00"/>
    <w:rsid w:val="00B8472F"/>
    <w:rsid w:val="00B900C9"/>
    <w:rsid w:val="00B904FC"/>
    <w:rsid w:val="00B92015"/>
    <w:rsid w:val="00B93F84"/>
    <w:rsid w:val="00B94689"/>
    <w:rsid w:val="00B9483B"/>
    <w:rsid w:val="00B959A4"/>
    <w:rsid w:val="00BA0A79"/>
    <w:rsid w:val="00BA4DB1"/>
    <w:rsid w:val="00BB00D3"/>
    <w:rsid w:val="00BB02A1"/>
    <w:rsid w:val="00BB385C"/>
    <w:rsid w:val="00BB3D21"/>
    <w:rsid w:val="00BB5837"/>
    <w:rsid w:val="00BC0185"/>
    <w:rsid w:val="00BC08CE"/>
    <w:rsid w:val="00BC13E4"/>
    <w:rsid w:val="00BC4952"/>
    <w:rsid w:val="00BC4B53"/>
    <w:rsid w:val="00BC7DF4"/>
    <w:rsid w:val="00BD2416"/>
    <w:rsid w:val="00BD4F08"/>
    <w:rsid w:val="00BD61E3"/>
    <w:rsid w:val="00BE2865"/>
    <w:rsid w:val="00BE3015"/>
    <w:rsid w:val="00BE4412"/>
    <w:rsid w:val="00BF04FB"/>
    <w:rsid w:val="00BF1E94"/>
    <w:rsid w:val="00BF3EED"/>
    <w:rsid w:val="00C00932"/>
    <w:rsid w:val="00C02A4E"/>
    <w:rsid w:val="00C03AD7"/>
    <w:rsid w:val="00C05AE6"/>
    <w:rsid w:val="00C071F8"/>
    <w:rsid w:val="00C0721E"/>
    <w:rsid w:val="00C10B2C"/>
    <w:rsid w:val="00C15E69"/>
    <w:rsid w:val="00C171B3"/>
    <w:rsid w:val="00C174A1"/>
    <w:rsid w:val="00C2066D"/>
    <w:rsid w:val="00C22ED9"/>
    <w:rsid w:val="00C22FB5"/>
    <w:rsid w:val="00C23C2B"/>
    <w:rsid w:val="00C24AB1"/>
    <w:rsid w:val="00C267B0"/>
    <w:rsid w:val="00C2747D"/>
    <w:rsid w:val="00C30452"/>
    <w:rsid w:val="00C308D8"/>
    <w:rsid w:val="00C3346A"/>
    <w:rsid w:val="00C35342"/>
    <w:rsid w:val="00C35F60"/>
    <w:rsid w:val="00C4093F"/>
    <w:rsid w:val="00C4514D"/>
    <w:rsid w:val="00C45C81"/>
    <w:rsid w:val="00C47CE8"/>
    <w:rsid w:val="00C523C9"/>
    <w:rsid w:val="00C52681"/>
    <w:rsid w:val="00C53CA9"/>
    <w:rsid w:val="00C54A69"/>
    <w:rsid w:val="00C60C7C"/>
    <w:rsid w:val="00C617C3"/>
    <w:rsid w:val="00C62046"/>
    <w:rsid w:val="00C6221A"/>
    <w:rsid w:val="00C6332A"/>
    <w:rsid w:val="00C64B17"/>
    <w:rsid w:val="00C65455"/>
    <w:rsid w:val="00C65F9D"/>
    <w:rsid w:val="00C66056"/>
    <w:rsid w:val="00C753AD"/>
    <w:rsid w:val="00C7704E"/>
    <w:rsid w:val="00C77100"/>
    <w:rsid w:val="00C87AE6"/>
    <w:rsid w:val="00C90A05"/>
    <w:rsid w:val="00C90EB9"/>
    <w:rsid w:val="00C91283"/>
    <w:rsid w:val="00C914BF"/>
    <w:rsid w:val="00C9505D"/>
    <w:rsid w:val="00C97056"/>
    <w:rsid w:val="00C974EE"/>
    <w:rsid w:val="00CA0FD7"/>
    <w:rsid w:val="00CA38B1"/>
    <w:rsid w:val="00CA7473"/>
    <w:rsid w:val="00CA7A0A"/>
    <w:rsid w:val="00CB4730"/>
    <w:rsid w:val="00CB5493"/>
    <w:rsid w:val="00CB608D"/>
    <w:rsid w:val="00CB7915"/>
    <w:rsid w:val="00CC0B29"/>
    <w:rsid w:val="00CC1967"/>
    <w:rsid w:val="00CC295C"/>
    <w:rsid w:val="00CD662B"/>
    <w:rsid w:val="00CE05E2"/>
    <w:rsid w:val="00CE1518"/>
    <w:rsid w:val="00CE2A3F"/>
    <w:rsid w:val="00CF0FE5"/>
    <w:rsid w:val="00CF146A"/>
    <w:rsid w:val="00CF2937"/>
    <w:rsid w:val="00CF6FA6"/>
    <w:rsid w:val="00D02A5F"/>
    <w:rsid w:val="00D05C1C"/>
    <w:rsid w:val="00D11C4A"/>
    <w:rsid w:val="00D1210C"/>
    <w:rsid w:val="00D16733"/>
    <w:rsid w:val="00D2000F"/>
    <w:rsid w:val="00D234F4"/>
    <w:rsid w:val="00D24CBB"/>
    <w:rsid w:val="00D24F2A"/>
    <w:rsid w:val="00D253A5"/>
    <w:rsid w:val="00D274A0"/>
    <w:rsid w:val="00D318F1"/>
    <w:rsid w:val="00D322C7"/>
    <w:rsid w:val="00D34E6C"/>
    <w:rsid w:val="00D35559"/>
    <w:rsid w:val="00D35686"/>
    <w:rsid w:val="00D35811"/>
    <w:rsid w:val="00D36CC4"/>
    <w:rsid w:val="00D40910"/>
    <w:rsid w:val="00D409C8"/>
    <w:rsid w:val="00D40CBC"/>
    <w:rsid w:val="00D41C93"/>
    <w:rsid w:val="00D44146"/>
    <w:rsid w:val="00D4502F"/>
    <w:rsid w:val="00D46F2D"/>
    <w:rsid w:val="00D47186"/>
    <w:rsid w:val="00D47DE7"/>
    <w:rsid w:val="00D5146A"/>
    <w:rsid w:val="00D520DD"/>
    <w:rsid w:val="00D52339"/>
    <w:rsid w:val="00D52383"/>
    <w:rsid w:val="00D52600"/>
    <w:rsid w:val="00D53F86"/>
    <w:rsid w:val="00D54382"/>
    <w:rsid w:val="00D55F13"/>
    <w:rsid w:val="00D608B9"/>
    <w:rsid w:val="00D62FC1"/>
    <w:rsid w:val="00D63377"/>
    <w:rsid w:val="00D662DC"/>
    <w:rsid w:val="00D701A8"/>
    <w:rsid w:val="00D72E18"/>
    <w:rsid w:val="00D73415"/>
    <w:rsid w:val="00D74517"/>
    <w:rsid w:val="00D74885"/>
    <w:rsid w:val="00D76439"/>
    <w:rsid w:val="00D7694E"/>
    <w:rsid w:val="00D76DE5"/>
    <w:rsid w:val="00D7778D"/>
    <w:rsid w:val="00D77E26"/>
    <w:rsid w:val="00D82344"/>
    <w:rsid w:val="00D826A0"/>
    <w:rsid w:val="00D8608F"/>
    <w:rsid w:val="00DA01BA"/>
    <w:rsid w:val="00DA4298"/>
    <w:rsid w:val="00DA5071"/>
    <w:rsid w:val="00DA7DFC"/>
    <w:rsid w:val="00DB170B"/>
    <w:rsid w:val="00DB2A33"/>
    <w:rsid w:val="00DC32CF"/>
    <w:rsid w:val="00DD1A64"/>
    <w:rsid w:val="00DD266D"/>
    <w:rsid w:val="00DD41B4"/>
    <w:rsid w:val="00DD4C14"/>
    <w:rsid w:val="00DD64A3"/>
    <w:rsid w:val="00DD6B27"/>
    <w:rsid w:val="00DD794C"/>
    <w:rsid w:val="00DD7C4E"/>
    <w:rsid w:val="00DE021A"/>
    <w:rsid w:val="00DE103C"/>
    <w:rsid w:val="00DE1401"/>
    <w:rsid w:val="00DE202F"/>
    <w:rsid w:val="00DE2D8A"/>
    <w:rsid w:val="00DE40C3"/>
    <w:rsid w:val="00DE726B"/>
    <w:rsid w:val="00DE7CA6"/>
    <w:rsid w:val="00DF0200"/>
    <w:rsid w:val="00DF1576"/>
    <w:rsid w:val="00DF3AE8"/>
    <w:rsid w:val="00DF4CD2"/>
    <w:rsid w:val="00DF69A1"/>
    <w:rsid w:val="00DF7E7E"/>
    <w:rsid w:val="00E0328D"/>
    <w:rsid w:val="00E043CE"/>
    <w:rsid w:val="00E05081"/>
    <w:rsid w:val="00E07233"/>
    <w:rsid w:val="00E07CBD"/>
    <w:rsid w:val="00E104A5"/>
    <w:rsid w:val="00E1147D"/>
    <w:rsid w:val="00E1289A"/>
    <w:rsid w:val="00E20F8F"/>
    <w:rsid w:val="00E22B1B"/>
    <w:rsid w:val="00E237AF"/>
    <w:rsid w:val="00E242E3"/>
    <w:rsid w:val="00E24606"/>
    <w:rsid w:val="00E24D22"/>
    <w:rsid w:val="00E26169"/>
    <w:rsid w:val="00E267AC"/>
    <w:rsid w:val="00E26BA6"/>
    <w:rsid w:val="00E27226"/>
    <w:rsid w:val="00E273EE"/>
    <w:rsid w:val="00E27D43"/>
    <w:rsid w:val="00E30630"/>
    <w:rsid w:val="00E33AC3"/>
    <w:rsid w:val="00E33E11"/>
    <w:rsid w:val="00E340A6"/>
    <w:rsid w:val="00E34B54"/>
    <w:rsid w:val="00E37310"/>
    <w:rsid w:val="00E3744B"/>
    <w:rsid w:val="00E37BF3"/>
    <w:rsid w:val="00E425FA"/>
    <w:rsid w:val="00E4491E"/>
    <w:rsid w:val="00E44F3B"/>
    <w:rsid w:val="00E46479"/>
    <w:rsid w:val="00E46DC4"/>
    <w:rsid w:val="00E47FE1"/>
    <w:rsid w:val="00E53B40"/>
    <w:rsid w:val="00E56E17"/>
    <w:rsid w:val="00E57300"/>
    <w:rsid w:val="00E578E7"/>
    <w:rsid w:val="00E630FE"/>
    <w:rsid w:val="00E70C62"/>
    <w:rsid w:val="00E72978"/>
    <w:rsid w:val="00E72CD2"/>
    <w:rsid w:val="00E73412"/>
    <w:rsid w:val="00E737BF"/>
    <w:rsid w:val="00E74E23"/>
    <w:rsid w:val="00E75C53"/>
    <w:rsid w:val="00E763CA"/>
    <w:rsid w:val="00E76E23"/>
    <w:rsid w:val="00E77553"/>
    <w:rsid w:val="00E80631"/>
    <w:rsid w:val="00E806BB"/>
    <w:rsid w:val="00E81323"/>
    <w:rsid w:val="00E81A87"/>
    <w:rsid w:val="00E83E83"/>
    <w:rsid w:val="00E84019"/>
    <w:rsid w:val="00E857DA"/>
    <w:rsid w:val="00E859E5"/>
    <w:rsid w:val="00E860C7"/>
    <w:rsid w:val="00E87B71"/>
    <w:rsid w:val="00E9015A"/>
    <w:rsid w:val="00E903E5"/>
    <w:rsid w:val="00E91B72"/>
    <w:rsid w:val="00E92CAE"/>
    <w:rsid w:val="00E92E82"/>
    <w:rsid w:val="00E94FBF"/>
    <w:rsid w:val="00EA12E3"/>
    <w:rsid w:val="00EA3FBB"/>
    <w:rsid w:val="00EA504D"/>
    <w:rsid w:val="00EA6EB0"/>
    <w:rsid w:val="00EA7045"/>
    <w:rsid w:val="00EA78B2"/>
    <w:rsid w:val="00EB0345"/>
    <w:rsid w:val="00EB2908"/>
    <w:rsid w:val="00EB301E"/>
    <w:rsid w:val="00EB30FE"/>
    <w:rsid w:val="00EB43F6"/>
    <w:rsid w:val="00EB61B8"/>
    <w:rsid w:val="00EB7E4D"/>
    <w:rsid w:val="00EC21CB"/>
    <w:rsid w:val="00EC2571"/>
    <w:rsid w:val="00EC2BD5"/>
    <w:rsid w:val="00EC5366"/>
    <w:rsid w:val="00ED1252"/>
    <w:rsid w:val="00ED206E"/>
    <w:rsid w:val="00ED4230"/>
    <w:rsid w:val="00ED465E"/>
    <w:rsid w:val="00ED5C5D"/>
    <w:rsid w:val="00ED60CD"/>
    <w:rsid w:val="00EE1F45"/>
    <w:rsid w:val="00EE4430"/>
    <w:rsid w:val="00EE4DB5"/>
    <w:rsid w:val="00EF1433"/>
    <w:rsid w:val="00EF2F7E"/>
    <w:rsid w:val="00EF49B4"/>
    <w:rsid w:val="00EF4DCC"/>
    <w:rsid w:val="00EF526C"/>
    <w:rsid w:val="00EF77C0"/>
    <w:rsid w:val="00F01C85"/>
    <w:rsid w:val="00F02292"/>
    <w:rsid w:val="00F02C07"/>
    <w:rsid w:val="00F02CB3"/>
    <w:rsid w:val="00F04F87"/>
    <w:rsid w:val="00F06C9F"/>
    <w:rsid w:val="00F07773"/>
    <w:rsid w:val="00F1115A"/>
    <w:rsid w:val="00F11740"/>
    <w:rsid w:val="00F144CA"/>
    <w:rsid w:val="00F154D7"/>
    <w:rsid w:val="00F16161"/>
    <w:rsid w:val="00F165EB"/>
    <w:rsid w:val="00F16C83"/>
    <w:rsid w:val="00F16EB8"/>
    <w:rsid w:val="00F1777A"/>
    <w:rsid w:val="00F215DF"/>
    <w:rsid w:val="00F23305"/>
    <w:rsid w:val="00F238C7"/>
    <w:rsid w:val="00F260F2"/>
    <w:rsid w:val="00F260FC"/>
    <w:rsid w:val="00F273FA"/>
    <w:rsid w:val="00F320F5"/>
    <w:rsid w:val="00F33A1D"/>
    <w:rsid w:val="00F403DB"/>
    <w:rsid w:val="00F4185A"/>
    <w:rsid w:val="00F419A1"/>
    <w:rsid w:val="00F42239"/>
    <w:rsid w:val="00F4409E"/>
    <w:rsid w:val="00F45C42"/>
    <w:rsid w:val="00F46C12"/>
    <w:rsid w:val="00F47548"/>
    <w:rsid w:val="00F50CD5"/>
    <w:rsid w:val="00F52119"/>
    <w:rsid w:val="00F54123"/>
    <w:rsid w:val="00F55687"/>
    <w:rsid w:val="00F608F7"/>
    <w:rsid w:val="00F60AD4"/>
    <w:rsid w:val="00F61524"/>
    <w:rsid w:val="00F61EEF"/>
    <w:rsid w:val="00F626FA"/>
    <w:rsid w:val="00F6504E"/>
    <w:rsid w:val="00F65324"/>
    <w:rsid w:val="00F65528"/>
    <w:rsid w:val="00F65936"/>
    <w:rsid w:val="00F668C6"/>
    <w:rsid w:val="00F67868"/>
    <w:rsid w:val="00F679EE"/>
    <w:rsid w:val="00F71136"/>
    <w:rsid w:val="00F72390"/>
    <w:rsid w:val="00F7369F"/>
    <w:rsid w:val="00F775FF"/>
    <w:rsid w:val="00F77FEC"/>
    <w:rsid w:val="00F827FC"/>
    <w:rsid w:val="00F82BE8"/>
    <w:rsid w:val="00F8395E"/>
    <w:rsid w:val="00F848D3"/>
    <w:rsid w:val="00F84C2E"/>
    <w:rsid w:val="00F913DB"/>
    <w:rsid w:val="00F928D1"/>
    <w:rsid w:val="00F95324"/>
    <w:rsid w:val="00FA483D"/>
    <w:rsid w:val="00FA4E79"/>
    <w:rsid w:val="00FA5AF4"/>
    <w:rsid w:val="00FA7E4C"/>
    <w:rsid w:val="00FB2AC7"/>
    <w:rsid w:val="00FB48B1"/>
    <w:rsid w:val="00FB53C1"/>
    <w:rsid w:val="00FB6ED4"/>
    <w:rsid w:val="00FC0761"/>
    <w:rsid w:val="00FD078D"/>
    <w:rsid w:val="00FD19E8"/>
    <w:rsid w:val="00FD3AD1"/>
    <w:rsid w:val="00FD544C"/>
    <w:rsid w:val="00FD620D"/>
    <w:rsid w:val="00FD79D9"/>
    <w:rsid w:val="00FE23FE"/>
    <w:rsid w:val="00FE273D"/>
    <w:rsid w:val="00FE7BC7"/>
    <w:rsid w:val="00FF1456"/>
    <w:rsid w:val="00FF1582"/>
    <w:rsid w:val="00FF15E5"/>
    <w:rsid w:val="00FF1B6F"/>
    <w:rsid w:val="00FF2C7A"/>
    <w:rsid w:val="00FF3263"/>
    <w:rsid w:val="00FF3923"/>
    <w:rsid w:val="00FF763A"/>
    <w:rsid w:val="09186774"/>
    <w:rsid w:val="12070CAE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BFBB7"/>
  <w15:docId w15:val="{086900A4-AEDB-41A5-8423-BB7D423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D32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E55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2867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rsid w:val="009228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2867"/>
    <w:rPr>
      <w:rFonts w:ascii="仿宋" w:eastAsia="仿宋" w:hAnsi="仿宋" w:cs="仿宋"/>
      <w:sz w:val="18"/>
      <w:szCs w:val="18"/>
      <w:lang w:val="zh-CN" w:bidi="zh-CN"/>
    </w:rPr>
  </w:style>
  <w:style w:type="character" w:styleId="a6">
    <w:name w:val="annotation reference"/>
    <w:basedOn w:val="a0"/>
    <w:rsid w:val="004651B3"/>
    <w:rPr>
      <w:sz w:val="21"/>
      <w:szCs w:val="21"/>
    </w:rPr>
  </w:style>
  <w:style w:type="paragraph" w:styleId="a7">
    <w:name w:val="annotation text"/>
    <w:basedOn w:val="a"/>
    <w:link w:val="Char1"/>
    <w:rsid w:val="004651B3"/>
  </w:style>
  <w:style w:type="character" w:customStyle="1" w:styleId="Char1">
    <w:name w:val="批注文字 Char"/>
    <w:basedOn w:val="a0"/>
    <w:link w:val="a7"/>
    <w:rsid w:val="004651B3"/>
    <w:rPr>
      <w:rFonts w:ascii="仿宋" w:eastAsia="仿宋" w:hAnsi="仿宋" w:cs="仿宋"/>
      <w:sz w:val="22"/>
      <w:szCs w:val="22"/>
      <w:lang w:val="zh-CN" w:bidi="zh-CN"/>
    </w:rPr>
  </w:style>
  <w:style w:type="paragraph" w:styleId="a8">
    <w:name w:val="annotation subject"/>
    <w:basedOn w:val="a7"/>
    <w:next w:val="a7"/>
    <w:link w:val="Char2"/>
    <w:rsid w:val="004651B3"/>
    <w:rPr>
      <w:b/>
      <w:bCs/>
    </w:rPr>
  </w:style>
  <w:style w:type="character" w:customStyle="1" w:styleId="Char2">
    <w:name w:val="批注主题 Char"/>
    <w:basedOn w:val="Char1"/>
    <w:link w:val="a8"/>
    <w:rsid w:val="004651B3"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9">
    <w:name w:val="Balloon Text"/>
    <w:basedOn w:val="a"/>
    <w:link w:val="Char3"/>
    <w:rsid w:val="004651B3"/>
    <w:rPr>
      <w:sz w:val="18"/>
      <w:szCs w:val="18"/>
    </w:rPr>
  </w:style>
  <w:style w:type="character" w:customStyle="1" w:styleId="Char3">
    <w:name w:val="批注框文本 Char"/>
    <w:basedOn w:val="a0"/>
    <w:link w:val="a9"/>
    <w:rsid w:val="004651B3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List Paragraph"/>
    <w:basedOn w:val="a"/>
    <w:uiPriority w:val="34"/>
    <w:qFormat/>
    <w:rsid w:val="00FE23FE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customStyle="1" w:styleId="Default">
    <w:name w:val="Default"/>
    <w:rsid w:val="007318E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2Char">
    <w:name w:val="标题 2 Char"/>
    <w:basedOn w:val="a0"/>
    <w:link w:val="2"/>
    <w:semiHidden/>
    <w:rsid w:val="007E55F3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2Char2">
    <w:name w:val="标题 2 Char2"/>
    <w:aliases w:val="标题 2 Char Char Char Char2"/>
    <w:basedOn w:val="a0"/>
    <w:rsid w:val="007E55F3"/>
    <w:rPr>
      <w:rFonts w:ascii="Arial" w:hAnsi="Arial"/>
      <w:b/>
      <w:bCs/>
      <w:kern w:val="2"/>
      <w:sz w:val="21"/>
      <w:szCs w:val="21"/>
    </w:rPr>
  </w:style>
  <w:style w:type="paragraph" w:styleId="ab">
    <w:name w:val="No Spacing"/>
    <w:uiPriority w:val="1"/>
    <w:qFormat/>
    <w:rsid w:val="002B3A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AF6A7-65E5-4132-8813-02C5B432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jie.huang</dc:creator>
  <cp:keywords/>
  <dc:description/>
  <cp:lastModifiedBy>杭海梅</cp:lastModifiedBy>
  <cp:revision>121</cp:revision>
  <cp:lastPrinted>2025-05-27T01:00:00Z</cp:lastPrinted>
  <dcterms:created xsi:type="dcterms:W3CDTF">2025-08-20T05:50:00Z</dcterms:created>
  <dcterms:modified xsi:type="dcterms:W3CDTF">2025-08-20T12:21:00Z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