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11B4" w14:textId="77777777" w:rsidR="00DF3F5C" w:rsidRDefault="008C2D4C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>
        <w:rPr>
          <w:rFonts w:ascii="Times New Roman" w:eastAsia="宋体" w:hAnsi="Times New Roman" w:cs="Times New Roman"/>
          <w:sz w:val="24"/>
          <w:szCs w:val="24"/>
          <w:lang w:val="en-US"/>
        </w:rPr>
        <w:t>证券代码：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688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372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证券简称：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伟测</w:t>
      </w:r>
      <w:r>
        <w:rPr>
          <w:rFonts w:ascii="Times New Roman" w:eastAsia="宋体" w:hAnsi="Times New Roman" w:cs="Times New Roman"/>
          <w:sz w:val="24"/>
          <w:szCs w:val="24"/>
          <w:lang w:val="en-US"/>
        </w:rPr>
        <w:t>科技</w:t>
      </w:r>
      <w:proofErr w:type="gramEnd"/>
    </w:p>
    <w:p w14:paraId="0DB3F3B0" w14:textId="77777777" w:rsidR="00DF3F5C" w:rsidRDefault="008C2D4C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>
        <w:rPr>
          <w:rFonts w:ascii="Times New Roman" w:eastAsia="宋体" w:hAnsi="Times New Roman" w:cs="Times New Roman"/>
          <w:sz w:val="24"/>
          <w:szCs w:val="24"/>
          <w:lang w:val="en-US"/>
        </w:rPr>
        <w:t>转债代码：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 xml:space="preserve">118055                                   </w:t>
      </w:r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转债简称：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伟测转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  <w:lang w:val="en-US"/>
        </w:rPr>
        <w:t>债</w:t>
      </w:r>
    </w:p>
    <w:p w14:paraId="3CA4622F" w14:textId="77777777" w:rsidR="00DF3F5C" w:rsidRDefault="00DF3F5C">
      <w:pPr>
        <w:rPr>
          <w:rFonts w:ascii="Times New Roman" w:eastAsia="宋体" w:hAnsi="Times New Roman"/>
          <w:lang w:val="en-US"/>
        </w:rPr>
      </w:pPr>
    </w:p>
    <w:p w14:paraId="72A217B7" w14:textId="77777777" w:rsidR="00DF3F5C" w:rsidRDefault="008C2D4C">
      <w:pPr>
        <w:spacing w:line="360" w:lineRule="auto"/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上海伟测半导体科技股份有限公司</w:t>
      </w:r>
    </w:p>
    <w:p w14:paraId="3603D426" w14:textId="77777777" w:rsidR="00DF3F5C" w:rsidRDefault="008C2D4C">
      <w:pPr>
        <w:spacing w:line="360" w:lineRule="auto"/>
        <w:jc w:val="center"/>
        <w:rPr>
          <w:rFonts w:ascii="Times New Roman" w:eastAsia="宋体" w:hAnsi="Times New Roman" w:cs="宋体"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投资者关系活动记录表</w:t>
      </w:r>
    </w:p>
    <w:p w14:paraId="177DF8B7" w14:textId="77777777" w:rsidR="00DF3F5C" w:rsidRDefault="008C2D4C">
      <w:pPr>
        <w:spacing w:before="51" w:after="32"/>
        <w:ind w:right="19"/>
        <w:jc w:val="right"/>
        <w:rPr>
          <w:rFonts w:ascii="Times New Roman" w:eastAsia="宋体" w:hAnsi="Times New Roman" w:cs="宋体"/>
          <w:sz w:val="24"/>
          <w:szCs w:val="24"/>
          <w:lang w:val="en-US"/>
        </w:rPr>
      </w:pPr>
      <w:r>
        <w:rPr>
          <w:rFonts w:ascii="Times New Roman" w:eastAsia="宋体" w:hAnsi="Times New Roman" w:cs="宋体" w:hint="eastAsia"/>
          <w:sz w:val="24"/>
          <w:szCs w:val="24"/>
        </w:rPr>
        <w:t>编号：</w:t>
      </w:r>
      <w:r>
        <w:rPr>
          <w:rFonts w:ascii="Times New Roman" w:eastAsia="宋体" w:hAnsi="Times New Roman" w:cs="宋体" w:hint="eastAsia"/>
          <w:sz w:val="24"/>
          <w:szCs w:val="24"/>
          <w:lang w:val="en-US"/>
        </w:rPr>
        <w:t>2025</w:t>
      </w:r>
      <w:r>
        <w:rPr>
          <w:rFonts w:ascii="Times New Roman" w:eastAsia="宋体" w:hAnsi="Times New Roman" w:cs="宋体" w:hint="eastAsia"/>
          <w:sz w:val="24"/>
          <w:szCs w:val="24"/>
        </w:rPr>
        <w:t>-00</w:t>
      </w:r>
      <w:r>
        <w:rPr>
          <w:rFonts w:ascii="Times New Roman" w:eastAsia="宋体" w:hAnsi="Times New Roman" w:cs="宋体" w:hint="eastAsia"/>
          <w:sz w:val="24"/>
          <w:szCs w:val="24"/>
          <w:lang w:val="en-US"/>
        </w:rPr>
        <w:t>2</w:t>
      </w:r>
    </w:p>
    <w:tbl>
      <w:tblPr>
        <w:tblW w:w="8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7463"/>
      </w:tblGrid>
      <w:tr w:rsidR="00DF3F5C" w14:paraId="459B98A4" w14:textId="77777777">
        <w:trPr>
          <w:trHeight w:val="2801"/>
          <w:jc w:val="center"/>
        </w:trPr>
        <w:tc>
          <w:tcPr>
            <w:tcW w:w="1139" w:type="dxa"/>
            <w:vAlign w:val="center"/>
          </w:tcPr>
          <w:p w14:paraId="11AE9F3E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463" w:type="dxa"/>
          </w:tcPr>
          <w:p w14:paraId="42EEC4CD" w14:textId="77777777" w:rsidR="00DF3F5C" w:rsidRDefault="00DF3F5C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8831D41" w14:textId="77777777" w:rsidR="00DF3F5C" w:rsidRDefault="00BF5955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19BE919B" w14:textId="77777777" w:rsidR="00DF3F5C" w:rsidRDefault="00DF3F5C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F21A2E7" w14:textId="77777777" w:rsidR="00DF3F5C" w:rsidRDefault="00BF5955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3E812998" w14:textId="77777777" w:rsidR="00DF3F5C" w:rsidRDefault="00DF3F5C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8BFC867" w14:textId="77777777" w:rsidR="00DF3F5C" w:rsidRDefault="00BF5955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8C2D4C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3122382C" w14:textId="77777777" w:rsidR="00DF3F5C" w:rsidRDefault="00DF3F5C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68903ED" w14:textId="77777777" w:rsidR="00DF3F5C" w:rsidRDefault="00BF5955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 xml:space="preserve">现场访谈          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20441104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>电话会议</w:t>
            </w:r>
          </w:p>
          <w:p w14:paraId="59C4796E" w14:textId="77777777" w:rsidR="00DF3F5C" w:rsidRDefault="00DF3F5C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F860F88" w14:textId="77777777" w:rsidR="00DF3F5C" w:rsidRDefault="00BF5955">
            <w:pPr>
              <w:pStyle w:val="TableParagraph"/>
              <w:ind w:left="107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C2D4C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8C2D4C">
              <w:rPr>
                <w:rFonts w:ascii="宋体" w:eastAsia="宋体" w:hAnsi="宋体" w:cs="宋体" w:hint="eastAsia"/>
                <w:sz w:val="24"/>
                <w:szCs w:val="24"/>
              </w:rPr>
              <w:t xml:space="preserve">其他 </w:t>
            </w:r>
            <w:r w:rsidR="008C2D4C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</w:p>
        </w:tc>
      </w:tr>
      <w:tr w:rsidR="00DF3F5C" w14:paraId="4224B6B1" w14:textId="77777777">
        <w:trPr>
          <w:trHeight w:val="485"/>
          <w:jc w:val="center"/>
        </w:trPr>
        <w:tc>
          <w:tcPr>
            <w:tcW w:w="1139" w:type="dxa"/>
            <w:vAlign w:val="center"/>
          </w:tcPr>
          <w:p w14:paraId="7E0305B3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463" w:type="dxa"/>
            <w:vAlign w:val="center"/>
          </w:tcPr>
          <w:p w14:paraId="2D304ABD" w14:textId="77777777" w:rsidR="00DF3F5C" w:rsidRDefault="008C2D4C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鹏华基金、中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金资管、名禹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资产、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恒越基金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、易方达、博普资产、笃诚私募、东方红资产管理、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晨燕资产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、博时基金、东兴基金、富国基金、中海基金、先锋基金、华宝基金、西部利得基金、天风证券、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磐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厚动量、嘉实基金、富安达基金、长信基金、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UBS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Ansi="Times New Roman" w:cs="宋体"/>
                <w:sz w:val="24"/>
                <w:szCs w:val="24"/>
              </w:rPr>
              <w:t>中信保诚</w:t>
            </w:r>
            <w:proofErr w:type="gramEnd"/>
            <w:r>
              <w:rPr>
                <w:rFonts w:ascii="Times New Roman" w:eastAsia="宋体" w:hAnsi="Times New Roman" w:cs="宋体"/>
                <w:sz w:val="24"/>
                <w:szCs w:val="24"/>
              </w:rPr>
              <w:t>基金、长江证券、高毅资产、</w:t>
            </w:r>
            <w:proofErr w:type="gramStart"/>
            <w:r>
              <w:rPr>
                <w:rFonts w:ascii="Times New Roman" w:eastAsia="宋体" w:hAnsi="Times New Roman" w:cs="宋体"/>
                <w:sz w:val="24"/>
                <w:szCs w:val="24"/>
              </w:rPr>
              <w:t>兴证全球</w:t>
            </w:r>
            <w:proofErr w:type="gramEnd"/>
            <w:r>
              <w:rPr>
                <w:rFonts w:ascii="Times New Roman" w:eastAsia="宋体" w:hAnsi="Times New Roman" w:cs="宋体"/>
                <w:sz w:val="24"/>
                <w:szCs w:val="24"/>
              </w:rPr>
              <w:t>基金、招商电子、中泰证券、中邮证券、平安证券、长城证券、泰康基金、正圆私募、上银基金、华金证券、东海基金、</w:t>
            </w:r>
            <w:proofErr w:type="gramStart"/>
            <w:r>
              <w:rPr>
                <w:rFonts w:ascii="Times New Roman" w:eastAsia="宋体" w:hAnsi="Times New Roman" w:cs="宋体"/>
                <w:sz w:val="24"/>
                <w:szCs w:val="24"/>
              </w:rPr>
              <w:t>光证资管</w:t>
            </w:r>
            <w:proofErr w:type="gramEnd"/>
            <w:r>
              <w:rPr>
                <w:rFonts w:ascii="Times New Roman" w:eastAsia="宋体" w:hAnsi="Times New Roman" w:cs="宋体"/>
                <w:sz w:val="24"/>
                <w:szCs w:val="24"/>
              </w:rPr>
              <w:t>、全天候私募、汇丰前海证券、</w:t>
            </w:r>
            <w:proofErr w:type="gramStart"/>
            <w:r>
              <w:rPr>
                <w:rFonts w:ascii="Times New Roman" w:eastAsia="宋体" w:hAnsi="Times New Roman" w:cs="宋体"/>
                <w:sz w:val="24"/>
                <w:szCs w:val="24"/>
              </w:rPr>
              <w:t>圆信永丰</w:t>
            </w:r>
            <w:proofErr w:type="gramEnd"/>
            <w:r>
              <w:rPr>
                <w:rFonts w:ascii="Times New Roman" w:eastAsia="宋体" w:hAnsi="Times New Roman" w:cs="宋体"/>
                <w:sz w:val="24"/>
                <w:szCs w:val="24"/>
              </w:rPr>
              <w:t>基金、国联民生、国信证券、上海</w:t>
            </w:r>
            <w:proofErr w:type="gramStart"/>
            <w:r>
              <w:rPr>
                <w:rFonts w:ascii="Times New Roman" w:eastAsia="宋体" w:hAnsi="Times New Roman" w:cs="宋体"/>
                <w:sz w:val="24"/>
                <w:szCs w:val="24"/>
              </w:rPr>
              <w:t>亥</w:t>
            </w:r>
            <w:proofErr w:type="gramEnd"/>
            <w:r>
              <w:rPr>
                <w:rFonts w:ascii="Times New Roman" w:eastAsia="宋体" w:hAnsi="Times New Roman" w:cs="宋体"/>
                <w:sz w:val="24"/>
                <w:szCs w:val="24"/>
              </w:rPr>
              <w:t>鼎云天私募、</w:t>
            </w:r>
            <w:proofErr w:type="gramStart"/>
            <w:r>
              <w:rPr>
                <w:rFonts w:ascii="Times New Roman" w:eastAsia="宋体" w:hAnsi="Times New Roman" w:cs="宋体"/>
                <w:sz w:val="24"/>
                <w:szCs w:val="24"/>
              </w:rPr>
              <w:t>创金合</w:t>
            </w:r>
            <w:proofErr w:type="gramEnd"/>
            <w:r>
              <w:rPr>
                <w:rFonts w:ascii="Times New Roman" w:eastAsia="宋体" w:hAnsi="Times New Roman" w:cs="宋体"/>
                <w:sz w:val="24"/>
                <w:szCs w:val="24"/>
              </w:rPr>
              <w:t>信基金、广发证券、国泰基金、前海开源基金、</w:t>
            </w:r>
            <w:proofErr w:type="gramStart"/>
            <w:r>
              <w:rPr>
                <w:rFonts w:ascii="Times New Roman" w:eastAsia="宋体" w:hAnsi="Times New Roman" w:cs="宋体"/>
                <w:sz w:val="24"/>
                <w:szCs w:val="24"/>
              </w:rPr>
              <w:t>利位投资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、长安基金、中信证券、天朗私募、中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信建投基金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华夏久盈资产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、南方基金、华夏基金、中金基金、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砥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俊资产、国融证券、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百嘉基金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途灵资产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、圣为投资、国海富兰克林基金、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浦银安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盛基金、禹田资产、五地私募、国信证券资产、中银基金、建信理财、东盈投资、瑞华投资、星石投资、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泰信基金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、华泰资产、南土资产、建信基金、</w:t>
            </w:r>
            <w:proofErr w:type="gramStart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浙商证券</w:t>
            </w:r>
            <w:proofErr w:type="gramEnd"/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、华泰证券资产管理、中国人保健康、淡水泉、方正证券</w:t>
            </w:r>
          </w:p>
        </w:tc>
      </w:tr>
      <w:tr w:rsidR="00DF3F5C" w14:paraId="425F98B1" w14:textId="77777777">
        <w:trPr>
          <w:trHeight w:val="558"/>
          <w:jc w:val="center"/>
        </w:trPr>
        <w:tc>
          <w:tcPr>
            <w:tcW w:w="1139" w:type="dxa"/>
            <w:vAlign w:val="center"/>
          </w:tcPr>
          <w:p w14:paraId="3C3F810D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463" w:type="dxa"/>
            <w:vAlign w:val="center"/>
          </w:tcPr>
          <w:p w14:paraId="66BF5A0A" w14:textId="77777777" w:rsidR="00DF3F5C" w:rsidRDefault="008C2D4C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21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</w:tr>
      <w:tr w:rsidR="00DF3F5C" w14:paraId="15F15593" w14:textId="77777777">
        <w:trPr>
          <w:trHeight w:val="561"/>
          <w:jc w:val="center"/>
        </w:trPr>
        <w:tc>
          <w:tcPr>
            <w:tcW w:w="1139" w:type="dxa"/>
            <w:vAlign w:val="center"/>
          </w:tcPr>
          <w:p w14:paraId="23F08BB9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463" w:type="dxa"/>
            <w:vAlign w:val="center"/>
          </w:tcPr>
          <w:p w14:paraId="2FB4C04C" w14:textId="77777777" w:rsidR="00DF3F5C" w:rsidRDefault="008C2D4C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电话会议</w:t>
            </w:r>
          </w:p>
        </w:tc>
      </w:tr>
      <w:tr w:rsidR="00DF3F5C" w14:paraId="7858F3AA" w14:textId="77777777">
        <w:trPr>
          <w:trHeight w:val="643"/>
          <w:jc w:val="center"/>
        </w:trPr>
        <w:tc>
          <w:tcPr>
            <w:tcW w:w="1139" w:type="dxa"/>
            <w:vAlign w:val="center"/>
          </w:tcPr>
          <w:p w14:paraId="6F3F4F1F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上市公司</w:t>
            </w: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接待人员姓名</w:t>
            </w:r>
          </w:p>
        </w:tc>
        <w:tc>
          <w:tcPr>
            <w:tcW w:w="7463" w:type="dxa"/>
            <w:vAlign w:val="center"/>
          </w:tcPr>
          <w:p w14:paraId="36734B09" w14:textId="77777777" w:rsidR="00DF3F5C" w:rsidRDefault="008C2D4C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lastRenderedPageBreak/>
              <w:t>董事、副总经理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sz w:val="24"/>
                <w:szCs w:val="24"/>
              </w:rPr>
              <w:t>财务总监王沛女士</w:t>
            </w:r>
          </w:p>
        </w:tc>
      </w:tr>
      <w:tr w:rsidR="00DF3F5C" w14:paraId="0DB8D9F1" w14:textId="77777777">
        <w:trPr>
          <w:trHeight w:val="2800"/>
          <w:jc w:val="center"/>
        </w:trPr>
        <w:tc>
          <w:tcPr>
            <w:tcW w:w="1139" w:type="dxa"/>
            <w:vAlign w:val="center"/>
          </w:tcPr>
          <w:p w14:paraId="7A6AFD28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投资者关系活动主要内容介绍</w:t>
            </w:r>
          </w:p>
        </w:tc>
        <w:tc>
          <w:tcPr>
            <w:tcW w:w="7463" w:type="dxa"/>
          </w:tcPr>
          <w:p w14:paraId="0E60D24A" w14:textId="77777777" w:rsidR="00DF3F5C" w:rsidRDefault="008C2D4C">
            <w:pPr>
              <w:autoSpaceDE/>
              <w:autoSpaceDN/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一、董事、副总经理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董事会秘书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财务总监王沛女士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介绍公司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年半年度业绩与经营情况</w:t>
            </w:r>
          </w:p>
          <w:p w14:paraId="4CFA86ED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（一）财务状况</w:t>
            </w:r>
          </w:p>
          <w:p w14:paraId="0C39B347" w14:textId="121D6C6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02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年上半年，公司实现营业收入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6.34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亿元，同比增加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47.53%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；归属于上市公司股东的净利润为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1.01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亿元，同比增加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831%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扣非后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的净利润为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</w:t>
            </w:r>
            <w:r w:rsidR="003578E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371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.73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万元，同比增加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</w:t>
            </w:r>
            <w:r w:rsidR="003578E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173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.61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2025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年上半年，因股权激励确认的股份支付费用为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9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89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.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40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万元以及因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可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转债确认的利息费用为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692.51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万元，如果剔除上述影响，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上半年公司净利润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约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1.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28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亿元。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其中，公司第二季度营收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同比增长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42%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至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3.49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亿，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创单季度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营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收历史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新高。第二季度净利润为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7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516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万元，环比接近翻番；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扣非后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的净利润为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954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万元，环比增加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79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。营收和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净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利润呈现逐季增长的趋势。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公司第二季度毛利率达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35.99%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，环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比显著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提升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3.32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个百分点。得益于产品结构优化与产能利用率提升，预计第三、四季度毛利率延续升势。</w:t>
            </w:r>
          </w:p>
          <w:p w14:paraId="6C2BD289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上半年所有品类产品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营收均实现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同比增长，其中，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算力和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车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规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业务增速远远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超其他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品类。上半年车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规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业务营</w:t>
            </w:r>
            <w:proofErr w:type="gramStart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收规模</w:t>
            </w:r>
            <w:proofErr w:type="gramEnd"/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已超去年全年，在总营收中占比高达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；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算力业务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较去年同期翻番。两者共同构成了公司上半年营收和利润增长的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最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核心驱动力。</w:t>
            </w:r>
          </w:p>
          <w:p w14:paraId="6A6B94D7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公司上半年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资本开支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约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10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亿元，用于购置设备和厂房建设。随着无锡等新厂房逐步投产，此轮投入将支撑公司迎来下一轮更大增长。</w:t>
            </w:r>
          </w:p>
          <w:p w14:paraId="046077ED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（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）业务布局与产能</w:t>
            </w:r>
          </w:p>
          <w:p w14:paraId="13FEB584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公司四个测试基地协同增效，产能稳步释放。南京新厂和无锡新厂分别于去年下半年和今年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7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月开始投入使用，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设备持续扩充，目前处于爬坡期；上海厂已经满产；深圳厂规模较小，属于租赁厂房接近满产。天津作为公司研发中心提供技术支持。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上海总部大楼预计明年落成。未来随着成都项目落地，将基本完成覆盖全国的战略布局。</w:t>
            </w:r>
          </w:p>
          <w:p w14:paraId="7C00348F" w14:textId="77777777" w:rsidR="00DF3F5C" w:rsidRDefault="008C2D4C">
            <w:pPr>
              <w:autoSpaceDE/>
              <w:autoSpaceDN/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kern w:val="2"/>
                <w:sz w:val="24"/>
                <w:szCs w:val="24"/>
                <w:lang w:val="en-US" w:bidi="ar-SA"/>
              </w:rPr>
              <w:t>二、投资者提问</w:t>
            </w:r>
          </w:p>
          <w:p w14:paraId="621B0230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、按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中高端拆分下产能利用率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6B92D351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答：公司整体产能利用率在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月底大概达到了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90%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。目前大概达到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%~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95%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结构上，中端及上海厂基本满产，高端及无锡厂、南京厂有少量提升空间；预计至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月公司整体产能接近满产，增长动能强劲。</w:t>
            </w:r>
          </w:p>
          <w:p w14:paraId="57571F9A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79537E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、两个</w:t>
            </w:r>
            <w:proofErr w:type="gramStart"/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募投项目</w:t>
            </w:r>
            <w:proofErr w:type="gramEnd"/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的投入进度？</w:t>
            </w:r>
          </w:p>
          <w:p w14:paraId="26CC2AA7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截至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，无锡项目和南京项目募集资金投入进度分别达到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89.19%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97.18%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。设备基本上已经投完，目前还剩一些土建工程和合同尾款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06AD89A2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5C62D3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、折旧的影响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03B369C6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公司今年上半年固定资产的折旧为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2.07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亿元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，其中设备的折旧将近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亿元。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预计全年设备相关的折旧规模大概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4.6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亿元，厂房和其他大概为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万左右，合计全年折旧预计大概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4.8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亿元。随着业务结构优化、高端产能利用率不断提升和研发成果转化，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预计下半年营收增速将超越成本与费用增速，规模效应开始显现，盈利能力有望进一步提升。</w:t>
            </w:r>
          </w:p>
          <w:p w14:paraId="529BB1DE" w14:textId="77777777" w:rsidR="00DF3F5C" w:rsidRDefault="00DF3F5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07A8DA6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算力的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营收占比及未来展望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5A649010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公司自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年起前瞻性布局汽车电子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及算力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CPU/GPU/AI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）领域研发。今年迎来成果转化之年，多家客户已成功导入并逐步起量。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今年上半年，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算力业务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占总营收大概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9%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。后续随着合作深化与量产加速，预计全年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算力业务营收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将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实现翻倍增长。</w:t>
            </w:r>
          </w:p>
          <w:p w14:paraId="7E7893BE" w14:textId="77777777" w:rsidR="00DF3F5C" w:rsidRDefault="00DF3F5C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6BDB31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、影响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毛利率的因素？</w:t>
            </w:r>
          </w:p>
          <w:p w14:paraId="21FED236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影响毛利的因素主要是价格、产能利用率和业务结构。目前价格相对比较稳定。一季度是行业的淡季，毛利率随着产能利用率的不断提升呈现逐季增长的趋势。如果高端业务营收占比增加，毛利率也会有所增加。今年第二季度由于产能利用率和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高端占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比提升，毛利率环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比显著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上升了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3.32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个百分点。随着第三、四季度高端产品的放量，产品结构进一步优化，预计第三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四季度的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毛利环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比延续上升趋势。</w:t>
            </w:r>
          </w:p>
          <w:p w14:paraId="114EC2D8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DD65277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6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、高端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是指晶圆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测试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2089CC60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高端里面既有晶圆测试，也有芯片成品测试。高端和中端是按照设备来划分的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高端测试平台是指测试频率高于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100MHz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且通道数大于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512Pin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的测试机。</w:t>
            </w:r>
          </w:p>
          <w:p w14:paraId="6A990F6F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C79BB55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、展望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CP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FT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的收入增速？</w:t>
            </w:r>
          </w:p>
          <w:p w14:paraId="44C05B7E" w14:textId="4AB2E808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今年上半年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营收占比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FT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营收占比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，随着产能利用率不断提高，预计下半年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CP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收入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绝对值会继续增加。另外，随着国产芯片设计水平持续提升和国产替代进程加速，预计未来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FT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增速可能更快。</w:t>
            </w:r>
          </w:p>
          <w:p w14:paraId="7C280DA3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BE2180D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、下半年资产处置和其他收益大概有多少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3B19E75D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下半年政府补助预计有几百万，设备处置会比较少。</w:t>
            </w:r>
          </w:p>
          <w:p w14:paraId="57368EBA" w14:textId="77777777" w:rsidR="00DF3F5C" w:rsidRDefault="00DF3F5C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2C9D9D72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、今年的资本支出计划？</w:t>
            </w:r>
          </w:p>
          <w:p w14:paraId="21889253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答：今年设备端的资本支出计划预计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亿元。</w:t>
            </w:r>
          </w:p>
          <w:p w14:paraId="247B65E5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309E438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、今年价格是否有可能出现涨价的情况？</w:t>
            </w:r>
          </w:p>
          <w:p w14:paraId="017FC9AC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答：目前价格比较稳定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408B14F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9B23426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公司整体的产值？</w:t>
            </w:r>
          </w:p>
          <w:p w14:paraId="3752FF5F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答：实际上的产值主要依赖整体设备规模决定。目前，无锡厂已经是公司一个最大的测试基地，上半年的营收规模占比达到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，下半年预计进一步提升；上海厂营收占比大概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24%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。南京厂占比大概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22%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；深圳厂和天津占比大概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2.5%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~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7536B2AE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094513F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消费电子占比及未来展望？</w:t>
            </w:r>
          </w:p>
          <w:p w14:paraId="7BA527BB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答：消费电子业务去年占比大概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60%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多，今年上半年大概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多。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消费电子绝对值同比是增加的，但营收占比同比下降，预计此优化趋势将持续。</w:t>
            </w:r>
          </w:p>
          <w:p w14:paraId="46D9F4C6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16DDF57" w14:textId="77777777" w:rsidR="00DF3F5C" w:rsidRDefault="008C2D4C">
            <w:pPr>
              <w:pStyle w:val="TableParagraph"/>
              <w:spacing w:line="360" w:lineRule="auto"/>
              <w:ind w:firstLineChars="200" w:firstLine="482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13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  <w:lang w:val="en-US"/>
              </w:rPr>
              <w:t>、上海总部、南京二期和成都项目覆盖的客户群主要是哪些？</w:t>
            </w:r>
          </w:p>
          <w:p w14:paraId="2DEA2723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答：上海总部项目规划是有测试厂房、办公区域、研发中心和实验室，深度绑定长三角客户群，依托本地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FAB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及张江、金桥等芯片设计公司集聚优势，提供就近服务。</w:t>
            </w:r>
          </w:p>
          <w:p w14:paraId="0F193FC6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南京厂房坐落于浦口集成电路产业园，与南京台积电、华天封装等形成本地产业闭环，高效服务当地客户。现有一期产能优先填满，二期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视需求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启动。</w:t>
            </w:r>
          </w:p>
          <w:p w14:paraId="05CA18CB" w14:textId="77777777" w:rsidR="00DF3F5C" w:rsidRDefault="008C2D4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成都项目旨在覆盖成都、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重庆等地的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FAB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和设计公司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，抢占西部市场测试需求。</w:t>
            </w:r>
          </w:p>
          <w:p w14:paraId="6093DA63" w14:textId="77777777" w:rsidR="00DF3F5C" w:rsidRDefault="00DF3F5C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F3F5C" w14:paraId="6C7F4666" w14:textId="77777777">
        <w:trPr>
          <w:trHeight w:val="1433"/>
          <w:jc w:val="center"/>
        </w:trPr>
        <w:tc>
          <w:tcPr>
            <w:tcW w:w="1139" w:type="dxa"/>
            <w:vAlign w:val="center"/>
          </w:tcPr>
          <w:p w14:paraId="7E8B0EAF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风险提示</w:t>
            </w:r>
          </w:p>
        </w:tc>
        <w:tc>
          <w:tcPr>
            <w:tcW w:w="7463" w:type="dxa"/>
          </w:tcPr>
          <w:p w14:paraId="530EDC9E" w14:textId="77777777" w:rsidR="00DF3F5C" w:rsidRDefault="008C2D4C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以上如涉及对行业的预测、公司发展规划等相关内容，不代表公司或公司管理层对行业、公司发展或业绩的盈利预测和承诺，不构成公司对投资者的实质性承诺，敬请广大投资者注意投资风险。</w:t>
            </w:r>
          </w:p>
        </w:tc>
      </w:tr>
      <w:tr w:rsidR="00DF3F5C" w14:paraId="4225B1AD" w14:textId="77777777">
        <w:trPr>
          <w:trHeight w:val="599"/>
          <w:jc w:val="center"/>
        </w:trPr>
        <w:tc>
          <w:tcPr>
            <w:tcW w:w="1139" w:type="dxa"/>
            <w:vAlign w:val="center"/>
          </w:tcPr>
          <w:p w14:paraId="21A6E327" w14:textId="77777777" w:rsidR="00DF3F5C" w:rsidRDefault="008C2D4C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7463" w:type="dxa"/>
            <w:vAlign w:val="center"/>
          </w:tcPr>
          <w:p w14:paraId="7EE7F072" w14:textId="77777777" w:rsidR="00DF3F5C" w:rsidRDefault="008C2D4C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宋体"/>
                <w:sz w:val="24"/>
                <w:szCs w:val="24"/>
                <w:lang w:val="en-US" w:eastAsia="zh-Hans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无</w:t>
            </w:r>
          </w:p>
        </w:tc>
      </w:tr>
    </w:tbl>
    <w:p w14:paraId="655743AE" w14:textId="77777777" w:rsidR="00DF3F5C" w:rsidRDefault="00DF3F5C">
      <w:pPr>
        <w:pStyle w:val="paragraph"/>
        <w:spacing w:before="0" w:beforeAutospacing="0" w:afterLines="100" w:after="240" w:afterAutospacing="0"/>
        <w:jc w:val="both"/>
        <w:rPr>
          <w:rFonts w:ascii="Times New Roman" w:eastAsia="宋体" w:hAnsi="Times New Roman"/>
          <w:color w:val="000000"/>
        </w:rPr>
      </w:pPr>
    </w:p>
    <w:sectPr w:rsidR="00DF3F5C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090">
    <w15:presenceInfo w15:providerId="None" w15:userId="V0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26CC3"/>
    <w:rsid w:val="00036089"/>
    <w:rsid w:val="00053CFA"/>
    <w:rsid w:val="000577F8"/>
    <w:rsid w:val="000633EC"/>
    <w:rsid w:val="00063804"/>
    <w:rsid w:val="000665A2"/>
    <w:rsid w:val="00070D81"/>
    <w:rsid w:val="000759D7"/>
    <w:rsid w:val="00082944"/>
    <w:rsid w:val="000857A4"/>
    <w:rsid w:val="000877AB"/>
    <w:rsid w:val="0009126F"/>
    <w:rsid w:val="000A2828"/>
    <w:rsid w:val="000A44DE"/>
    <w:rsid w:val="000B75BA"/>
    <w:rsid w:val="000B7C08"/>
    <w:rsid w:val="000D12CF"/>
    <w:rsid w:val="000D2D88"/>
    <w:rsid w:val="000D658C"/>
    <w:rsid w:val="000E4B20"/>
    <w:rsid w:val="000E4FCF"/>
    <w:rsid w:val="000F7B52"/>
    <w:rsid w:val="0011418F"/>
    <w:rsid w:val="00117B1D"/>
    <w:rsid w:val="0012250D"/>
    <w:rsid w:val="0013206B"/>
    <w:rsid w:val="00150BC8"/>
    <w:rsid w:val="00172C24"/>
    <w:rsid w:val="00173C36"/>
    <w:rsid w:val="00173DE7"/>
    <w:rsid w:val="001778F6"/>
    <w:rsid w:val="001818AD"/>
    <w:rsid w:val="00190FE3"/>
    <w:rsid w:val="001918C4"/>
    <w:rsid w:val="001A57E3"/>
    <w:rsid w:val="001B4711"/>
    <w:rsid w:val="001B559B"/>
    <w:rsid w:val="001C1D90"/>
    <w:rsid w:val="001C7260"/>
    <w:rsid w:val="001D2D55"/>
    <w:rsid w:val="001E1886"/>
    <w:rsid w:val="001E59D1"/>
    <w:rsid w:val="001E5EA4"/>
    <w:rsid w:val="001F1EE1"/>
    <w:rsid w:val="002042A7"/>
    <w:rsid w:val="002051AE"/>
    <w:rsid w:val="00205911"/>
    <w:rsid w:val="002146AD"/>
    <w:rsid w:val="002348D1"/>
    <w:rsid w:val="0024262E"/>
    <w:rsid w:val="002618DB"/>
    <w:rsid w:val="002676DB"/>
    <w:rsid w:val="00275CB6"/>
    <w:rsid w:val="002800B5"/>
    <w:rsid w:val="00285CD0"/>
    <w:rsid w:val="00290116"/>
    <w:rsid w:val="00293238"/>
    <w:rsid w:val="00295331"/>
    <w:rsid w:val="00295B29"/>
    <w:rsid w:val="0029704C"/>
    <w:rsid w:val="00297501"/>
    <w:rsid w:val="002B45D2"/>
    <w:rsid w:val="002B62C3"/>
    <w:rsid w:val="002C13E4"/>
    <w:rsid w:val="002C4055"/>
    <w:rsid w:val="002C549B"/>
    <w:rsid w:val="002C6F3D"/>
    <w:rsid w:val="002D1A46"/>
    <w:rsid w:val="002D2CE3"/>
    <w:rsid w:val="002D355E"/>
    <w:rsid w:val="002D4073"/>
    <w:rsid w:val="002E7098"/>
    <w:rsid w:val="002F5191"/>
    <w:rsid w:val="002F63BE"/>
    <w:rsid w:val="00301D32"/>
    <w:rsid w:val="00306A62"/>
    <w:rsid w:val="00307E23"/>
    <w:rsid w:val="0031357A"/>
    <w:rsid w:val="00347CB6"/>
    <w:rsid w:val="0035561C"/>
    <w:rsid w:val="00357807"/>
    <w:rsid w:val="003578E8"/>
    <w:rsid w:val="00366FAD"/>
    <w:rsid w:val="0036713B"/>
    <w:rsid w:val="0037105B"/>
    <w:rsid w:val="0038006C"/>
    <w:rsid w:val="0039316F"/>
    <w:rsid w:val="003975BA"/>
    <w:rsid w:val="003A2B26"/>
    <w:rsid w:val="003A74E6"/>
    <w:rsid w:val="003B73DD"/>
    <w:rsid w:val="003C7C2F"/>
    <w:rsid w:val="003D011C"/>
    <w:rsid w:val="003F6D3C"/>
    <w:rsid w:val="00401496"/>
    <w:rsid w:val="00403B08"/>
    <w:rsid w:val="004108C7"/>
    <w:rsid w:val="00412DC2"/>
    <w:rsid w:val="004146AD"/>
    <w:rsid w:val="004350A0"/>
    <w:rsid w:val="004368FF"/>
    <w:rsid w:val="00440041"/>
    <w:rsid w:val="00443FE5"/>
    <w:rsid w:val="00451268"/>
    <w:rsid w:val="004515AD"/>
    <w:rsid w:val="00451857"/>
    <w:rsid w:val="00453516"/>
    <w:rsid w:val="0045629D"/>
    <w:rsid w:val="00457548"/>
    <w:rsid w:val="00461796"/>
    <w:rsid w:val="0046309A"/>
    <w:rsid w:val="004632DA"/>
    <w:rsid w:val="00463650"/>
    <w:rsid w:val="00470DB2"/>
    <w:rsid w:val="00480ACA"/>
    <w:rsid w:val="00482DDD"/>
    <w:rsid w:val="00483B65"/>
    <w:rsid w:val="0048425F"/>
    <w:rsid w:val="00485A3F"/>
    <w:rsid w:val="004925E7"/>
    <w:rsid w:val="00495B11"/>
    <w:rsid w:val="004C4F91"/>
    <w:rsid w:val="004D414E"/>
    <w:rsid w:val="004D503C"/>
    <w:rsid w:val="004E286B"/>
    <w:rsid w:val="004E3894"/>
    <w:rsid w:val="004E4304"/>
    <w:rsid w:val="004E43C1"/>
    <w:rsid w:val="004E4491"/>
    <w:rsid w:val="004F0F72"/>
    <w:rsid w:val="004F1B91"/>
    <w:rsid w:val="004F6FF3"/>
    <w:rsid w:val="00500908"/>
    <w:rsid w:val="00507A0D"/>
    <w:rsid w:val="0051181D"/>
    <w:rsid w:val="00522E31"/>
    <w:rsid w:val="00525CFE"/>
    <w:rsid w:val="00533E07"/>
    <w:rsid w:val="00544AD9"/>
    <w:rsid w:val="005458CF"/>
    <w:rsid w:val="005540AA"/>
    <w:rsid w:val="00571B49"/>
    <w:rsid w:val="005743AE"/>
    <w:rsid w:val="005762CD"/>
    <w:rsid w:val="005869A1"/>
    <w:rsid w:val="005934B2"/>
    <w:rsid w:val="0059477D"/>
    <w:rsid w:val="005972A6"/>
    <w:rsid w:val="005A3F66"/>
    <w:rsid w:val="005B313C"/>
    <w:rsid w:val="005B482C"/>
    <w:rsid w:val="005D0DCE"/>
    <w:rsid w:val="005D30A7"/>
    <w:rsid w:val="005D64CA"/>
    <w:rsid w:val="005E2FC7"/>
    <w:rsid w:val="005E5717"/>
    <w:rsid w:val="005E6DB2"/>
    <w:rsid w:val="005F44BD"/>
    <w:rsid w:val="005F709A"/>
    <w:rsid w:val="00611393"/>
    <w:rsid w:val="00611E0E"/>
    <w:rsid w:val="0061433E"/>
    <w:rsid w:val="006159E3"/>
    <w:rsid w:val="00616F76"/>
    <w:rsid w:val="00616FDF"/>
    <w:rsid w:val="0062246F"/>
    <w:rsid w:val="0062751D"/>
    <w:rsid w:val="00627BB3"/>
    <w:rsid w:val="00631087"/>
    <w:rsid w:val="006354AA"/>
    <w:rsid w:val="00642556"/>
    <w:rsid w:val="0064351C"/>
    <w:rsid w:val="00661AFA"/>
    <w:rsid w:val="006726BF"/>
    <w:rsid w:val="00675B49"/>
    <w:rsid w:val="00677B77"/>
    <w:rsid w:val="0068718A"/>
    <w:rsid w:val="0069089C"/>
    <w:rsid w:val="006960E7"/>
    <w:rsid w:val="00696FCC"/>
    <w:rsid w:val="006A2286"/>
    <w:rsid w:val="006A2739"/>
    <w:rsid w:val="006A57E2"/>
    <w:rsid w:val="006B5C95"/>
    <w:rsid w:val="006B7293"/>
    <w:rsid w:val="006C0CED"/>
    <w:rsid w:val="006D1AD0"/>
    <w:rsid w:val="006D544A"/>
    <w:rsid w:val="006D737E"/>
    <w:rsid w:val="006E14B0"/>
    <w:rsid w:val="006E66E1"/>
    <w:rsid w:val="006F0108"/>
    <w:rsid w:val="006F4608"/>
    <w:rsid w:val="006F672A"/>
    <w:rsid w:val="00704AE6"/>
    <w:rsid w:val="007153A2"/>
    <w:rsid w:val="007205DC"/>
    <w:rsid w:val="00724A68"/>
    <w:rsid w:val="007271BF"/>
    <w:rsid w:val="00727DDE"/>
    <w:rsid w:val="00730DD3"/>
    <w:rsid w:val="00733224"/>
    <w:rsid w:val="00733C9A"/>
    <w:rsid w:val="00741E7A"/>
    <w:rsid w:val="00744BA0"/>
    <w:rsid w:val="00755F0F"/>
    <w:rsid w:val="00756904"/>
    <w:rsid w:val="00763EA3"/>
    <w:rsid w:val="00764128"/>
    <w:rsid w:val="00767AE4"/>
    <w:rsid w:val="007817AF"/>
    <w:rsid w:val="007824B8"/>
    <w:rsid w:val="00785B39"/>
    <w:rsid w:val="007910DD"/>
    <w:rsid w:val="00795B68"/>
    <w:rsid w:val="007A3EC1"/>
    <w:rsid w:val="007B3368"/>
    <w:rsid w:val="007C10BC"/>
    <w:rsid w:val="007C1D25"/>
    <w:rsid w:val="007C37B9"/>
    <w:rsid w:val="007C3CA9"/>
    <w:rsid w:val="007C68E1"/>
    <w:rsid w:val="007C7017"/>
    <w:rsid w:val="007D0A69"/>
    <w:rsid w:val="007D64BB"/>
    <w:rsid w:val="007D6DC4"/>
    <w:rsid w:val="007F529A"/>
    <w:rsid w:val="00810505"/>
    <w:rsid w:val="00812425"/>
    <w:rsid w:val="00812598"/>
    <w:rsid w:val="008160A0"/>
    <w:rsid w:val="00830491"/>
    <w:rsid w:val="00831107"/>
    <w:rsid w:val="00832BF4"/>
    <w:rsid w:val="0083536E"/>
    <w:rsid w:val="00840B10"/>
    <w:rsid w:val="00840FC0"/>
    <w:rsid w:val="008467EA"/>
    <w:rsid w:val="0085308D"/>
    <w:rsid w:val="00853463"/>
    <w:rsid w:val="00856D25"/>
    <w:rsid w:val="008615C6"/>
    <w:rsid w:val="00876634"/>
    <w:rsid w:val="00890268"/>
    <w:rsid w:val="00893F25"/>
    <w:rsid w:val="00895035"/>
    <w:rsid w:val="008977AF"/>
    <w:rsid w:val="008A1E07"/>
    <w:rsid w:val="008B2B14"/>
    <w:rsid w:val="008B57AA"/>
    <w:rsid w:val="008B6464"/>
    <w:rsid w:val="008C1BE0"/>
    <w:rsid w:val="008C2D4C"/>
    <w:rsid w:val="008C6AED"/>
    <w:rsid w:val="008C7604"/>
    <w:rsid w:val="008D2EAF"/>
    <w:rsid w:val="008E0A51"/>
    <w:rsid w:val="008E1B27"/>
    <w:rsid w:val="008E61B0"/>
    <w:rsid w:val="008F7496"/>
    <w:rsid w:val="00903379"/>
    <w:rsid w:val="00906975"/>
    <w:rsid w:val="009171C5"/>
    <w:rsid w:val="00917F0B"/>
    <w:rsid w:val="00917F8B"/>
    <w:rsid w:val="00932338"/>
    <w:rsid w:val="00951CD8"/>
    <w:rsid w:val="00954332"/>
    <w:rsid w:val="009564E0"/>
    <w:rsid w:val="009605F6"/>
    <w:rsid w:val="00960698"/>
    <w:rsid w:val="00960964"/>
    <w:rsid w:val="00965E4D"/>
    <w:rsid w:val="009760BD"/>
    <w:rsid w:val="00977143"/>
    <w:rsid w:val="00986110"/>
    <w:rsid w:val="0099154E"/>
    <w:rsid w:val="009922B0"/>
    <w:rsid w:val="009A20C4"/>
    <w:rsid w:val="009B1D5C"/>
    <w:rsid w:val="009B4901"/>
    <w:rsid w:val="009C080B"/>
    <w:rsid w:val="009C2464"/>
    <w:rsid w:val="009C2E31"/>
    <w:rsid w:val="009D0316"/>
    <w:rsid w:val="009D4301"/>
    <w:rsid w:val="009E0D5D"/>
    <w:rsid w:val="009E1955"/>
    <w:rsid w:val="009E7ED5"/>
    <w:rsid w:val="00A061BF"/>
    <w:rsid w:val="00A10245"/>
    <w:rsid w:val="00A26325"/>
    <w:rsid w:val="00A330C0"/>
    <w:rsid w:val="00A33784"/>
    <w:rsid w:val="00A3445D"/>
    <w:rsid w:val="00A416C4"/>
    <w:rsid w:val="00A43140"/>
    <w:rsid w:val="00A52607"/>
    <w:rsid w:val="00A527AA"/>
    <w:rsid w:val="00A56784"/>
    <w:rsid w:val="00A5684D"/>
    <w:rsid w:val="00A63B43"/>
    <w:rsid w:val="00A75C61"/>
    <w:rsid w:val="00A7758F"/>
    <w:rsid w:val="00A955CE"/>
    <w:rsid w:val="00A9601B"/>
    <w:rsid w:val="00A9642C"/>
    <w:rsid w:val="00AA02FC"/>
    <w:rsid w:val="00AA0910"/>
    <w:rsid w:val="00AA4348"/>
    <w:rsid w:val="00AB2DDC"/>
    <w:rsid w:val="00AD100E"/>
    <w:rsid w:val="00AD3FFF"/>
    <w:rsid w:val="00AE1E36"/>
    <w:rsid w:val="00AF74AA"/>
    <w:rsid w:val="00B03C2F"/>
    <w:rsid w:val="00B05CAA"/>
    <w:rsid w:val="00B07DE9"/>
    <w:rsid w:val="00B15064"/>
    <w:rsid w:val="00B219F7"/>
    <w:rsid w:val="00B27754"/>
    <w:rsid w:val="00B3167B"/>
    <w:rsid w:val="00B340A3"/>
    <w:rsid w:val="00B36D66"/>
    <w:rsid w:val="00B375AD"/>
    <w:rsid w:val="00B410F5"/>
    <w:rsid w:val="00B44242"/>
    <w:rsid w:val="00B546CF"/>
    <w:rsid w:val="00B6280C"/>
    <w:rsid w:val="00B6415C"/>
    <w:rsid w:val="00B671A4"/>
    <w:rsid w:val="00B72CD4"/>
    <w:rsid w:val="00B83832"/>
    <w:rsid w:val="00B85B00"/>
    <w:rsid w:val="00BA4159"/>
    <w:rsid w:val="00BA5BB7"/>
    <w:rsid w:val="00BB40A8"/>
    <w:rsid w:val="00BB56F7"/>
    <w:rsid w:val="00BC0C7F"/>
    <w:rsid w:val="00BC1591"/>
    <w:rsid w:val="00BC41EC"/>
    <w:rsid w:val="00BD5195"/>
    <w:rsid w:val="00BE0A7D"/>
    <w:rsid w:val="00BE74F3"/>
    <w:rsid w:val="00BF132F"/>
    <w:rsid w:val="00BF3270"/>
    <w:rsid w:val="00BF392F"/>
    <w:rsid w:val="00BF5955"/>
    <w:rsid w:val="00C04289"/>
    <w:rsid w:val="00C06081"/>
    <w:rsid w:val="00C13878"/>
    <w:rsid w:val="00C15DBD"/>
    <w:rsid w:val="00C31284"/>
    <w:rsid w:val="00C40110"/>
    <w:rsid w:val="00C40873"/>
    <w:rsid w:val="00C634E9"/>
    <w:rsid w:val="00C94E06"/>
    <w:rsid w:val="00C9551B"/>
    <w:rsid w:val="00CA1705"/>
    <w:rsid w:val="00CB787F"/>
    <w:rsid w:val="00CC2F08"/>
    <w:rsid w:val="00CC322F"/>
    <w:rsid w:val="00CE1A54"/>
    <w:rsid w:val="00CE3B27"/>
    <w:rsid w:val="00CF1332"/>
    <w:rsid w:val="00CF18F2"/>
    <w:rsid w:val="00CF4A48"/>
    <w:rsid w:val="00CF5FB6"/>
    <w:rsid w:val="00CF629B"/>
    <w:rsid w:val="00CF7697"/>
    <w:rsid w:val="00D02518"/>
    <w:rsid w:val="00D02BF7"/>
    <w:rsid w:val="00D05354"/>
    <w:rsid w:val="00D17454"/>
    <w:rsid w:val="00D242D6"/>
    <w:rsid w:val="00D33FBC"/>
    <w:rsid w:val="00D4153D"/>
    <w:rsid w:val="00D65CF6"/>
    <w:rsid w:val="00D67CC9"/>
    <w:rsid w:val="00D7535C"/>
    <w:rsid w:val="00D76302"/>
    <w:rsid w:val="00D920F6"/>
    <w:rsid w:val="00DA5CE2"/>
    <w:rsid w:val="00DB32A8"/>
    <w:rsid w:val="00DB37BC"/>
    <w:rsid w:val="00DC5238"/>
    <w:rsid w:val="00DD4AAF"/>
    <w:rsid w:val="00DD77DA"/>
    <w:rsid w:val="00DE10E8"/>
    <w:rsid w:val="00DE4A17"/>
    <w:rsid w:val="00DF3F5C"/>
    <w:rsid w:val="00DF432F"/>
    <w:rsid w:val="00DF5B93"/>
    <w:rsid w:val="00E12C2C"/>
    <w:rsid w:val="00E16FDA"/>
    <w:rsid w:val="00E22383"/>
    <w:rsid w:val="00E24110"/>
    <w:rsid w:val="00E32F5A"/>
    <w:rsid w:val="00E3505B"/>
    <w:rsid w:val="00E35F58"/>
    <w:rsid w:val="00E36B27"/>
    <w:rsid w:val="00E40CAC"/>
    <w:rsid w:val="00E41F88"/>
    <w:rsid w:val="00E42644"/>
    <w:rsid w:val="00E45BD9"/>
    <w:rsid w:val="00E46A6A"/>
    <w:rsid w:val="00E5290D"/>
    <w:rsid w:val="00E5761F"/>
    <w:rsid w:val="00E66FFC"/>
    <w:rsid w:val="00E7556B"/>
    <w:rsid w:val="00E759D6"/>
    <w:rsid w:val="00E75D35"/>
    <w:rsid w:val="00E82523"/>
    <w:rsid w:val="00E84A8C"/>
    <w:rsid w:val="00E91D05"/>
    <w:rsid w:val="00E97626"/>
    <w:rsid w:val="00E976DE"/>
    <w:rsid w:val="00EA06FF"/>
    <w:rsid w:val="00EA3568"/>
    <w:rsid w:val="00EB1A79"/>
    <w:rsid w:val="00EC0A5A"/>
    <w:rsid w:val="00EC0F83"/>
    <w:rsid w:val="00EC2F21"/>
    <w:rsid w:val="00ED45DB"/>
    <w:rsid w:val="00EE3187"/>
    <w:rsid w:val="00EE5EE9"/>
    <w:rsid w:val="00EE617E"/>
    <w:rsid w:val="00EF4407"/>
    <w:rsid w:val="00EF499B"/>
    <w:rsid w:val="00F12205"/>
    <w:rsid w:val="00F13757"/>
    <w:rsid w:val="00F14977"/>
    <w:rsid w:val="00F23035"/>
    <w:rsid w:val="00F252DF"/>
    <w:rsid w:val="00F3343A"/>
    <w:rsid w:val="00F4504F"/>
    <w:rsid w:val="00F52668"/>
    <w:rsid w:val="00F772C5"/>
    <w:rsid w:val="00FA7F70"/>
    <w:rsid w:val="00FB4A08"/>
    <w:rsid w:val="00FB597F"/>
    <w:rsid w:val="00FC0C2A"/>
    <w:rsid w:val="00FC3C57"/>
    <w:rsid w:val="00FC6286"/>
    <w:rsid w:val="00FD7F8E"/>
    <w:rsid w:val="00FE13FC"/>
    <w:rsid w:val="00FE2093"/>
    <w:rsid w:val="00FF11E4"/>
    <w:rsid w:val="00FF7C19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A950E9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  <w:rsid w:val="7FA7D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uiPriority w:val="39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457</Words>
  <Characters>2611</Characters>
  <Application>Microsoft Office Word</Application>
  <DocSecurity>0</DocSecurity>
  <Lines>21</Lines>
  <Paragraphs>6</Paragraphs>
  <ScaleCrop>false</ScaleCrop>
  <Company>P R C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Dan Liu</cp:lastModifiedBy>
  <cp:revision>8</cp:revision>
  <dcterms:created xsi:type="dcterms:W3CDTF">2025-08-22T06:37:00Z</dcterms:created>
  <dcterms:modified xsi:type="dcterms:W3CDTF">2025-08-22T07:48:00Z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eyJoZGlkIjoiYmQ0NjBhOGUzYTQyMGFkMGJhOTU5ZTA0NTU4YWViMWUifQ==</vt:lpwstr>
  </property>
</Properties>
</file>