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 w:lineRule="exact"/>
      </w:pPr>
    </w:p>
    <w:tbl>
      <w:tblPr>
        <w:tblStyle w:val="4"/>
        <w:tblW w:w="8042" w:type="dxa"/>
        <w:tblInd w:w="44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8"/>
        <w:gridCol w:w="414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3898" w:type="dxa"/>
            <w:vAlign w:val="top"/>
          </w:tcPr>
          <w:p>
            <w:pPr>
              <w:pStyle w:val="5"/>
              <w:spacing w:line="219" w:lineRule="auto"/>
              <w:outlineLvl w:val="0"/>
              <w:rPr>
                <w:rFonts w:ascii="Times New Roman" w:hAnsi="Times New Roman" w:eastAsia="Times New Roman" w:cs="Times New Roman"/>
              </w:rPr>
            </w:pPr>
            <w:r>
              <w:rPr>
                <w:b/>
                <w:bCs/>
                <w:spacing w:val="-2"/>
              </w:rPr>
              <w:t>证券代码：</w:t>
            </w:r>
            <w:r>
              <w:rPr>
                <w:rFonts w:ascii="Times New Roman" w:hAnsi="Times New Roman" w:eastAsia="Times New Roman" w:cs="Times New Roman"/>
                <w:b/>
                <w:bCs/>
                <w:spacing w:val="-2"/>
              </w:rPr>
              <w:t>688779</w:t>
            </w:r>
          </w:p>
        </w:tc>
        <w:tc>
          <w:tcPr>
            <w:tcW w:w="4144" w:type="dxa"/>
            <w:vAlign w:val="top"/>
          </w:tcPr>
          <w:p>
            <w:pPr>
              <w:pStyle w:val="5"/>
              <w:spacing w:line="218" w:lineRule="auto"/>
              <w:jc w:val="right"/>
            </w:pPr>
            <w:r>
              <w:rPr>
                <w:b/>
                <w:bCs/>
                <w:spacing w:val="-3"/>
              </w:rPr>
              <w:t>证券简称：五矿新能</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3898" w:type="dxa"/>
            <w:vAlign w:val="top"/>
          </w:tcPr>
          <w:p>
            <w:pPr>
              <w:pStyle w:val="5"/>
              <w:spacing w:before="114" w:line="176" w:lineRule="auto"/>
              <w:outlineLvl w:val="0"/>
              <w:rPr>
                <w:rFonts w:ascii="Times New Roman" w:hAnsi="Times New Roman" w:eastAsia="Times New Roman" w:cs="Times New Roman"/>
              </w:rPr>
            </w:pPr>
            <w:r>
              <w:rPr>
                <w:b/>
                <w:bCs/>
                <w:spacing w:val="-3"/>
              </w:rPr>
              <w:t>转债代码：</w:t>
            </w:r>
            <w:r>
              <w:rPr>
                <w:rFonts w:ascii="Times New Roman" w:hAnsi="Times New Roman" w:eastAsia="Times New Roman" w:cs="Times New Roman"/>
                <w:b/>
                <w:bCs/>
                <w:spacing w:val="-3"/>
              </w:rPr>
              <w:t>118022</w:t>
            </w:r>
          </w:p>
        </w:tc>
        <w:tc>
          <w:tcPr>
            <w:tcW w:w="4144" w:type="dxa"/>
            <w:vAlign w:val="top"/>
          </w:tcPr>
          <w:p>
            <w:pPr>
              <w:pStyle w:val="5"/>
              <w:spacing w:before="114" w:line="176" w:lineRule="auto"/>
              <w:ind w:right="4"/>
              <w:jc w:val="right"/>
            </w:pPr>
            <w:r>
              <w:rPr>
                <w:b/>
                <w:bCs/>
                <w:spacing w:val="-3"/>
              </w:rPr>
              <w:t>转债简称：锂科转债</w:t>
            </w:r>
          </w:p>
        </w:tc>
      </w:tr>
    </w:tbl>
    <w:p>
      <w:pPr>
        <w:spacing w:line="447" w:lineRule="auto"/>
        <w:rPr>
          <w:rFonts w:ascii="Arial"/>
          <w:sz w:val="21"/>
        </w:rPr>
      </w:pPr>
    </w:p>
    <w:p>
      <w:pPr>
        <w:spacing w:before="101" w:line="224" w:lineRule="auto"/>
        <w:ind w:left="1869"/>
        <w:outlineLvl w:val="0"/>
        <w:rPr>
          <w:rFonts w:ascii="宋体" w:hAnsi="宋体" w:eastAsia="宋体" w:cs="宋体"/>
          <w:sz w:val="31"/>
          <w:szCs w:val="31"/>
        </w:rPr>
      </w:pPr>
      <w:r>
        <w:rPr>
          <w:rFonts w:ascii="宋体" w:hAnsi="宋体" w:eastAsia="宋体" w:cs="宋体"/>
          <w:b/>
          <w:bCs/>
          <w:spacing w:val="6"/>
          <w:sz w:val="31"/>
          <w:szCs w:val="31"/>
        </w:rPr>
        <w:t>五矿新能源材料（湖南）股份有限公司</w:t>
      </w:r>
    </w:p>
    <w:p>
      <w:pPr>
        <w:spacing w:before="246" w:line="225" w:lineRule="auto"/>
        <w:ind w:left="2993"/>
        <w:outlineLvl w:val="0"/>
        <w:rPr>
          <w:rFonts w:ascii="宋体" w:hAnsi="宋体" w:eastAsia="宋体" w:cs="宋体"/>
          <w:sz w:val="31"/>
          <w:szCs w:val="31"/>
        </w:rPr>
      </w:pPr>
      <w:r>
        <w:rPr>
          <w:rFonts w:ascii="宋体" w:hAnsi="宋体" w:eastAsia="宋体" w:cs="宋体"/>
          <w:b/>
          <w:bCs/>
          <w:spacing w:val="6"/>
          <w:sz w:val="31"/>
          <w:szCs w:val="31"/>
        </w:rPr>
        <w:t>投资者关系活动记录表</w:t>
      </w:r>
    </w:p>
    <w:p>
      <w:pPr>
        <w:spacing w:before="232" w:line="219" w:lineRule="auto"/>
        <w:ind w:right="16"/>
        <w:jc w:val="right"/>
        <w:outlineLvl w:val="0"/>
        <w:rPr>
          <w:rFonts w:hint="eastAsia" w:ascii="Times New Roman" w:hAnsi="Times New Roman" w:eastAsia="宋体" w:cs="Times New Roman"/>
          <w:sz w:val="24"/>
          <w:szCs w:val="24"/>
          <w:lang w:val="en-US" w:eastAsia="zh-CN"/>
        </w:rPr>
      </w:pPr>
      <w:r>
        <w:rPr>
          <w:rFonts w:ascii="宋体" w:hAnsi="宋体" w:eastAsia="宋体" w:cs="宋体"/>
          <w:spacing w:val="-2"/>
          <w:sz w:val="24"/>
          <w:szCs w:val="24"/>
        </w:rPr>
        <w:t>编号：</w:t>
      </w:r>
      <w:r>
        <w:rPr>
          <w:rFonts w:ascii="Times New Roman" w:hAnsi="Times New Roman" w:eastAsia="Times New Roman" w:cs="Times New Roman"/>
          <w:spacing w:val="-2"/>
          <w:sz w:val="24"/>
          <w:szCs w:val="24"/>
        </w:rPr>
        <w:t>2025-00</w:t>
      </w:r>
      <w:r>
        <w:rPr>
          <w:rFonts w:hint="eastAsia" w:ascii="Times New Roman" w:hAnsi="Times New Roman" w:eastAsia="宋体" w:cs="Times New Roman"/>
          <w:spacing w:val="-2"/>
          <w:sz w:val="24"/>
          <w:szCs w:val="24"/>
          <w:lang w:val="en-US" w:eastAsia="zh-CN"/>
        </w:rPr>
        <w:t>2</w:t>
      </w:r>
    </w:p>
    <w:p>
      <w:pPr>
        <w:spacing w:line="146" w:lineRule="exact"/>
      </w:pPr>
    </w:p>
    <w:tbl>
      <w:tblPr>
        <w:tblStyle w:val="4"/>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6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3" w:hRule="atLeast"/>
        </w:trPr>
        <w:tc>
          <w:tcPr>
            <w:tcW w:w="1957" w:type="dxa"/>
            <w:vAlign w:val="top"/>
          </w:tcPr>
          <w:p>
            <w:pPr>
              <w:keepNext w:val="0"/>
              <w:keepLines/>
              <w:pageBreakBefore w:val="0"/>
              <w:widowControl w:val="0"/>
              <w:overflowPunct/>
              <w:topLinePunct w:val="0"/>
              <w:bidi w:val="0"/>
              <w:adjustRightInd w:val="0"/>
              <w:snapToGrid w:val="0"/>
              <w:spacing w:line="246" w:lineRule="auto"/>
              <w:textAlignment w:val="baseline"/>
              <w:rPr>
                <w:rFonts w:ascii="Arial"/>
                <w:sz w:val="21"/>
              </w:rPr>
            </w:pPr>
          </w:p>
          <w:p>
            <w:pPr>
              <w:keepNext w:val="0"/>
              <w:keepLines/>
              <w:pageBreakBefore w:val="0"/>
              <w:widowControl w:val="0"/>
              <w:overflowPunct/>
              <w:topLinePunct w:val="0"/>
              <w:bidi w:val="0"/>
              <w:adjustRightInd w:val="0"/>
              <w:snapToGrid w:val="0"/>
              <w:spacing w:line="246" w:lineRule="auto"/>
              <w:textAlignment w:val="baseline"/>
              <w:rPr>
                <w:rFonts w:ascii="Arial"/>
                <w:sz w:val="21"/>
              </w:rPr>
            </w:pPr>
          </w:p>
          <w:p>
            <w:pPr>
              <w:keepNext w:val="0"/>
              <w:keepLines/>
              <w:pageBreakBefore w:val="0"/>
              <w:widowControl w:val="0"/>
              <w:overflowPunct/>
              <w:topLinePunct w:val="0"/>
              <w:bidi w:val="0"/>
              <w:adjustRightInd w:val="0"/>
              <w:snapToGrid w:val="0"/>
              <w:spacing w:line="246" w:lineRule="auto"/>
              <w:textAlignment w:val="baseline"/>
              <w:rPr>
                <w:rFonts w:ascii="Arial"/>
                <w:sz w:val="21"/>
              </w:rPr>
            </w:pPr>
          </w:p>
          <w:p>
            <w:pPr>
              <w:pStyle w:val="5"/>
              <w:keepNext w:val="0"/>
              <w:keepLines/>
              <w:pageBreakBefore w:val="0"/>
              <w:widowControl w:val="0"/>
              <w:overflowPunct/>
              <w:topLinePunct w:val="0"/>
              <w:bidi w:val="0"/>
              <w:adjustRightInd w:val="0"/>
              <w:snapToGrid w:val="0"/>
              <w:spacing w:before="78" w:line="362" w:lineRule="auto"/>
              <w:ind w:left="744" w:right="134" w:hanging="599"/>
              <w:textAlignment w:val="baseline"/>
            </w:pPr>
            <w:r>
              <w:rPr>
                <w:b/>
                <w:bCs/>
                <w:spacing w:val="-4"/>
              </w:rPr>
              <w:t>投资者关系活动</w:t>
            </w:r>
            <w:r>
              <w:rPr>
                <w:spacing w:val="1"/>
              </w:rPr>
              <w:t xml:space="preserve"> </w:t>
            </w:r>
            <w:r>
              <w:rPr>
                <w:b/>
                <w:bCs/>
                <w:spacing w:val="-8"/>
              </w:rPr>
              <w:t>类别</w:t>
            </w:r>
          </w:p>
        </w:tc>
        <w:tc>
          <w:tcPr>
            <w:tcW w:w="6661" w:type="dxa"/>
            <w:vAlign w:val="top"/>
          </w:tcPr>
          <w:p>
            <w:pPr>
              <w:pStyle w:val="5"/>
              <w:keepNext w:val="0"/>
              <w:keepLines/>
              <w:pageBreakBefore w:val="0"/>
              <w:widowControl w:val="0"/>
              <w:kinsoku w:val="0"/>
              <w:wordWrap/>
              <w:overflowPunct/>
              <w:topLinePunct w:val="0"/>
              <w:autoSpaceDE w:val="0"/>
              <w:autoSpaceDN w:val="0"/>
              <w:bidi w:val="0"/>
              <w:adjustRightInd w:val="0"/>
              <w:snapToGrid w:val="0"/>
              <w:spacing w:line="240" w:lineRule="auto"/>
              <w:ind w:left="232"/>
              <w:jc w:val="both"/>
              <w:textAlignment w:val="baseline"/>
            </w:pPr>
            <w:r>
              <w:rPr>
                <w:rFonts w:ascii="微软雅黑" w:hAnsi="微软雅黑" w:eastAsia="微软雅黑" w:cs="微软雅黑"/>
                <w:spacing w:val="5"/>
              </w:rPr>
              <w:t>□</w:t>
            </w:r>
            <w:r>
              <w:rPr>
                <w:spacing w:val="5"/>
              </w:rPr>
              <w:t>特定对象调研</w:t>
            </w:r>
            <w:r>
              <w:rPr>
                <w:spacing w:val="9"/>
              </w:rPr>
              <w:t xml:space="preserve">           </w:t>
            </w:r>
            <w:r>
              <w:rPr>
                <w:rFonts w:hint="eastAsia" w:ascii="微软雅黑" w:hAnsi="微软雅黑" w:eastAsia="微软雅黑" w:cs="微软雅黑"/>
                <w:spacing w:val="5"/>
                <w:lang w:eastAsia="zh-CN"/>
              </w:rPr>
              <w:t>□</w:t>
            </w:r>
            <w:r>
              <w:rPr>
                <w:spacing w:val="5"/>
              </w:rPr>
              <w:t>分析师会议</w:t>
            </w:r>
          </w:p>
          <w:p>
            <w:pPr>
              <w:pStyle w:val="5"/>
              <w:keepNext w:val="0"/>
              <w:keepLines/>
              <w:pageBreakBefore w:val="0"/>
              <w:widowControl w:val="0"/>
              <w:kinsoku w:val="0"/>
              <w:wordWrap/>
              <w:overflowPunct/>
              <w:topLinePunct w:val="0"/>
              <w:autoSpaceDE w:val="0"/>
              <w:autoSpaceDN w:val="0"/>
              <w:bidi w:val="0"/>
              <w:adjustRightInd w:val="0"/>
              <w:snapToGrid w:val="0"/>
              <w:spacing w:line="240" w:lineRule="auto"/>
              <w:ind w:left="232"/>
              <w:jc w:val="both"/>
              <w:textAlignment w:val="baseline"/>
            </w:pPr>
            <w:r>
              <w:rPr>
                <w:rFonts w:ascii="微软雅黑" w:hAnsi="微软雅黑" w:eastAsia="微软雅黑" w:cs="微软雅黑"/>
                <w:spacing w:val="-2"/>
              </w:rPr>
              <w:t>□</w:t>
            </w:r>
            <w:r>
              <w:rPr>
                <w:spacing w:val="-2"/>
              </w:rPr>
              <w:t>媒体采访</w:t>
            </w:r>
            <w:r>
              <w:rPr>
                <w:spacing w:val="7"/>
              </w:rPr>
              <w:t xml:space="preserve">               </w:t>
            </w:r>
            <w:r>
              <w:rPr>
                <w:rFonts w:ascii="微软雅黑" w:hAnsi="微软雅黑" w:eastAsia="微软雅黑" w:cs="微软雅黑"/>
                <w:spacing w:val="5"/>
              </w:rPr>
              <w:sym w:font="Wingdings 2" w:char="0052"/>
            </w:r>
            <w:r>
              <w:rPr>
                <w:spacing w:val="-2"/>
              </w:rPr>
              <w:t>业绩说明会</w:t>
            </w:r>
          </w:p>
          <w:p>
            <w:pPr>
              <w:pStyle w:val="5"/>
              <w:keepNext w:val="0"/>
              <w:keepLines/>
              <w:pageBreakBefore w:val="0"/>
              <w:widowControl w:val="0"/>
              <w:kinsoku w:val="0"/>
              <w:wordWrap/>
              <w:overflowPunct/>
              <w:topLinePunct w:val="0"/>
              <w:autoSpaceDE w:val="0"/>
              <w:autoSpaceDN w:val="0"/>
              <w:bidi w:val="0"/>
              <w:adjustRightInd w:val="0"/>
              <w:snapToGrid w:val="0"/>
              <w:spacing w:line="240" w:lineRule="auto"/>
              <w:ind w:left="232"/>
              <w:jc w:val="both"/>
              <w:textAlignment w:val="baseline"/>
            </w:pPr>
            <w:r>
              <w:rPr>
                <w:rFonts w:ascii="微软雅黑" w:hAnsi="微软雅黑" w:eastAsia="微软雅黑" w:cs="微软雅黑"/>
                <w:spacing w:val="6"/>
              </w:rPr>
              <w:t>□</w:t>
            </w:r>
            <w:r>
              <w:rPr>
                <w:spacing w:val="6"/>
              </w:rPr>
              <w:t>新闻发布会</w:t>
            </w:r>
            <w:r>
              <w:rPr>
                <w:spacing w:val="7"/>
              </w:rPr>
              <w:t xml:space="preserve">             </w:t>
            </w:r>
            <w:r>
              <w:rPr>
                <w:rFonts w:hint="eastAsia" w:ascii="微软雅黑" w:hAnsi="微软雅黑" w:eastAsia="微软雅黑" w:cs="微软雅黑"/>
                <w:spacing w:val="6"/>
                <w:lang w:eastAsia="zh-CN"/>
              </w:rPr>
              <w:t>□</w:t>
            </w:r>
            <w:r>
              <w:rPr>
                <w:spacing w:val="6"/>
              </w:rPr>
              <w:t>路演活动</w:t>
            </w:r>
          </w:p>
          <w:p>
            <w:pPr>
              <w:pStyle w:val="5"/>
              <w:keepNext w:val="0"/>
              <w:keepLines/>
              <w:pageBreakBefore w:val="0"/>
              <w:widowControl w:val="0"/>
              <w:kinsoku w:val="0"/>
              <w:wordWrap/>
              <w:overflowPunct/>
              <w:topLinePunct w:val="0"/>
              <w:autoSpaceDE w:val="0"/>
              <w:autoSpaceDN w:val="0"/>
              <w:bidi w:val="0"/>
              <w:adjustRightInd w:val="0"/>
              <w:snapToGrid w:val="0"/>
              <w:spacing w:line="240" w:lineRule="auto"/>
              <w:ind w:left="232" w:right="2220"/>
              <w:jc w:val="both"/>
              <w:textAlignment w:val="baseline"/>
            </w:pPr>
            <w:r>
              <w:rPr>
                <w:rFonts w:ascii="微软雅黑" w:hAnsi="微软雅黑" w:eastAsia="微软雅黑" w:cs="微软雅黑"/>
                <w:spacing w:val="-2"/>
              </w:rPr>
              <w:t>□</w:t>
            </w:r>
            <w:r>
              <w:rPr>
                <w:spacing w:val="-2"/>
              </w:rPr>
              <w:t>现场参观</w:t>
            </w:r>
            <w:r>
              <w:rPr>
                <w:spacing w:val="6"/>
              </w:rPr>
              <w:t xml:space="preserve">               </w:t>
            </w:r>
            <w:r>
              <w:rPr>
                <w:rFonts w:ascii="微软雅黑" w:hAnsi="微软雅黑" w:eastAsia="微软雅黑" w:cs="微软雅黑"/>
                <w:spacing w:val="5"/>
              </w:rPr>
              <w:sym w:font="Wingdings 2" w:char="0052"/>
            </w:r>
            <w:r>
              <w:rPr>
                <w:rFonts w:hint="eastAsia"/>
                <w:spacing w:val="6"/>
                <w:lang w:val="en-US" w:eastAsia="zh-CN"/>
              </w:rPr>
              <w:t>电话会议</w:t>
            </w:r>
            <w:r>
              <w:rPr>
                <w:rFonts w:ascii="微软雅黑" w:hAnsi="微软雅黑" w:eastAsia="微软雅黑" w:cs="微软雅黑"/>
                <w:spacing w:val="8"/>
              </w:rPr>
              <w:t>□</w:t>
            </w:r>
            <w:r>
              <w:rPr>
                <w:spacing w:val="8"/>
              </w:rPr>
              <w:t xml:space="preserve">其他 </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57" w:type="dxa"/>
            <w:vAlign w:val="top"/>
          </w:tcPr>
          <w:p>
            <w:pPr>
              <w:pStyle w:val="5"/>
              <w:keepNext w:val="0"/>
              <w:keepLines/>
              <w:pageBreakBefore w:val="0"/>
              <w:widowControl w:val="0"/>
              <w:overflowPunct/>
              <w:topLinePunct w:val="0"/>
              <w:bidi w:val="0"/>
              <w:adjustRightInd w:val="0"/>
              <w:snapToGrid w:val="0"/>
              <w:spacing w:before="116" w:line="220" w:lineRule="auto"/>
              <w:ind w:left="264"/>
              <w:textAlignment w:val="baseline"/>
            </w:pPr>
            <w:r>
              <w:rPr>
                <w:b/>
                <w:bCs/>
                <w:spacing w:val="-4"/>
              </w:rPr>
              <w:t>参与单位名称</w:t>
            </w:r>
          </w:p>
        </w:tc>
        <w:tc>
          <w:tcPr>
            <w:tcW w:w="6661" w:type="dxa"/>
            <w:vAlign w:val="top"/>
          </w:tcPr>
          <w:p>
            <w:pPr>
              <w:pStyle w:val="5"/>
              <w:keepNext w:val="0"/>
              <w:keepLines/>
              <w:pageBreakBefore w:val="0"/>
              <w:widowControl w:val="0"/>
              <w:overflowPunct/>
              <w:topLinePunct w:val="0"/>
              <w:bidi w:val="0"/>
              <w:adjustRightInd w:val="0"/>
              <w:snapToGrid w:val="0"/>
              <w:spacing w:before="115" w:line="219" w:lineRule="auto"/>
              <w:ind w:left="117"/>
              <w:textAlignment w:val="baseline"/>
            </w:pPr>
            <w:r>
              <w:rPr>
                <w:spacing w:val="-4"/>
              </w:rPr>
              <w:t>详见附件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57" w:type="dxa"/>
            <w:vAlign w:val="top"/>
          </w:tcPr>
          <w:p>
            <w:pPr>
              <w:pStyle w:val="5"/>
              <w:keepNext w:val="0"/>
              <w:keepLines/>
              <w:pageBreakBefore w:val="0"/>
              <w:widowControl w:val="0"/>
              <w:overflowPunct/>
              <w:topLinePunct w:val="0"/>
              <w:bidi w:val="0"/>
              <w:adjustRightInd w:val="0"/>
              <w:snapToGrid w:val="0"/>
              <w:spacing w:before="115" w:line="219" w:lineRule="auto"/>
              <w:ind w:left="503"/>
              <w:textAlignment w:val="baseline"/>
            </w:pPr>
            <w:r>
              <w:rPr>
                <w:b/>
                <w:bCs/>
                <w:spacing w:val="-5"/>
              </w:rPr>
              <w:t>会议时间</w:t>
            </w:r>
          </w:p>
        </w:tc>
        <w:tc>
          <w:tcPr>
            <w:tcW w:w="6661" w:type="dxa"/>
            <w:vAlign w:val="top"/>
          </w:tcPr>
          <w:p>
            <w:pPr>
              <w:pStyle w:val="5"/>
              <w:keepNext w:val="0"/>
              <w:keepLines/>
              <w:pageBreakBefore w:val="0"/>
              <w:widowControl w:val="0"/>
              <w:overflowPunct/>
              <w:topLinePunct w:val="0"/>
              <w:bidi w:val="0"/>
              <w:adjustRightInd w:val="0"/>
              <w:snapToGrid w:val="0"/>
              <w:spacing w:before="116" w:line="219" w:lineRule="auto"/>
              <w:ind w:left="117"/>
              <w:textAlignment w:val="baseline"/>
            </w:pPr>
            <w:r>
              <w:rPr>
                <w:spacing w:val="-7"/>
              </w:rPr>
              <w:t>2025</w:t>
            </w:r>
            <w:r>
              <w:rPr>
                <w:spacing w:val="-42"/>
              </w:rPr>
              <w:t xml:space="preserve"> </w:t>
            </w:r>
            <w:r>
              <w:rPr>
                <w:spacing w:val="-7"/>
              </w:rPr>
              <w:t>年</w:t>
            </w:r>
            <w:r>
              <w:rPr>
                <w:rFonts w:hint="eastAsia"/>
                <w:spacing w:val="-7"/>
                <w:lang w:val="en-US" w:eastAsia="zh-CN"/>
              </w:rPr>
              <w:t xml:space="preserve"> </w:t>
            </w:r>
            <w:r>
              <w:rPr>
                <w:rFonts w:hint="eastAsia"/>
                <w:spacing w:val="-51"/>
                <w:lang w:val="en-US" w:eastAsia="zh-CN"/>
              </w:rPr>
              <w:t>8</w:t>
            </w:r>
            <w:r>
              <w:rPr>
                <w:spacing w:val="-45"/>
              </w:rPr>
              <w:t xml:space="preserve"> </w:t>
            </w:r>
            <w:r>
              <w:rPr>
                <w:spacing w:val="-7"/>
              </w:rPr>
              <w:t>月</w:t>
            </w:r>
            <w:r>
              <w:rPr>
                <w:spacing w:val="-48"/>
              </w:rPr>
              <w:t xml:space="preserve"> </w:t>
            </w:r>
            <w:r>
              <w:rPr>
                <w:rFonts w:hint="eastAsia"/>
                <w:spacing w:val="-7"/>
                <w:lang w:val="en-US" w:eastAsia="zh-CN"/>
              </w:rPr>
              <w:t>25</w:t>
            </w:r>
            <w:r>
              <w:rPr>
                <w:spacing w:val="-7"/>
              </w:rPr>
              <w:t xml:space="preserve">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57" w:type="dxa"/>
            <w:vAlign w:val="top"/>
          </w:tcPr>
          <w:p>
            <w:pPr>
              <w:pStyle w:val="5"/>
              <w:keepNext w:val="0"/>
              <w:keepLines/>
              <w:pageBreakBefore w:val="0"/>
              <w:widowControl w:val="0"/>
              <w:overflowPunct/>
              <w:topLinePunct w:val="0"/>
              <w:bidi w:val="0"/>
              <w:adjustRightInd w:val="0"/>
              <w:snapToGrid w:val="0"/>
              <w:spacing w:before="115" w:line="219" w:lineRule="auto"/>
              <w:ind w:left="503"/>
              <w:textAlignment w:val="baseline"/>
            </w:pPr>
            <w:r>
              <w:rPr>
                <w:b/>
                <w:bCs/>
                <w:spacing w:val="-5"/>
              </w:rPr>
              <w:t>会议地点</w:t>
            </w:r>
          </w:p>
        </w:tc>
        <w:tc>
          <w:tcPr>
            <w:tcW w:w="6661" w:type="dxa"/>
            <w:vAlign w:val="top"/>
          </w:tcPr>
          <w:p>
            <w:pPr>
              <w:pStyle w:val="5"/>
              <w:keepNext w:val="0"/>
              <w:keepLines/>
              <w:pageBreakBefore w:val="0"/>
              <w:widowControl w:val="0"/>
              <w:overflowPunct/>
              <w:topLinePunct w:val="0"/>
              <w:bidi w:val="0"/>
              <w:adjustRightInd w:val="0"/>
              <w:snapToGrid w:val="0"/>
              <w:spacing w:before="115" w:line="219" w:lineRule="auto"/>
              <w:ind w:left="118"/>
              <w:textAlignment w:val="baseline"/>
            </w:pPr>
            <w:r>
              <w:rPr>
                <w:spacing w:val="-1"/>
              </w:rPr>
              <w:t>五矿新能源材料（湖南）股份有限公司线上会议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7" w:type="dxa"/>
            <w:vAlign w:val="top"/>
          </w:tcPr>
          <w:p>
            <w:pPr>
              <w:pStyle w:val="5"/>
              <w:keepNext w:val="0"/>
              <w:keepLines/>
              <w:pageBreakBefore w:val="0"/>
              <w:widowControl w:val="0"/>
              <w:overflowPunct/>
              <w:topLinePunct w:val="0"/>
              <w:bidi w:val="0"/>
              <w:adjustRightInd w:val="0"/>
              <w:snapToGrid w:val="0"/>
              <w:spacing w:before="116" w:line="313" w:lineRule="auto"/>
              <w:ind w:left="506" w:right="254" w:hanging="242"/>
              <w:textAlignment w:val="baseline"/>
            </w:pPr>
            <w:r>
              <w:rPr>
                <w:b/>
                <w:bCs/>
                <w:spacing w:val="-4"/>
              </w:rPr>
              <w:t>上市公司接待</w:t>
            </w:r>
            <w:r>
              <w:rPr>
                <w:spacing w:val="1"/>
              </w:rPr>
              <w:t xml:space="preserve"> </w:t>
            </w:r>
            <w:r>
              <w:rPr>
                <w:b/>
                <w:bCs/>
                <w:spacing w:val="-5"/>
              </w:rPr>
              <w:t>人员姓名</w:t>
            </w:r>
          </w:p>
        </w:tc>
        <w:tc>
          <w:tcPr>
            <w:tcW w:w="6661" w:type="dxa"/>
            <w:vAlign w:val="top"/>
          </w:tcPr>
          <w:p>
            <w:pPr>
              <w:pStyle w:val="5"/>
              <w:keepNext w:val="0"/>
              <w:keepLines/>
              <w:pageBreakBefore w:val="0"/>
              <w:widowControl w:val="0"/>
              <w:overflowPunct/>
              <w:topLinePunct w:val="0"/>
              <w:bidi w:val="0"/>
              <w:adjustRightInd w:val="0"/>
              <w:snapToGrid w:val="0"/>
              <w:spacing w:before="114" w:line="219" w:lineRule="auto"/>
              <w:ind w:left="116"/>
              <w:textAlignment w:val="baseline"/>
            </w:pPr>
            <w:r>
              <w:rPr>
                <w:spacing w:val="-2"/>
              </w:rPr>
              <w:t>董事会秘书曾科先生</w:t>
            </w:r>
          </w:p>
          <w:p>
            <w:pPr>
              <w:pStyle w:val="5"/>
              <w:keepNext w:val="0"/>
              <w:keepLines/>
              <w:pageBreakBefore w:val="0"/>
              <w:widowControl w:val="0"/>
              <w:overflowPunct/>
              <w:topLinePunct w:val="0"/>
              <w:bidi w:val="0"/>
              <w:adjustRightInd w:val="0"/>
              <w:snapToGrid w:val="0"/>
              <w:spacing w:before="184" w:line="219" w:lineRule="auto"/>
              <w:ind w:left="121"/>
              <w:textAlignment w:val="baseline"/>
            </w:pPr>
            <w:r>
              <w:rPr>
                <w:spacing w:val="-1"/>
              </w:rPr>
              <w:t>总经理助理、财务部部长李宜芳女士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4" w:hRule="atLeast"/>
        </w:trPr>
        <w:tc>
          <w:tcPr>
            <w:tcW w:w="1957" w:type="dxa"/>
            <w:vAlign w:val="top"/>
          </w:tcPr>
          <w:p>
            <w:pPr>
              <w:keepNext w:val="0"/>
              <w:keepLines/>
              <w:pageBreakBefore w:val="0"/>
              <w:widowControl w:val="0"/>
              <w:kinsoku/>
              <w:wordWrap w:val="0"/>
              <w:overflowPunct/>
              <w:topLinePunct w:val="0"/>
              <w:autoSpaceDE/>
              <w:autoSpaceDN/>
              <w:bidi w:val="0"/>
              <w:adjustRightInd w:val="0"/>
              <w:snapToGrid w:val="0"/>
              <w:spacing w:line="259"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59"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59"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59"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keepNext w:val="0"/>
              <w:keepLines/>
              <w:pageBreakBefore w:val="0"/>
              <w:widowControl w:val="0"/>
              <w:kinsoku/>
              <w:wordWrap w:val="0"/>
              <w:overflowPunct/>
              <w:topLinePunct w:val="0"/>
              <w:autoSpaceDE/>
              <w:autoSpaceDN/>
              <w:bidi w:val="0"/>
              <w:adjustRightInd w:val="0"/>
              <w:snapToGrid w:val="0"/>
              <w:spacing w:line="260" w:lineRule="auto"/>
              <w:ind w:left="42" w:leftChars="20" w:right="42" w:rightChars="20"/>
              <w:textAlignment w:val="baseline"/>
              <w:rPr>
                <w:rFonts w:ascii="Arial"/>
                <w:sz w:val="21"/>
              </w:rPr>
            </w:pPr>
          </w:p>
          <w:p>
            <w:pPr>
              <w:pStyle w:val="5"/>
              <w:keepNext w:val="0"/>
              <w:keepLines/>
              <w:pageBreakBefore w:val="0"/>
              <w:widowControl w:val="0"/>
              <w:kinsoku/>
              <w:wordWrap w:val="0"/>
              <w:overflowPunct/>
              <w:topLinePunct w:val="0"/>
              <w:autoSpaceDE/>
              <w:autoSpaceDN/>
              <w:bidi w:val="0"/>
              <w:adjustRightInd w:val="0"/>
              <w:snapToGrid w:val="0"/>
              <w:spacing w:before="78" w:line="362" w:lineRule="auto"/>
              <w:ind w:left="161" w:leftChars="20" w:right="42" w:rightChars="20" w:hanging="119"/>
              <w:textAlignment w:val="baseline"/>
            </w:pPr>
            <w:r>
              <w:rPr>
                <w:b/>
                <w:bCs/>
                <w:spacing w:val="-4"/>
              </w:rPr>
              <w:t>投资者关系活动</w:t>
            </w:r>
            <w:r>
              <w:rPr>
                <w:spacing w:val="1"/>
              </w:rPr>
              <w:t xml:space="preserve"> </w:t>
            </w:r>
            <w:r>
              <w:rPr>
                <w:b/>
                <w:bCs/>
                <w:spacing w:val="-4"/>
              </w:rPr>
              <w:t>主要内容介绍</w:t>
            </w:r>
          </w:p>
        </w:tc>
        <w:tc>
          <w:tcPr>
            <w:tcW w:w="6661" w:type="dxa"/>
            <w:vAlign w:val="top"/>
          </w:tcPr>
          <w:p>
            <w:pPr>
              <w:pStyle w:val="5"/>
              <w:keepNext w:val="0"/>
              <w:keepLines/>
              <w:pageBreakBefore w:val="0"/>
              <w:widowControl w:val="0"/>
              <w:numPr>
                <w:ilvl w:val="0"/>
                <w:numId w:val="0"/>
              </w:numPr>
              <w:kinsoku/>
              <w:wordWrap w:val="0"/>
              <w:overflowPunct/>
              <w:topLinePunct w:val="0"/>
              <w:autoSpaceDE/>
              <w:autoSpaceDN/>
              <w:bidi w:val="0"/>
              <w:adjustRightInd w:val="0"/>
              <w:snapToGrid w:val="0"/>
              <w:spacing w:before="0" w:beforeLines="100" w:line="360" w:lineRule="auto"/>
              <w:ind w:leftChars="220" w:right="42" w:rightChars="20"/>
              <w:jc w:val="both"/>
              <w:textAlignment w:val="baseline"/>
              <w:rPr>
                <w:rFonts w:hint="eastAsia" w:ascii="宋体" w:hAnsi="宋体" w:eastAsia="宋体" w:cs="宋体"/>
                <w:b/>
                <w:bCs/>
                <w:spacing w:val="-3"/>
              </w:rPr>
            </w:pPr>
            <w:r>
              <w:rPr>
                <w:rFonts w:hint="eastAsia" w:cs="宋体"/>
                <w:b/>
                <w:bCs/>
                <w:spacing w:val="-3"/>
                <w:lang w:val="en-US" w:eastAsia="zh-CN"/>
              </w:rPr>
              <w:t>1、</w:t>
            </w:r>
            <w:r>
              <w:rPr>
                <w:rFonts w:hint="eastAsia" w:ascii="宋体" w:hAnsi="宋体" w:eastAsia="宋体" w:cs="宋体"/>
                <w:b/>
                <w:bCs/>
                <w:spacing w:val="-3"/>
              </w:rPr>
              <w:t>公司二季度盈利的主要原因？</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72" w:firstLineChars="200"/>
              <w:jc w:val="both"/>
              <w:textAlignment w:val="baseline"/>
              <w:rPr>
                <w:rFonts w:hint="eastAsia" w:ascii="Arial" w:hAnsi="Arial" w:eastAsia="Arial" w:cs="Arial"/>
                <w:i w:val="0"/>
                <w:iCs w:val="0"/>
                <w:caps w:val="0"/>
                <w:color w:val="333333"/>
                <w:spacing w:val="0"/>
                <w:sz w:val="24"/>
                <w:szCs w:val="24"/>
                <w:shd w:val="clear" w:fill="FFFFFF"/>
                <w:lang w:val="en-US" w:eastAsia="zh-CN"/>
              </w:rPr>
            </w:pPr>
            <w:r>
              <w:rPr>
                <w:rFonts w:hint="eastAsia" w:ascii="宋体" w:hAnsi="宋体" w:eastAsia="宋体" w:cs="宋体"/>
                <w:spacing w:val="-2"/>
              </w:rPr>
              <w:t>答：</w:t>
            </w:r>
            <w:r>
              <w:rPr>
                <w:rFonts w:hint="eastAsia" w:ascii="Arial" w:hAnsi="Arial" w:eastAsia="Arial" w:cs="Arial"/>
                <w:i w:val="0"/>
                <w:iCs w:val="0"/>
                <w:caps w:val="0"/>
                <w:color w:val="333333"/>
                <w:spacing w:val="0"/>
                <w:sz w:val="24"/>
                <w:szCs w:val="24"/>
                <w:shd w:val="clear" w:fill="FFFFFF"/>
                <w:lang w:val="en-US" w:eastAsia="zh-CN"/>
              </w:rPr>
              <w:t>公司二季度盈利主要原因是市场商务环境的改善以及产品产能利用率的提升。</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74" w:firstLineChars="200"/>
              <w:jc w:val="both"/>
              <w:textAlignment w:val="baseline"/>
              <w:rPr>
                <w:rFonts w:hint="eastAsia" w:ascii="宋体" w:hAnsi="宋体" w:eastAsia="宋体" w:cs="宋体"/>
                <w:b/>
                <w:bCs/>
              </w:rPr>
            </w:pPr>
            <w:r>
              <w:rPr>
                <w:rFonts w:hint="eastAsia"/>
                <w:b/>
                <w:bCs/>
                <w:spacing w:val="-2"/>
                <w:lang w:val="en-US" w:eastAsia="zh-CN"/>
              </w:rPr>
              <w:t>2</w:t>
            </w:r>
            <w:r>
              <w:rPr>
                <w:rFonts w:hint="eastAsia" w:ascii="宋体" w:hAnsi="宋体" w:eastAsia="宋体" w:cs="宋体"/>
                <w:b/>
                <w:bCs/>
              </w:rPr>
              <w:t>、上半年，公司前驱体的自给率或出货量情况如何？</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rPr>
            </w:pPr>
            <w:r>
              <w:rPr>
                <w:rFonts w:hint="eastAsia" w:ascii="宋体" w:hAnsi="宋体" w:eastAsia="宋体" w:cs="宋体"/>
                <w:b w:val="0"/>
                <w:bCs w:val="0"/>
              </w:rPr>
              <w:t>答：应客户要求，除部分特殊型号产品的前驱体外购以外，其余</w:t>
            </w:r>
            <w:r>
              <w:rPr>
                <w:rFonts w:hint="eastAsia" w:cs="宋体"/>
                <w:b w:val="0"/>
                <w:bCs w:val="0"/>
                <w:lang w:val="en-US" w:eastAsia="zh-CN"/>
              </w:rPr>
              <w:t>前驱体均</w:t>
            </w:r>
            <w:r>
              <w:rPr>
                <w:rFonts w:hint="eastAsia" w:ascii="宋体" w:hAnsi="宋体" w:eastAsia="宋体" w:cs="宋体"/>
                <w:b w:val="0"/>
                <w:bCs w:val="0"/>
              </w:rPr>
              <w:t>由子公司生产供应。</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2" w:firstLineChars="200"/>
              <w:jc w:val="both"/>
              <w:textAlignment w:val="baseline"/>
              <w:rPr>
                <w:rFonts w:hint="eastAsia" w:ascii="宋体" w:hAnsi="宋体" w:eastAsia="宋体" w:cs="宋体"/>
                <w:b/>
                <w:bCs/>
              </w:rPr>
            </w:pPr>
            <w:r>
              <w:rPr>
                <w:rFonts w:hint="eastAsia" w:cs="宋体"/>
                <w:b/>
                <w:bCs/>
                <w:lang w:val="en-US" w:eastAsia="zh-CN"/>
              </w:rPr>
              <w:t>3</w:t>
            </w:r>
            <w:r>
              <w:rPr>
                <w:rFonts w:hint="eastAsia" w:ascii="宋体" w:hAnsi="宋体" w:eastAsia="宋体" w:cs="宋体"/>
                <w:b/>
                <w:bCs/>
              </w:rPr>
              <w:t>、关于固态电池方面，公司与中科大</w:t>
            </w:r>
            <w:r>
              <w:rPr>
                <w:rFonts w:hint="eastAsia" w:ascii="宋体" w:hAnsi="宋体" w:eastAsia="宋体" w:cs="宋体"/>
                <w:b/>
                <w:bCs/>
                <w:lang w:val="en-US" w:eastAsia="zh-CN"/>
              </w:rPr>
              <w:t>马教授</w:t>
            </w:r>
            <w:r>
              <w:rPr>
                <w:rFonts w:hint="eastAsia" w:ascii="宋体" w:hAnsi="宋体" w:eastAsia="宋体" w:cs="宋体"/>
                <w:b/>
                <w:bCs/>
              </w:rPr>
              <w:t>团队签订</w:t>
            </w:r>
            <w:r>
              <w:rPr>
                <w:rFonts w:hint="eastAsia" w:ascii="宋体" w:hAnsi="宋体" w:eastAsia="宋体" w:cs="宋体"/>
                <w:b/>
                <w:bCs/>
                <w:lang w:val="en-US" w:eastAsia="zh-CN"/>
              </w:rPr>
              <w:t>的</w:t>
            </w:r>
            <w:r>
              <w:rPr>
                <w:rFonts w:hint="eastAsia" w:ascii="宋体" w:hAnsi="宋体" w:eastAsia="宋体" w:cs="宋体"/>
                <w:b/>
                <w:bCs/>
              </w:rPr>
              <w:t>合作协议，当前是否有落地产能的进展？</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rPr>
            </w:pPr>
            <w:r>
              <w:rPr>
                <w:rFonts w:hint="eastAsia" w:ascii="宋体" w:hAnsi="宋体" w:eastAsia="宋体" w:cs="宋体"/>
                <w:b w:val="0"/>
                <w:bCs w:val="0"/>
              </w:rPr>
              <w:t>答：</w:t>
            </w:r>
            <w:r>
              <w:rPr>
                <w:rFonts w:hint="eastAsia" w:cs="宋体"/>
                <w:b w:val="0"/>
                <w:bCs w:val="0"/>
                <w:lang w:val="en-US" w:eastAsia="zh-CN"/>
              </w:rPr>
              <w:t>公司与中科大马教授团队</w:t>
            </w:r>
            <w:r>
              <w:rPr>
                <w:rFonts w:hint="eastAsia" w:ascii="宋体" w:hAnsi="宋体" w:eastAsia="宋体" w:cs="宋体"/>
                <w:b w:val="0"/>
                <w:bCs w:val="0"/>
              </w:rPr>
              <w:t>仍在紧密合作研发，</w:t>
            </w:r>
            <w:r>
              <w:rPr>
                <w:rFonts w:hint="eastAsia" w:cs="宋体"/>
                <w:b w:val="0"/>
                <w:bCs w:val="0"/>
                <w:lang w:val="en-US" w:eastAsia="zh-CN"/>
              </w:rPr>
              <w:t>双方</w:t>
            </w:r>
            <w:r>
              <w:rPr>
                <w:rFonts w:hint="eastAsia" w:ascii="宋体" w:hAnsi="宋体" w:eastAsia="宋体" w:cs="宋体"/>
                <w:b w:val="0"/>
                <w:bCs w:val="0"/>
              </w:rPr>
              <w:t>尝试使用高镍材料与卤化物电池进行匹配，后续如有进展将及时履行信息披露义务。</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2" w:firstLineChars="200"/>
              <w:jc w:val="both"/>
              <w:textAlignment w:val="baseline"/>
              <w:rPr>
                <w:rFonts w:hint="eastAsia" w:ascii="宋体" w:hAnsi="宋体" w:eastAsia="宋体" w:cs="宋体"/>
                <w:b/>
                <w:bCs/>
              </w:rPr>
            </w:pPr>
            <w:r>
              <w:rPr>
                <w:rFonts w:hint="eastAsia" w:cs="宋体"/>
                <w:b/>
                <w:bCs/>
                <w:lang w:val="en-US" w:eastAsia="zh-CN"/>
              </w:rPr>
              <w:t>4</w:t>
            </w:r>
            <w:r>
              <w:rPr>
                <w:rFonts w:hint="eastAsia" w:ascii="宋体" w:hAnsi="宋体" w:eastAsia="宋体" w:cs="宋体"/>
                <w:b/>
                <w:bCs/>
              </w:rPr>
              <w:t>、后续来看，磷酸铁锂三代半产品应用主要集中在动力电池还是储能领域？</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lang w:eastAsia="zh-CN"/>
              </w:rPr>
            </w:pPr>
            <w:r>
              <w:rPr>
                <w:rFonts w:hint="eastAsia" w:ascii="宋体" w:hAnsi="宋体" w:eastAsia="宋体" w:cs="宋体"/>
                <w:b w:val="0"/>
                <w:bCs w:val="0"/>
              </w:rPr>
              <w:t>答：目前</w:t>
            </w:r>
            <w:r>
              <w:rPr>
                <w:rFonts w:hint="eastAsia" w:cs="宋体"/>
                <w:b w:val="0"/>
                <w:bCs w:val="0"/>
                <w:lang w:eastAsia="zh-CN"/>
              </w:rPr>
              <w:t>，</w:t>
            </w:r>
            <w:r>
              <w:rPr>
                <w:rFonts w:hint="eastAsia" w:ascii="宋体" w:hAnsi="宋体" w:eastAsia="宋体" w:cs="宋体"/>
                <w:b w:val="0"/>
                <w:bCs w:val="0"/>
                <w:lang w:eastAsia="zh-CN"/>
              </w:rPr>
              <w:t>公司磷酸铁锂产品以动力电池领域为主要应用方向，同时已在储能领域开展技术布局。</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2" w:firstLineChars="200"/>
              <w:jc w:val="both"/>
              <w:textAlignment w:val="baseline"/>
              <w:rPr>
                <w:rFonts w:hint="eastAsia" w:ascii="宋体" w:hAnsi="宋体" w:eastAsia="宋体" w:cs="宋体"/>
                <w:b/>
                <w:bCs/>
                <w:lang w:eastAsia="zh-CN"/>
              </w:rPr>
            </w:pPr>
            <w:r>
              <w:rPr>
                <w:rFonts w:hint="eastAsia" w:ascii="宋体" w:hAnsi="宋体" w:eastAsia="宋体" w:cs="宋体"/>
                <w:b/>
                <w:bCs/>
                <w:lang w:eastAsia="zh-CN"/>
              </w:rPr>
              <w:t>5、请问公司可转债还债剩余期限不多的情况下，是否会考虑转股？</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lang w:eastAsia="zh-CN"/>
              </w:rPr>
            </w:pPr>
            <w:r>
              <w:rPr>
                <w:rFonts w:hint="eastAsia" w:ascii="宋体" w:hAnsi="宋体" w:eastAsia="宋体" w:cs="宋体"/>
                <w:b w:val="0"/>
                <w:bCs w:val="0"/>
                <w:lang w:eastAsia="zh-CN"/>
              </w:rPr>
              <w:t>答：董事会将根据实际情况，对可转债转股事宜进行决策。目前公司偿债能力良好，具体进展请以公司后续公告为准。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1957" w:type="dxa"/>
            <w:vAlign w:val="center"/>
          </w:tcPr>
          <w:p>
            <w:pPr>
              <w:pStyle w:val="5"/>
              <w:keepNext w:val="0"/>
              <w:keepLines/>
              <w:pageBreakBefore w:val="0"/>
              <w:widowControl w:val="0"/>
              <w:kinsoku/>
              <w:wordWrap w:val="0"/>
              <w:overflowPunct/>
              <w:topLinePunct w:val="0"/>
              <w:autoSpaceDE/>
              <w:autoSpaceDN/>
              <w:bidi w:val="0"/>
              <w:adjustRightInd w:val="0"/>
              <w:snapToGrid w:val="0"/>
              <w:spacing w:before="78" w:line="362" w:lineRule="auto"/>
              <w:ind w:left="161" w:leftChars="20" w:right="42" w:rightChars="20" w:hanging="119"/>
              <w:jc w:val="center"/>
              <w:textAlignment w:val="baseline"/>
              <w:rPr>
                <w:b/>
                <w:bCs/>
                <w:spacing w:val="-4"/>
              </w:rPr>
            </w:pPr>
            <w:r>
              <w:rPr>
                <w:rFonts w:hint="eastAsia"/>
                <w:b/>
                <w:bCs/>
                <w:spacing w:val="-4"/>
              </w:rPr>
              <w:t>风险提示</w:t>
            </w:r>
          </w:p>
        </w:tc>
        <w:tc>
          <w:tcPr>
            <w:tcW w:w="6661" w:type="dxa"/>
            <w:vAlign w:val="top"/>
          </w:tcPr>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lang w:eastAsia="zh-CN"/>
              </w:rPr>
            </w:pPr>
            <w:r>
              <w:rPr>
                <w:rFonts w:hint="eastAsia" w:ascii="宋体" w:hAnsi="宋体" w:eastAsia="宋体" w:cs="宋体"/>
                <w:b w:val="0"/>
                <w:bCs w:val="0"/>
                <w:lang w:eastAsia="zh-CN"/>
              </w:rPr>
              <w:t>1、以上如涉及对行业的预测、公司发展战略规划等相关 内容，不能视作公司或公司管理层对行业、公司发展的承诺和 保证，敬请广大投资者注意投资风险。</w:t>
            </w:r>
          </w:p>
          <w:p>
            <w:pPr>
              <w:pStyle w:val="5"/>
              <w:keepNext w:val="0"/>
              <w:keepLines/>
              <w:pageBreakBefore w:val="0"/>
              <w:widowControl w:val="0"/>
              <w:kinsoku/>
              <w:wordWrap w:val="0"/>
              <w:overflowPunct/>
              <w:topLinePunct w:val="0"/>
              <w:autoSpaceDE/>
              <w:autoSpaceDN/>
              <w:bidi w:val="0"/>
              <w:adjustRightInd w:val="0"/>
              <w:snapToGrid w:val="0"/>
              <w:spacing w:before="0" w:beforeLines="100" w:line="360" w:lineRule="auto"/>
              <w:ind w:left="42" w:leftChars="20" w:right="42" w:rightChars="20" w:firstLine="480" w:firstLineChars="200"/>
              <w:jc w:val="both"/>
              <w:textAlignment w:val="baseline"/>
              <w:rPr>
                <w:rFonts w:hint="eastAsia" w:ascii="宋体" w:hAnsi="宋体" w:eastAsia="宋体" w:cs="宋体"/>
                <w:b w:val="0"/>
                <w:bCs w:val="0"/>
                <w:lang w:eastAsia="zh-CN"/>
              </w:rPr>
            </w:pPr>
            <w:r>
              <w:rPr>
                <w:rFonts w:hint="eastAsia" w:ascii="宋体" w:hAnsi="宋体" w:eastAsia="宋体" w:cs="宋体"/>
                <w:b w:val="0"/>
                <w:bCs w:val="0"/>
                <w:lang w:eastAsia="zh-CN"/>
              </w:rPr>
              <w:t>2、部分参会人员为电话接入，接入名单由电话会议组织 方提供，公司无法核实名单真实性，敬请广大投资者注意投资 风险。</w:t>
            </w:r>
          </w:p>
        </w:tc>
      </w:tr>
    </w:tbl>
    <w:p>
      <w:pPr>
        <w:keepNext w:val="0"/>
        <w:keepLines/>
        <w:pageBreakBefore w:val="0"/>
        <w:widowControl w:val="0"/>
        <w:kinsoku/>
        <w:wordWrap w:val="0"/>
        <w:overflowPunct/>
        <w:topLinePunct w:val="0"/>
        <w:autoSpaceDE/>
        <w:autoSpaceDN/>
        <w:bidi w:val="0"/>
        <w:adjustRightInd w:val="0"/>
        <w:snapToGrid w:val="0"/>
        <w:ind w:left="42" w:leftChars="20" w:right="42" w:rightChars="20"/>
        <w:textAlignment w:val="baseline"/>
        <w:rPr>
          <w:rFonts w:ascii="Arial" w:hAnsi="Arial" w:eastAsia="Arial" w:cs="Arial"/>
          <w:sz w:val="21"/>
          <w:szCs w:val="21"/>
        </w:rPr>
        <w:sectPr>
          <w:pgSz w:w="11906" w:h="16839"/>
          <w:pgMar w:top="1431" w:right="1785" w:bottom="1247" w:left="1369"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7" w:line="219" w:lineRule="auto"/>
        <w:ind w:left="0"/>
        <w:textAlignment w:val="baseline"/>
        <w:rPr>
          <w:rFonts w:ascii="宋体" w:hAnsi="宋体" w:eastAsia="宋体" w:cs="宋体"/>
          <w:sz w:val="24"/>
          <w:szCs w:val="24"/>
        </w:rPr>
      </w:pPr>
      <w:r>
        <w:rPr>
          <w:rFonts w:ascii="宋体" w:hAnsi="宋体" w:eastAsia="宋体" w:cs="宋体"/>
          <w:spacing w:val="-10"/>
          <w:sz w:val="24"/>
          <w:szCs w:val="24"/>
        </w:rPr>
        <w:t>附件：</w:t>
      </w:r>
    </w:p>
    <w:p>
      <w:pPr>
        <w:spacing w:before="28" w:line="242" w:lineRule="auto"/>
        <w:ind w:left="5114" w:right="3538" w:hanging="1565"/>
        <w:rPr>
          <w:rFonts w:ascii="宋体" w:hAnsi="宋体" w:eastAsia="宋体" w:cs="宋体"/>
          <w:sz w:val="24"/>
          <w:szCs w:val="24"/>
        </w:rPr>
      </w:pPr>
      <w:r>
        <w:rPr>
          <w:rFonts w:ascii="宋体" w:hAnsi="宋体" w:eastAsia="宋体" w:cs="宋体"/>
          <w:b/>
          <w:bCs/>
          <w:spacing w:val="-3"/>
          <w:sz w:val="24"/>
          <w:szCs w:val="24"/>
        </w:rPr>
        <w:t>五矿新能源材料（湖南）股份有限公司</w:t>
      </w:r>
      <w:r>
        <w:rPr>
          <w:rFonts w:ascii="宋体" w:hAnsi="宋体" w:eastAsia="宋体" w:cs="宋体"/>
          <w:spacing w:val="8"/>
          <w:sz w:val="24"/>
          <w:szCs w:val="24"/>
        </w:rPr>
        <w:t xml:space="preserve"> </w:t>
      </w:r>
      <w:r>
        <w:rPr>
          <w:rFonts w:ascii="宋体" w:hAnsi="宋体" w:eastAsia="宋体" w:cs="宋体"/>
          <w:b/>
          <w:bCs/>
          <w:spacing w:val="-5"/>
          <w:sz w:val="24"/>
          <w:szCs w:val="24"/>
        </w:rPr>
        <w:t>调研名单</w:t>
      </w:r>
    </w:p>
    <w:p>
      <w:pPr>
        <w:spacing w:before="26"/>
      </w:pPr>
    </w:p>
    <w:tbl>
      <w:tblPr>
        <w:tblStyle w:val="4"/>
        <w:tblW w:w="11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4703"/>
        <w:gridCol w:w="797"/>
        <w:gridCol w:w="4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41" w:line="207" w:lineRule="auto"/>
              <w:ind w:left="204"/>
            </w:pPr>
            <w:r>
              <w:rPr>
                <w:spacing w:val="-5"/>
              </w:rPr>
              <w:t>序号</w:t>
            </w:r>
          </w:p>
        </w:tc>
        <w:tc>
          <w:tcPr>
            <w:tcW w:w="4703" w:type="dxa"/>
            <w:vAlign w:val="top"/>
          </w:tcPr>
          <w:p>
            <w:pPr>
              <w:pStyle w:val="5"/>
              <w:spacing w:before="41" w:line="207" w:lineRule="auto"/>
              <w:ind w:left="1877"/>
            </w:pPr>
            <w:r>
              <w:rPr>
                <w:spacing w:val="-3"/>
              </w:rPr>
              <w:t>机构名称</w:t>
            </w:r>
          </w:p>
        </w:tc>
        <w:tc>
          <w:tcPr>
            <w:tcW w:w="797" w:type="dxa"/>
            <w:vAlign w:val="top"/>
          </w:tcPr>
          <w:p>
            <w:pPr>
              <w:pStyle w:val="5"/>
              <w:spacing w:before="41" w:line="207" w:lineRule="auto"/>
              <w:ind w:left="164"/>
            </w:pPr>
            <w:r>
              <w:rPr>
                <w:spacing w:val="-5"/>
              </w:rPr>
              <w:t>序号</w:t>
            </w:r>
          </w:p>
        </w:tc>
        <w:tc>
          <w:tcPr>
            <w:tcW w:w="4786" w:type="dxa"/>
            <w:vAlign w:val="top"/>
          </w:tcPr>
          <w:p>
            <w:pPr>
              <w:pStyle w:val="5"/>
              <w:spacing w:before="41" w:line="207" w:lineRule="auto"/>
              <w:ind w:left="1918"/>
            </w:pPr>
            <w:r>
              <w:rPr>
                <w:spacing w:val="-3"/>
              </w:rPr>
              <w:t>机构名称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78" w:type="dxa"/>
            <w:vAlign w:val="top"/>
          </w:tcPr>
          <w:p>
            <w:pPr>
              <w:pStyle w:val="5"/>
              <w:spacing w:before="36" w:line="207" w:lineRule="auto"/>
              <w:ind w:left="402"/>
            </w:pPr>
            <w:r>
              <w:t>1</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太平洋证券股份有限公司</w:t>
            </w:r>
          </w:p>
        </w:tc>
        <w:tc>
          <w:tcPr>
            <w:tcW w:w="797" w:type="dxa"/>
            <w:vAlign w:val="top"/>
          </w:tcPr>
          <w:p>
            <w:pPr>
              <w:pStyle w:val="5"/>
              <w:spacing w:before="41" w:line="204" w:lineRule="auto"/>
              <w:ind w:left="290" w:leftChars="0"/>
              <w:rPr>
                <w:rFonts w:ascii="宋体" w:hAnsi="宋体" w:eastAsia="宋体" w:cs="宋体"/>
                <w:snapToGrid w:val="0"/>
                <w:color w:val="000000"/>
                <w:kern w:val="0"/>
                <w:sz w:val="24"/>
                <w:szCs w:val="24"/>
                <w:lang w:val="en-US" w:eastAsia="en-US" w:bidi="ar-SA"/>
              </w:rPr>
            </w:pPr>
            <w:r>
              <w:rPr>
                <w:spacing w:val="-8"/>
              </w:rPr>
              <w:t>33</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西藏合众易晟投资管理有限责任公司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78" w:type="dxa"/>
            <w:vAlign w:val="top"/>
          </w:tcPr>
          <w:p>
            <w:pPr>
              <w:pStyle w:val="5"/>
              <w:spacing w:before="38" w:line="206" w:lineRule="auto"/>
              <w:ind w:left="387"/>
            </w:pPr>
            <w:r>
              <w:t>2</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长江证券股份有限公司</w:t>
            </w:r>
          </w:p>
        </w:tc>
        <w:tc>
          <w:tcPr>
            <w:tcW w:w="797" w:type="dxa"/>
            <w:vAlign w:val="top"/>
          </w:tcPr>
          <w:p>
            <w:pPr>
              <w:pStyle w:val="5"/>
              <w:spacing w:before="41" w:line="204" w:lineRule="auto"/>
              <w:ind w:left="290" w:leftChars="0"/>
              <w:rPr>
                <w:rFonts w:ascii="宋体" w:hAnsi="宋体" w:eastAsia="宋体" w:cs="宋体"/>
                <w:snapToGrid w:val="0"/>
                <w:color w:val="000000"/>
                <w:kern w:val="0"/>
                <w:sz w:val="24"/>
                <w:szCs w:val="24"/>
                <w:lang w:val="en-US" w:eastAsia="en-US" w:bidi="ar-SA"/>
              </w:rPr>
            </w:pPr>
            <w:r>
              <w:rPr>
                <w:spacing w:val="-8"/>
              </w:rPr>
              <w:t>34</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上海睿郡资产管理有限公司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39" w:line="206" w:lineRule="auto"/>
              <w:ind w:left="389"/>
            </w:pPr>
            <w:r>
              <w:t>3</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中泰证券股份有限公司</w:t>
            </w:r>
          </w:p>
        </w:tc>
        <w:tc>
          <w:tcPr>
            <w:tcW w:w="797" w:type="dxa"/>
            <w:vAlign w:val="top"/>
          </w:tcPr>
          <w:p>
            <w:pPr>
              <w:pStyle w:val="5"/>
              <w:spacing w:before="40" w:line="205" w:lineRule="auto"/>
              <w:ind w:left="290" w:leftChars="0"/>
              <w:rPr>
                <w:rFonts w:ascii="宋体" w:hAnsi="宋体" w:eastAsia="宋体" w:cs="宋体"/>
                <w:snapToGrid w:val="0"/>
                <w:color w:val="000000"/>
                <w:kern w:val="0"/>
                <w:sz w:val="24"/>
                <w:szCs w:val="24"/>
                <w:lang w:val="en-US" w:eastAsia="en-US" w:bidi="ar-SA"/>
              </w:rPr>
            </w:pPr>
            <w:r>
              <w:rPr>
                <w:spacing w:val="-8"/>
              </w:rPr>
              <w:t>35</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昊泽致远(北京)私募基金管理有限公司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78" w:type="dxa"/>
            <w:vAlign w:val="top"/>
          </w:tcPr>
          <w:p>
            <w:pPr>
              <w:pStyle w:val="5"/>
              <w:spacing w:before="40" w:line="204" w:lineRule="auto"/>
              <w:ind w:left="384"/>
            </w:pPr>
            <w:r>
              <w:t>4</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华西证券股份有限公司</w:t>
            </w:r>
          </w:p>
        </w:tc>
        <w:tc>
          <w:tcPr>
            <w:tcW w:w="797" w:type="dxa"/>
            <w:vAlign w:val="top"/>
          </w:tcPr>
          <w:p>
            <w:pPr>
              <w:pStyle w:val="5"/>
              <w:spacing w:before="40" w:line="205" w:lineRule="auto"/>
              <w:ind w:left="290" w:leftChars="0"/>
              <w:rPr>
                <w:rFonts w:ascii="宋体" w:hAnsi="宋体" w:eastAsia="宋体" w:cs="宋体"/>
                <w:snapToGrid w:val="0"/>
                <w:color w:val="000000"/>
                <w:kern w:val="0"/>
                <w:sz w:val="24"/>
                <w:szCs w:val="24"/>
                <w:lang w:val="en-US" w:eastAsia="en-US" w:bidi="ar-SA"/>
              </w:rPr>
            </w:pPr>
            <w:r>
              <w:rPr>
                <w:spacing w:val="-8"/>
              </w:rPr>
              <w:t>36</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长江证券股份有限公司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78" w:type="dxa"/>
            <w:vAlign w:val="top"/>
          </w:tcPr>
          <w:p>
            <w:pPr>
              <w:pStyle w:val="5"/>
              <w:spacing w:before="40" w:line="204" w:lineRule="auto"/>
              <w:ind w:left="389"/>
            </w:pPr>
            <w:r>
              <w:t>5</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财通证券股份有限公司</w:t>
            </w:r>
          </w:p>
        </w:tc>
        <w:tc>
          <w:tcPr>
            <w:tcW w:w="797" w:type="dxa"/>
            <w:vAlign w:val="top"/>
          </w:tcPr>
          <w:p>
            <w:pPr>
              <w:pStyle w:val="5"/>
              <w:spacing w:before="43" w:line="203" w:lineRule="auto"/>
              <w:ind w:left="290" w:leftChars="0"/>
              <w:rPr>
                <w:rFonts w:ascii="宋体" w:hAnsi="宋体" w:eastAsia="宋体" w:cs="宋体"/>
                <w:snapToGrid w:val="0"/>
                <w:color w:val="000000"/>
                <w:kern w:val="0"/>
                <w:sz w:val="24"/>
                <w:szCs w:val="24"/>
                <w:lang w:val="en-US" w:eastAsia="en-US" w:bidi="ar-SA"/>
              </w:rPr>
            </w:pPr>
            <w:r>
              <w:rPr>
                <w:spacing w:val="-8"/>
              </w:rPr>
              <w:t>37</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华曦资本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86"/>
            </w:pPr>
            <w:r>
              <w:t>6</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海通证券股份有限公司</w:t>
            </w:r>
          </w:p>
        </w:tc>
        <w:tc>
          <w:tcPr>
            <w:tcW w:w="797" w:type="dxa"/>
            <w:vAlign w:val="top"/>
          </w:tcPr>
          <w:p>
            <w:pPr>
              <w:pStyle w:val="5"/>
              <w:spacing w:before="41" w:line="204" w:lineRule="auto"/>
              <w:ind w:left="290" w:leftChars="0"/>
              <w:rPr>
                <w:rFonts w:ascii="宋体" w:hAnsi="宋体" w:eastAsia="宋体" w:cs="宋体"/>
                <w:snapToGrid w:val="0"/>
                <w:color w:val="000000"/>
                <w:kern w:val="0"/>
                <w:sz w:val="24"/>
                <w:szCs w:val="24"/>
                <w:lang w:val="en-US" w:eastAsia="en-US" w:bidi="ar-SA"/>
              </w:rPr>
            </w:pPr>
            <w:r>
              <w:rPr>
                <w:spacing w:val="-8"/>
              </w:rPr>
              <w:t>38</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中国国际金融股份有限公司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90"/>
            </w:pPr>
            <w:r>
              <w:t>7</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中信建投(国际)金融控股有限公司</w:t>
            </w:r>
          </w:p>
        </w:tc>
        <w:tc>
          <w:tcPr>
            <w:tcW w:w="797" w:type="dxa"/>
            <w:vAlign w:val="top"/>
          </w:tcPr>
          <w:p>
            <w:pPr>
              <w:pStyle w:val="5"/>
              <w:spacing w:before="41" w:line="204" w:lineRule="auto"/>
              <w:ind w:left="290" w:leftChars="0"/>
              <w:rPr>
                <w:rFonts w:ascii="宋体" w:hAnsi="宋体" w:eastAsia="宋体" w:cs="宋体"/>
                <w:snapToGrid w:val="0"/>
                <w:color w:val="000000"/>
                <w:kern w:val="0"/>
                <w:sz w:val="24"/>
                <w:szCs w:val="24"/>
                <w:lang w:val="en-US" w:eastAsia="en-US" w:bidi="ar-SA"/>
              </w:rPr>
            </w:pPr>
            <w:r>
              <w:rPr>
                <w:spacing w:val="-8"/>
              </w:rPr>
              <w:t>39</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汇丰晋信基金管理有限公司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85"/>
            </w:pPr>
            <w:r>
              <w:t>8</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上海申银万国证券研究所有限公司</w:t>
            </w:r>
          </w:p>
        </w:tc>
        <w:tc>
          <w:tcPr>
            <w:tcW w:w="797" w:type="dxa"/>
            <w:vAlign w:val="top"/>
          </w:tcPr>
          <w:p>
            <w:pPr>
              <w:pStyle w:val="5"/>
              <w:spacing w:before="41" w:line="204" w:lineRule="auto"/>
              <w:ind w:left="284" w:leftChars="0"/>
              <w:rPr>
                <w:rFonts w:ascii="宋体" w:hAnsi="宋体" w:eastAsia="宋体" w:cs="宋体"/>
                <w:snapToGrid w:val="0"/>
                <w:color w:val="000000"/>
                <w:kern w:val="0"/>
                <w:sz w:val="24"/>
                <w:szCs w:val="24"/>
                <w:lang w:val="en-US" w:eastAsia="en-US" w:bidi="ar-SA"/>
              </w:rPr>
            </w:pPr>
            <w:r>
              <w:rPr>
                <w:spacing w:val="-5"/>
              </w:rPr>
              <w:t>40</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三峡资本控股有限责任公司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85"/>
            </w:pPr>
            <w:r>
              <w:t>9</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太平洋资产管理有限责任公司</w:t>
            </w:r>
          </w:p>
        </w:tc>
        <w:tc>
          <w:tcPr>
            <w:tcW w:w="797" w:type="dxa"/>
            <w:vAlign w:val="top"/>
          </w:tcPr>
          <w:p>
            <w:pPr>
              <w:pStyle w:val="5"/>
              <w:spacing w:before="40" w:line="205" w:lineRule="auto"/>
              <w:ind w:left="284" w:leftChars="0"/>
              <w:rPr>
                <w:rFonts w:ascii="宋体" w:hAnsi="宋体" w:eastAsia="宋体" w:cs="宋体"/>
                <w:snapToGrid w:val="0"/>
                <w:color w:val="000000"/>
                <w:kern w:val="0"/>
                <w:sz w:val="24"/>
                <w:szCs w:val="24"/>
                <w:lang w:val="en-US" w:eastAsia="en-US" w:bidi="ar-SA"/>
              </w:rPr>
            </w:pPr>
            <w:r>
              <w:rPr>
                <w:spacing w:val="-5"/>
              </w:rPr>
              <w:t>41</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果行育德管理咨询(上海)有限公司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3" w:line="203" w:lineRule="auto"/>
              <w:ind w:left="342"/>
            </w:pPr>
            <w:r>
              <w:rPr>
                <w:spacing w:val="-14"/>
              </w:rPr>
              <w:t>10</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国泰海通证券股份有限公司</w:t>
            </w:r>
          </w:p>
        </w:tc>
        <w:tc>
          <w:tcPr>
            <w:tcW w:w="797" w:type="dxa"/>
            <w:vAlign w:val="top"/>
          </w:tcPr>
          <w:p>
            <w:pPr>
              <w:pStyle w:val="5"/>
              <w:spacing w:before="40" w:line="205" w:lineRule="auto"/>
              <w:ind w:left="284" w:leftChars="0"/>
              <w:rPr>
                <w:rFonts w:ascii="宋体" w:hAnsi="宋体" w:eastAsia="宋体" w:cs="宋体"/>
                <w:snapToGrid w:val="0"/>
                <w:color w:val="000000"/>
                <w:kern w:val="0"/>
                <w:sz w:val="24"/>
                <w:szCs w:val="24"/>
                <w:lang w:val="en-US" w:eastAsia="en-US" w:bidi="ar-SA"/>
              </w:rPr>
            </w:pPr>
            <w:r>
              <w:rPr>
                <w:spacing w:val="-5"/>
              </w:rPr>
              <w:t>42</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瑞众人寿保险有限责任公司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11</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东吴证券股份有限公司</w:t>
            </w:r>
          </w:p>
        </w:tc>
        <w:tc>
          <w:tcPr>
            <w:tcW w:w="797" w:type="dxa"/>
            <w:vAlign w:val="top"/>
          </w:tcPr>
          <w:p>
            <w:pPr>
              <w:pStyle w:val="5"/>
              <w:spacing w:before="43" w:line="203" w:lineRule="auto"/>
              <w:ind w:left="284" w:leftChars="0"/>
              <w:rPr>
                <w:rFonts w:ascii="宋体" w:hAnsi="宋体" w:eastAsia="宋体" w:cs="宋体"/>
                <w:snapToGrid w:val="0"/>
                <w:color w:val="000000"/>
                <w:kern w:val="0"/>
                <w:sz w:val="24"/>
                <w:szCs w:val="24"/>
                <w:lang w:val="en-US" w:eastAsia="en-US" w:bidi="ar-SA"/>
              </w:rPr>
            </w:pPr>
            <w:r>
              <w:rPr>
                <w:spacing w:val="-5"/>
              </w:rPr>
              <w:t>43</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北京中泽控股集团有限公司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12</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招商证券股份有限公司</w:t>
            </w:r>
          </w:p>
        </w:tc>
        <w:tc>
          <w:tcPr>
            <w:tcW w:w="797" w:type="dxa"/>
            <w:vAlign w:val="top"/>
          </w:tcPr>
          <w:p>
            <w:pPr>
              <w:pStyle w:val="5"/>
              <w:spacing w:before="41" w:line="204" w:lineRule="auto"/>
              <w:ind w:left="284" w:leftChars="0"/>
              <w:rPr>
                <w:rFonts w:ascii="宋体" w:hAnsi="宋体" w:eastAsia="宋体" w:cs="宋体"/>
                <w:snapToGrid w:val="0"/>
                <w:color w:val="000000"/>
                <w:kern w:val="0"/>
                <w:sz w:val="24"/>
                <w:szCs w:val="24"/>
                <w:lang w:val="en-US" w:eastAsia="en-US" w:bidi="ar-SA"/>
              </w:rPr>
            </w:pPr>
            <w:r>
              <w:rPr>
                <w:spacing w:val="-5"/>
              </w:rPr>
              <w:t>44</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海通证券股份有限公司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13</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光大证券股份有限公司</w:t>
            </w:r>
          </w:p>
        </w:tc>
        <w:tc>
          <w:tcPr>
            <w:tcW w:w="797" w:type="dxa"/>
            <w:vAlign w:val="top"/>
          </w:tcPr>
          <w:p>
            <w:pPr>
              <w:pStyle w:val="5"/>
              <w:spacing w:before="41" w:line="204" w:lineRule="auto"/>
              <w:ind w:left="284" w:leftChars="0"/>
              <w:rPr>
                <w:rFonts w:ascii="宋体" w:hAnsi="宋体" w:eastAsia="宋体" w:cs="宋体"/>
                <w:snapToGrid w:val="0"/>
                <w:color w:val="000000"/>
                <w:kern w:val="0"/>
                <w:sz w:val="24"/>
                <w:szCs w:val="24"/>
                <w:lang w:val="en-US" w:eastAsia="en-US" w:bidi="ar-SA"/>
              </w:rPr>
            </w:pPr>
            <w:r>
              <w:rPr>
                <w:spacing w:val="-5"/>
              </w:rPr>
              <w:t>45</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华创证券有限责任公司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42"/>
            </w:pPr>
            <w:r>
              <w:rPr>
                <w:spacing w:val="-14"/>
              </w:rPr>
              <w:t>14</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国泰海通证券股份有限公司</w:t>
            </w:r>
          </w:p>
        </w:tc>
        <w:tc>
          <w:tcPr>
            <w:tcW w:w="797" w:type="dxa"/>
            <w:vAlign w:val="top"/>
          </w:tcPr>
          <w:p>
            <w:pPr>
              <w:pStyle w:val="5"/>
              <w:spacing w:before="40" w:line="205" w:lineRule="auto"/>
              <w:ind w:left="290" w:leftChars="0"/>
              <w:rPr>
                <w:spacing w:val="-8"/>
                <w:lang w:val="en-US" w:eastAsia="en-US"/>
              </w:rPr>
            </w:pPr>
            <w:r>
              <w:rPr>
                <w:spacing w:val="-8"/>
              </w:rPr>
              <w:t>46</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太平洋证券股份有限公司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42"/>
            </w:pPr>
            <w:r>
              <w:rPr>
                <w:spacing w:val="-14"/>
              </w:rPr>
              <w:t>15</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北京鸿道投资管理有限责任公司</w:t>
            </w:r>
          </w:p>
        </w:tc>
        <w:tc>
          <w:tcPr>
            <w:tcW w:w="797" w:type="dxa"/>
            <w:vAlign w:val="top"/>
          </w:tcPr>
          <w:p>
            <w:pPr>
              <w:pStyle w:val="5"/>
              <w:spacing w:before="40" w:line="205" w:lineRule="auto"/>
              <w:ind w:left="290" w:leftChars="0"/>
              <w:rPr>
                <w:spacing w:val="-8"/>
                <w:lang w:val="en-US" w:eastAsia="en-US"/>
              </w:rPr>
            </w:pPr>
            <w:r>
              <w:rPr>
                <w:spacing w:val="-8"/>
              </w:rPr>
              <w:t>47</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北京盛曦投资管理有限责任公司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3" w:line="203" w:lineRule="auto"/>
              <w:ind w:left="342"/>
            </w:pPr>
            <w:r>
              <w:rPr>
                <w:spacing w:val="-14"/>
              </w:rPr>
              <w:t>16</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花旗环球金融亚洲有限公司</w:t>
            </w:r>
          </w:p>
        </w:tc>
        <w:tc>
          <w:tcPr>
            <w:tcW w:w="797" w:type="dxa"/>
            <w:vAlign w:val="top"/>
          </w:tcPr>
          <w:p>
            <w:pPr>
              <w:pStyle w:val="5"/>
              <w:spacing w:before="40" w:line="205" w:lineRule="auto"/>
              <w:ind w:left="290" w:leftChars="0"/>
              <w:rPr>
                <w:spacing w:val="-8"/>
                <w:lang w:val="en-US" w:eastAsia="en-US"/>
              </w:rPr>
            </w:pPr>
            <w:r>
              <w:rPr>
                <w:spacing w:val="-8"/>
              </w:rPr>
              <w:t>48</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万家基金管理有限公司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17</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上海申银万国证券研究所有限公司</w:t>
            </w:r>
          </w:p>
        </w:tc>
        <w:tc>
          <w:tcPr>
            <w:tcW w:w="797" w:type="dxa"/>
            <w:vAlign w:val="top"/>
          </w:tcPr>
          <w:p>
            <w:pPr>
              <w:pStyle w:val="5"/>
              <w:spacing w:before="40" w:line="205" w:lineRule="auto"/>
              <w:ind w:left="290" w:leftChars="0"/>
              <w:rPr>
                <w:spacing w:val="-8"/>
                <w:lang w:val="en-US" w:eastAsia="en-US"/>
              </w:rPr>
            </w:pPr>
            <w:r>
              <w:rPr>
                <w:spacing w:val="-8"/>
              </w:rPr>
              <w:t>49</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中国东方资产管理股份有限公司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18</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中信证券股份有限公司</w:t>
            </w:r>
          </w:p>
        </w:tc>
        <w:tc>
          <w:tcPr>
            <w:tcW w:w="797" w:type="dxa"/>
            <w:vAlign w:val="top"/>
          </w:tcPr>
          <w:p>
            <w:pPr>
              <w:pStyle w:val="5"/>
              <w:spacing w:before="40" w:line="205" w:lineRule="auto"/>
              <w:ind w:left="290" w:leftChars="0"/>
              <w:rPr>
                <w:spacing w:val="-8"/>
                <w:lang w:val="en-US" w:eastAsia="en-US"/>
              </w:rPr>
            </w:pPr>
            <w:r>
              <w:rPr>
                <w:spacing w:val="-8"/>
              </w:rPr>
              <w:t>50</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英大证券有限责任公司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42"/>
            </w:pPr>
            <w:r>
              <w:rPr>
                <w:spacing w:val="-14"/>
              </w:rPr>
              <w:t>19</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中信期货有限公司</w:t>
            </w:r>
          </w:p>
        </w:tc>
        <w:tc>
          <w:tcPr>
            <w:tcW w:w="797" w:type="dxa"/>
            <w:vAlign w:val="top"/>
          </w:tcPr>
          <w:p>
            <w:pPr>
              <w:pStyle w:val="5"/>
              <w:spacing w:before="40" w:line="205" w:lineRule="auto"/>
              <w:ind w:left="290" w:leftChars="0"/>
              <w:rPr>
                <w:spacing w:val="-8"/>
                <w:lang w:val="en-US" w:eastAsia="en-US"/>
              </w:rPr>
            </w:pPr>
            <w:r>
              <w:rPr>
                <w:spacing w:val="-8"/>
              </w:rPr>
              <w:t>51</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南京睿澜私募基金管理有限公司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27"/>
            </w:pPr>
            <w:r>
              <w:rPr>
                <w:spacing w:val="-7"/>
              </w:rPr>
              <w:t>20</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华福证券有限责任公司</w:t>
            </w:r>
          </w:p>
        </w:tc>
        <w:tc>
          <w:tcPr>
            <w:tcW w:w="797" w:type="dxa"/>
            <w:vAlign w:val="top"/>
          </w:tcPr>
          <w:p>
            <w:pPr>
              <w:pStyle w:val="5"/>
              <w:spacing w:before="40" w:line="205" w:lineRule="auto"/>
              <w:ind w:left="290" w:leftChars="0"/>
              <w:rPr>
                <w:spacing w:val="-8"/>
                <w:lang w:val="en-US" w:eastAsia="en-US"/>
              </w:rPr>
            </w:pPr>
            <w:r>
              <w:rPr>
                <w:spacing w:val="-8"/>
              </w:rPr>
              <w:t>52</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德邦基金管理有限公司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27"/>
            </w:pPr>
            <w:r>
              <w:rPr>
                <w:spacing w:val="-7"/>
              </w:rPr>
              <w:t>21</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长江证券(上海)资产管理有限公司</w:t>
            </w:r>
          </w:p>
        </w:tc>
        <w:tc>
          <w:tcPr>
            <w:tcW w:w="797" w:type="dxa"/>
            <w:vAlign w:val="top"/>
          </w:tcPr>
          <w:p>
            <w:pPr>
              <w:pStyle w:val="5"/>
              <w:spacing w:before="40" w:line="205" w:lineRule="auto"/>
              <w:ind w:left="290" w:leftChars="0"/>
              <w:rPr>
                <w:spacing w:val="-8"/>
                <w:lang w:val="en-US" w:eastAsia="en-US"/>
              </w:rPr>
            </w:pPr>
            <w:r>
              <w:rPr>
                <w:spacing w:val="-8"/>
              </w:rPr>
              <w:t>53</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瑞银集团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3" w:line="203" w:lineRule="auto"/>
              <w:ind w:left="327"/>
            </w:pPr>
            <w:r>
              <w:rPr>
                <w:spacing w:val="-7"/>
              </w:rPr>
              <w:t>22</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中银国际证券股份有限公司</w:t>
            </w:r>
          </w:p>
        </w:tc>
        <w:tc>
          <w:tcPr>
            <w:tcW w:w="797" w:type="dxa"/>
            <w:vAlign w:val="top"/>
          </w:tcPr>
          <w:p>
            <w:pPr>
              <w:pStyle w:val="5"/>
              <w:spacing w:before="40" w:line="205" w:lineRule="auto"/>
              <w:ind w:left="290" w:leftChars="0"/>
              <w:rPr>
                <w:spacing w:val="-8"/>
                <w:lang w:val="en-US" w:eastAsia="en-US"/>
              </w:rPr>
            </w:pPr>
            <w:r>
              <w:rPr>
                <w:spacing w:val="-8"/>
              </w:rPr>
              <w:t>54</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平安理财有限责任公司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27"/>
            </w:pPr>
            <w:r>
              <w:rPr>
                <w:spacing w:val="-7"/>
              </w:rPr>
              <w:t>23</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西部证券股份有限公司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55</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上海国泰海通证券资产管理有限公司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27"/>
            </w:pPr>
            <w:r>
              <w:rPr>
                <w:spacing w:val="-7"/>
              </w:rPr>
              <w:t>24</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东方财富证券股份有限公司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56</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上海明河投资管理有限公司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1" w:line="204" w:lineRule="auto"/>
              <w:ind w:left="327"/>
            </w:pPr>
            <w:r>
              <w:rPr>
                <w:spacing w:val="-7"/>
              </w:rPr>
              <w:t>25</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长江证券股份有限公司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57</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中铝资本控股有限公司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78" w:type="dxa"/>
            <w:vAlign w:val="top"/>
          </w:tcPr>
          <w:p>
            <w:pPr>
              <w:pStyle w:val="5"/>
              <w:spacing w:before="40" w:line="205" w:lineRule="auto"/>
              <w:ind w:left="327"/>
            </w:pPr>
            <w:r>
              <w:rPr>
                <w:spacing w:val="-7"/>
              </w:rPr>
              <w:t>26</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耕霁(上海)投资管理有限公司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58</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深圳市尚诚资产管理有限责任公司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40" w:line="208" w:lineRule="auto"/>
              <w:ind w:left="327"/>
            </w:pPr>
            <w:r>
              <w:rPr>
                <w:spacing w:val="-7"/>
              </w:rPr>
              <w:t>27</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中银国际证券股份有限公司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59</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东方财富证券股份有限公司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36" w:line="207" w:lineRule="auto"/>
              <w:ind w:left="288" w:leftChars="0"/>
              <w:rPr>
                <w:rFonts w:ascii="宋体" w:hAnsi="宋体" w:eastAsia="宋体" w:cs="宋体"/>
                <w:snapToGrid w:val="0"/>
                <w:color w:val="000000"/>
                <w:kern w:val="0"/>
                <w:sz w:val="24"/>
                <w:szCs w:val="24"/>
                <w:lang w:val="en-US" w:eastAsia="en-US" w:bidi="ar-SA"/>
              </w:rPr>
            </w:pPr>
            <w:r>
              <w:rPr>
                <w:spacing w:val="-7"/>
              </w:rPr>
              <w:t>28</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上海证券有限责任公司</w:t>
            </w:r>
          </w:p>
        </w:tc>
        <w:tc>
          <w:tcPr>
            <w:tcW w:w="797" w:type="dxa"/>
            <w:vAlign w:val="center"/>
          </w:tcPr>
          <w:p>
            <w:pPr>
              <w:pStyle w:val="5"/>
              <w:spacing w:before="40" w:line="205" w:lineRule="auto"/>
              <w:ind w:left="290" w:leftChars="0"/>
              <w:rPr>
                <w:spacing w:val="-8"/>
              </w:rPr>
            </w:pPr>
            <w:r>
              <w:rPr>
                <w:rFonts w:hint="eastAsia"/>
                <w:spacing w:val="-8"/>
                <w:lang w:val="en-US" w:eastAsia="zh-CN"/>
              </w:rPr>
              <w:t>60</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青骊投资管理(上海)有限公司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38" w:line="206" w:lineRule="auto"/>
              <w:ind w:left="288" w:leftChars="0"/>
              <w:rPr>
                <w:rFonts w:ascii="宋体" w:hAnsi="宋体" w:eastAsia="宋体" w:cs="宋体"/>
                <w:snapToGrid w:val="0"/>
                <w:color w:val="000000"/>
                <w:kern w:val="0"/>
                <w:sz w:val="24"/>
                <w:szCs w:val="24"/>
                <w:lang w:val="en-US" w:eastAsia="en-US" w:bidi="ar-SA"/>
              </w:rPr>
            </w:pPr>
            <w:r>
              <w:rPr>
                <w:spacing w:val="-7"/>
              </w:rPr>
              <w:t>29</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华夏未来资本管理有限公司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61</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俊腾投资控股有限公司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39" w:line="206" w:lineRule="auto"/>
              <w:ind w:left="290" w:leftChars="0"/>
              <w:rPr>
                <w:rFonts w:ascii="宋体" w:hAnsi="宋体" w:eastAsia="宋体" w:cs="宋体"/>
                <w:snapToGrid w:val="0"/>
                <w:color w:val="000000"/>
                <w:kern w:val="0"/>
                <w:sz w:val="24"/>
                <w:szCs w:val="24"/>
                <w:lang w:val="en-US" w:eastAsia="en-US" w:bidi="ar-SA"/>
              </w:rPr>
            </w:pPr>
            <w:r>
              <w:rPr>
                <w:spacing w:val="-8"/>
              </w:rPr>
              <w:t>30</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长江证券股份有限公司</w:t>
            </w:r>
          </w:p>
        </w:tc>
        <w:tc>
          <w:tcPr>
            <w:tcW w:w="797" w:type="dxa"/>
            <w:vAlign w:val="center"/>
          </w:tcPr>
          <w:p>
            <w:pPr>
              <w:pStyle w:val="5"/>
              <w:spacing w:before="40" w:line="205" w:lineRule="auto"/>
              <w:ind w:left="290" w:leftChars="0"/>
              <w:rPr>
                <w:spacing w:val="-8"/>
              </w:rPr>
            </w:pPr>
            <w:r>
              <w:rPr>
                <w:rFonts w:hint="eastAsia"/>
                <w:spacing w:val="-8"/>
                <w:lang w:val="en-US" w:eastAsia="zh-CN"/>
              </w:rPr>
              <w:t>62</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深圳中天汇富基金管理有限公司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78" w:type="dxa"/>
            <w:vAlign w:val="top"/>
          </w:tcPr>
          <w:p>
            <w:pPr>
              <w:pStyle w:val="5"/>
              <w:spacing w:before="40" w:line="204" w:lineRule="auto"/>
              <w:ind w:left="290" w:leftChars="0"/>
              <w:rPr>
                <w:rFonts w:ascii="宋体" w:hAnsi="宋体" w:eastAsia="宋体" w:cs="宋体"/>
                <w:snapToGrid w:val="0"/>
                <w:color w:val="000000"/>
                <w:kern w:val="0"/>
                <w:sz w:val="24"/>
                <w:szCs w:val="24"/>
                <w:lang w:val="en-US" w:eastAsia="en-US" w:bidi="ar-SA"/>
              </w:rPr>
            </w:pPr>
            <w:r>
              <w:rPr>
                <w:spacing w:val="-8"/>
              </w:rPr>
              <w:t>31</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兴业证券股份有限公司</w:t>
            </w:r>
          </w:p>
        </w:tc>
        <w:tc>
          <w:tcPr>
            <w:tcW w:w="797" w:type="dxa"/>
            <w:vAlign w:val="center"/>
          </w:tcPr>
          <w:p>
            <w:pPr>
              <w:pStyle w:val="5"/>
              <w:spacing w:before="40" w:line="205" w:lineRule="auto"/>
              <w:ind w:left="290" w:leftChars="0"/>
              <w:rPr>
                <w:rFonts w:hint="default" w:eastAsia="宋体"/>
                <w:spacing w:val="-8"/>
                <w:lang w:val="en-US" w:eastAsia="zh-CN"/>
              </w:rPr>
            </w:pPr>
            <w:r>
              <w:rPr>
                <w:rFonts w:hint="eastAsia"/>
                <w:spacing w:val="-8"/>
                <w:lang w:val="en-US" w:eastAsia="zh-CN"/>
              </w:rPr>
              <w:t>63</w:t>
            </w:r>
          </w:p>
        </w:tc>
        <w:tc>
          <w:tcPr>
            <w:tcW w:w="478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rFonts w:hint="eastAsia"/>
                <w:spacing w:val="-1"/>
                <w:lang w:val="en-US" w:eastAsia="zh-CN"/>
              </w:rPr>
            </w:pPr>
            <w:r>
              <w:rPr>
                <w:rFonts w:hint="eastAsia"/>
                <w:spacing w:val="-1"/>
                <w:lang w:val="en-US" w:eastAsia="zh-CN"/>
              </w:rPr>
              <w:t>KoneTas Capital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0" w:type="auto"/>
            <w:vAlign w:val="top"/>
          </w:tcPr>
          <w:p>
            <w:pPr>
              <w:pStyle w:val="5"/>
              <w:spacing w:before="40" w:line="204" w:lineRule="auto"/>
              <w:ind w:left="290" w:leftChars="0"/>
              <w:rPr>
                <w:rFonts w:ascii="宋体" w:hAnsi="宋体" w:eastAsia="宋体" w:cs="宋体"/>
                <w:snapToGrid w:val="0"/>
                <w:color w:val="000000"/>
                <w:kern w:val="0"/>
                <w:sz w:val="24"/>
                <w:szCs w:val="24"/>
                <w:lang w:val="en-US" w:eastAsia="en-US" w:bidi="ar-SA"/>
              </w:rPr>
            </w:pPr>
            <w:r>
              <w:rPr>
                <w:spacing w:val="-8"/>
              </w:rPr>
              <w:t>32</w:t>
            </w:r>
          </w:p>
        </w:tc>
        <w:tc>
          <w:tcPr>
            <w:tcW w:w="4703"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40" w:line="204" w:lineRule="auto"/>
              <w:ind w:left="0"/>
              <w:jc w:val="center"/>
              <w:textAlignment w:val="baseline"/>
              <w:rPr>
                <w:spacing w:val="-1"/>
              </w:rPr>
            </w:pPr>
            <w:r>
              <w:rPr>
                <w:rFonts w:hint="eastAsia"/>
                <w:spacing w:val="-1"/>
                <w:lang w:val="en-US" w:eastAsia="zh-CN"/>
              </w:rPr>
              <w:t>国信证券股份有限公司</w:t>
            </w:r>
          </w:p>
        </w:tc>
        <w:tc>
          <w:tcPr>
            <w:tcW w:w="0" w:type="auto"/>
          </w:tcPr>
          <w:p>
            <w:pPr>
              <w:pStyle w:val="5"/>
              <w:spacing w:before="40" w:line="208" w:lineRule="auto"/>
              <w:ind w:left="290"/>
              <w:rPr>
                <w:spacing w:val="-8"/>
              </w:rPr>
            </w:pPr>
          </w:p>
        </w:tc>
        <w:tc>
          <w:tcPr>
            <w:tcW w:w="4786" w:type="dxa"/>
            <w:vAlign w:val="center"/>
          </w:tcPr>
          <w:p>
            <w:pPr>
              <w:keepNext w:val="0"/>
              <w:keepLines w:val="0"/>
              <w:widowControl/>
              <w:suppressLineNumbers w:val="0"/>
              <w:jc w:val="left"/>
              <w:textAlignment w:val="center"/>
              <w:rPr>
                <w:spacing w:val="-1"/>
              </w:rPr>
            </w:pPr>
          </w:p>
        </w:tc>
      </w:tr>
    </w:tbl>
    <w:p>
      <w:pPr>
        <w:rPr>
          <w:rFonts w:ascii="Arial"/>
          <w:sz w:val="21"/>
        </w:rPr>
      </w:pPr>
      <w:bookmarkStart w:id="0" w:name="_GoBack"/>
      <w:bookmarkEnd w:id="0"/>
    </w:p>
    <w:sectPr>
      <w:pgSz w:w="11906" w:h="16839"/>
      <w:pgMar w:top="1429" w:right="368" w:bottom="1247" w:left="36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1583AD7"/>
    <w:rsid w:val="2511735F"/>
    <w:rsid w:val="30B74FFE"/>
    <w:rsid w:val="332035B5"/>
    <w:rsid w:val="50937899"/>
    <w:rsid w:val="6E92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1227</Words>
  <Characters>1248</Characters>
  <TotalTime>1</TotalTime>
  <ScaleCrop>false</ScaleCrop>
  <LinksUpToDate>false</LinksUpToDate>
  <CharactersWithSpaces>1327</CharactersWithSpaces>
  <Application>WPS Office_11.8.2.12086_F1E327BC-269C-435d-A152-05C5408002CA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2025-04-22T17:25:00Z</dcterms:created>
  <dc:creator>徐延青</dc:creator>
  <cp:lastModifiedBy>李秋墨</cp:lastModifiedBy>
  <dcterms:modified xsi:type="dcterms:W3CDTF">2025-08-26T07:32:24Z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2025-08-25T11:48:16Z</vt:filetime>
  </property>
  <property fmtid="{D5CDD505-2E9C-101B-9397-08002B2CF9AE}" pid="4" name="KSOTemplateDocerSaveRecord">
    <vt:lpwstr>eyJoZGlkIjoiYjAzNmRlMTI4ZWE2YjliY2Q1MGRjOTQ2YTViYWUxNGIiLCJ1c2VySWQiOiI0Mzk1ODg5MjEifQ==</vt:lpwstr>
  </property>
  <property fmtid="{D5CDD505-2E9C-101B-9397-08002B2CF9AE}" pid="5" name="KSOProductBuildVer">
    <vt:lpwstr>2052-11.8.2.12086</vt:lpwstr>
  </property>
  <property fmtid="{D5CDD505-2E9C-101B-9397-08002B2CF9AE}" pid="6" name="ICV">
    <vt:lpwstr>451D11AD883C4DE7B9C4AE55BB3F6048</vt:lpwstr>
  </property>
</Properties>
</file>