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494F5">
      <w:pPr>
        <w:spacing w:before="156" w:beforeLines="50" w:after="156" w:afterLines="50" w:line="400" w:lineRule="exact"/>
        <w:rPr>
          <w:rFonts w:hint="eastAsia"/>
          <w:bCs/>
          <w:iCs/>
          <w:color w:val="000000"/>
          <w:sz w:val="24"/>
        </w:rPr>
      </w:pPr>
      <w:r>
        <w:rPr>
          <w:rFonts w:hAnsi="宋体"/>
          <w:bCs/>
          <w:iCs/>
          <w:color w:val="000000"/>
          <w:sz w:val="24"/>
        </w:rPr>
        <w:t>证券代码：</w:t>
      </w:r>
      <w:r>
        <w:rPr>
          <w:color w:val="000000"/>
          <w:sz w:val="24"/>
        </w:rPr>
        <w:t xml:space="preserve">688707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振华新材</w:t>
      </w:r>
    </w:p>
    <w:p w14:paraId="6383528C">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贵州振华新材料股份有限公司</w:t>
      </w:r>
    </w:p>
    <w:p w14:paraId="4B1403E3">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79969967">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BAC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F736423">
            <w:pPr>
              <w:spacing w:line="420" w:lineRule="exact"/>
              <w:rPr>
                <w:bCs/>
                <w:iCs/>
                <w:color w:val="000000"/>
                <w:kern w:val="0"/>
                <w:sz w:val="24"/>
              </w:rPr>
            </w:pPr>
            <w:r>
              <w:rPr>
                <w:rFonts w:hAnsi="宋体"/>
                <w:bCs/>
                <w:iCs/>
                <w:color w:val="000000"/>
                <w:kern w:val="0"/>
                <w:sz w:val="24"/>
              </w:rPr>
              <w:t>投资者关系活动类别</w:t>
            </w:r>
          </w:p>
          <w:p w14:paraId="2BE85FE1">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7A6B1660">
            <w:pPr>
              <w:spacing w:line="420" w:lineRule="exact"/>
              <w:rPr>
                <w:bCs/>
                <w:iCs/>
                <w:color w:val="000000"/>
                <w:sz w:val="24"/>
              </w:rPr>
            </w:pPr>
            <w:r>
              <w:rPr>
                <w:rFonts w:hint="eastAsia"/>
                <w:bCs/>
                <w:iCs/>
                <w:color w:val="000000"/>
                <w:kern w:val="0"/>
                <w:sz w:val="24"/>
                <w:lang w:eastAsia="zh-CN"/>
              </w:rPr>
              <w:t>☑</w:t>
            </w:r>
            <w:r>
              <w:rPr>
                <w:rFonts w:hint="eastAsia"/>
                <w:bCs/>
                <w:iCs/>
                <w:color w:val="000000"/>
                <w:kern w:val="0"/>
                <w:sz w:val="24"/>
                <w:lang w:val="en-US" w:eastAsia="zh-CN"/>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BD5076F">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kern w:val="0"/>
                <w:sz w:val="24"/>
                <w:lang w:val="en-US" w:eastAsia="zh-CN"/>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C9A77D9">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kern w:val="0"/>
                <w:sz w:val="24"/>
                <w:lang w:val="en-US" w:eastAsia="zh-CN"/>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551DE6F">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099A5341">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5415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D4F2C86">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6F9BF50">
            <w:pPr>
              <w:spacing w:line="420" w:lineRule="exact"/>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新华资产 惠宇翔、戴丰年</w:t>
            </w:r>
          </w:p>
        </w:tc>
      </w:tr>
      <w:tr w14:paraId="44C1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2530ABBD">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C169320">
            <w:pPr>
              <w:spacing w:line="420" w:lineRule="exact"/>
              <w:rPr>
                <w:bCs/>
                <w:iCs/>
                <w:color w:val="000000"/>
                <w:sz w:val="24"/>
              </w:rPr>
            </w:pPr>
            <w:r>
              <w:rPr>
                <w:rFonts w:hint="eastAsia"/>
                <w:sz w:val="24"/>
              </w:rPr>
              <w:t>202</w:t>
            </w:r>
            <w:r>
              <w:rPr>
                <w:rFonts w:hint="eastAsia"/>
                <w:sz w:val="24"/>
                <w:lang w:val="en-US" w:eastAsia="zh-CN"/>
              </w:rPr>
              <w:t>5</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26日14:00-16:00</w:t>
            </w:r>
          </w:p>
        </w:tc>
      </w:tr>
      <w:tr w14:paraId="27C1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3E0316F">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E5167FA">
            <w:pPr>
              <w:spacing w:line="420" w:lineRule="exact"/>
              <w:rPr>
                <w:bCs/>
                <w:iCs/>
                <w:color w:val="000000"/>
                <w:sz w:val="24"/>
              </w:rPr>
            </w:pPr>
            <w:r>
              <w:rPr>
                <w:rFonts w:hint="eastAsia" w:asciiTheme="minorEastAsia" w:hAnsiTheme="minorEastAsia" w:cstheme="minorEastAsia"/>
                <w:sz w:val="24"/>
                <w:szCs w:val="24"/>
                <w:lang w:val="en-US" w:eastAsia="zh-CN"/>
              </w:rPr>
              <w:t>现场</w:t>
            </w:r>
          </w:p>
        </w:tc>
      </w:tr>
      <w:tr w14:paraId="75F6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5AAAF38">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175D5E23">
            <w:pPr>
              <w:rPr>
                <w:rFonts w:hint="default" w:ascii="宋体" w:hAnsi="宋体" w:eastAsia="宋体"/>
                <w:bCs/>
                <w:sz w:val="24"/>
                <w:lang w:val="en-US" w:eastAsia="zh-CN"/>
              </w:rPr>
            </w:pPr>
            <w:r>
              <w:rPr>
                <w:rFonts w:hint="eastAsia" w:ascii="Times New Roman" w:hAnsi="Times New Roman" w:cs="Times New Roman"/>
                <w:sz w:val="24"/>
                <w:lang w:val="en-US" w:eastAsia="zh-CN"/>
              </w:rPr>
              <w:t>王敬     副总经理/董事会秘书</w:t>
            </w:r>
            <w:bookmarkStart w:id="0" w:name="_GoBack"/>
            <w:bookmarkEnd w:id="0"/>
          </w:p>
        </w:tc>
      </w:tr>
      <w:tr w14:paraId="496C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889A820">
            <w:pPr>
              <w:spacing w:line="420" w:lineRule="exact"/>
              <w:rPr>
                <w:bCs/>
                <w:iCs/>
                <w:color w:val="000000"/>
                <w:kern w:val="0"/>
                <w:sz w:val="24"/>
              </w:rPr>
            </w:pPr>
            <w:r>
              <w:rPr>
                <w:rFonts w:hAnsi="宋体"/>
                <w:bCs/>
                <w:iCs/>
                <w:color w:val="000000"/>
                <w:kern w:val="0"/>
                <w:sz w:val="24"/>
              </w:rPr>
              <w:t>投资者关系活动主要内容介绍</w:t>
            </w:r>
          </w:p>
          <w:p w14:paraId="08C9E7C0">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144A79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bidi="ar"/>
              </w:rPr>
            </w:pPr>
            <w:r>
              <w:rPr>
                <w:rFonts w:hint="eastAsia" w:ascii="宋体" w:hAnsi="宋体" w:eastAsia="宋体" w:cs="宋体"/>
                <w:b/>
                <w:bCs/>
                <w:color w:val="000000"/>
                <w:kern w:val="0"/>
                <w:sz w:val="24"/>
                <w:lang w:val="en-US" w:eastAsia="zh-CN" w:bidi="ar"/>
              </w:rPr>
              <w:t>问题1：</w:t>
            </w:r>
            <w:r>
              <w:rPr>
                <w:rFonts w:hint="eastAsia" w:ascii="宋体" w:hAnsi="宋体" w:cs="宋体"/>
                <w:b/>
                <w:bCs/>
                <w:color w:val="000000"/>
                <w:kern w:val="0"/>
                <w:sz w:val="24"/>
                <w:lang w:val="en-US" w:eastAsia="zh-CN" w:bidi="ar"/>
              </w:rPr>
              <w:t>请简单介绍一下公司历史沿革</w:t>
            </w:r>
            <w:r>
              <w:rPr>
                <w:rFonts w:hint="eastAsia" w:ascii="宋体" w:hAnsi="宋体" w:eastAsia="宋体" w:cs="宋体"/>
                <w:b/>
                <w:bCs/>
                <w:color w:val="000000"/>
                <w:kern w:val="0"/>
                <w:sz w:val="24"/>
                <w:lang w:val="en-US" w:eastAsia="zh-CN" w:bidi="ar"/>
              </w:rPr>
              <w:t>？</w:t>
            </w:r>
          </w:p>
          <w:p w14:paraId="626118A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lang w:val="en-US" w:eastAsia="zh-CN" w:bidi="ar"/>
              </w:rPr>
            </w:pPr>
            <w:r>
              <w:rPr>
                <w:rFonts w:hint="default" w:ascii="宋体" w:hAnsi="宋体" w:eastAsia="宋体" w:cs="宋体"/>
                <w:color w:val="000000"/>
                <w:kern w:val="0"/>
                <w:sz w:val="24"/>
                <w:lang w:val="en-US" w:bidi="ar"/>
              </w:rPr>
              <w:t>答：</w:t>
            </w:r>
            <w:r>
              <w:rPr>
                <w:rFonts w:hint="eastAsia" w:ascii="宋体" w:hAnsi="宋体" w:cs="宋体"/>
                <w:color w:val="000000"/>
                <w:kern w:val="0"/>
                <w:sz w:val="24"/>
                <w:lang w:val="en-US" w:eastAsia="zh-CN" w:bidi="ar"/>
              </w:rPr>
              <w:t>（1）股本演变：公司系由原股东深圳振华与79名自然人于2004年共同发起设立的股份有限公司，发起设立时股本为2,000万元。公司设立后自2009年起，先后经历了四次增资、2017年新三板期间增资、2019年以资本公积转增股本方式10送10及同年完成了第七次增资，股本增至IPO前的33,220万元。2021年上市并发行新股、2024年再融资及完成首次回购，截止目前公司股本为50,874万元。</w:t>
            </w:r>
          </w:p>
          <w:p w14:paraId="5497B55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（2）发展历程：公司于2001年开始研发锂离子电池正极材料，经历了8年的研发积累及市场推广，于2009年在贵阳开始产业化。截止目前，公司在贵阳及义龙两大生产基地建成的总产能达8.2万吨/年。</w:t>
            </w:r>
          </w:p>
          <w:p w14:paraId="1F387C7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2</w:t>
            </w:r>
            <w:r>
              <w:rPr>
                <w:rFonts w:hint="eastAsia" w:ascii="宋体" w:hAnsi="宋体" w:eastAsia="宋体" w:cs="宋体"/>
                <w:b/>
                <w:bCs/>
                <w:color w:val="000000"/>
                <w:kern w:val="0"/>
                <w:sz w:val="24"/>
                <w:lang w:val="en-US" w:eastAsia="zh-CN" w:bidi="ar"/>
              </w:rPr>
              <w:t>：</w:t>
            </w:r>
            <w:r>
              <w:rPr>
                <w:rFonts w:hint="eastAsia" w:ascii="宋体" w:hAnsi="宋体" w:cs="宋体"/>
                <w:b/>
                <w:bCs/>
                <w:color w:val="000000"/>
                <w:kern w:val="0"/>
                <w:sz w:val="24"/>
                <w:lang w:val="en-US" w:eastAsia="zh-CN" w:bidi="ar"/>
              </w:rPr>
              <w:t>请介绍一下公司固态电池关键材料及钠离子电池正极材料研发进展情况</w:t>
            </w:r>
            <w:r>
              <w:rPr>
                <w:rFonts w:hint="eastAsia" w:ascii="宋体" w:hAnsi="宋体" w:eastAsia="宋体" w:cs="宋体"/>
                <w:b/>
                <w:bCs/>
                <w:color w:val="000000"/>
                <w:kern w:val="0"/>
                <w:sz w:val="24"/>
                <w:lang w:val="en-US" w:eastAsia="zh-CN" w:bidi="ar"/>
              </w:rPr>
              <w:t>？</w:t>
            </w:r>
          </w:p>
          <w:p w14:paraId="7C11960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default" w:ascii="宋体" w:hAnsi="宋体" w:eastAsia="宋体" w:cs="宋体"/>
                <w:color w:val="000000"/>
                <w:kern w:val="0"/>
                <w:sz w:val="24"/>
                <w:lang w:val="en-US" w:bidi="ar"/>
              </w:rPr>
              <w:t>答：</w:t>
            </w:r>
            <w:r>
              <w:rPr>
                <w:rFonts w:hint="eastAsia" w:ascii="宋体" w:hAnsi="宋体" w:cs="宋体"/>
                <w:color w:val="000000"/>
                <w:kern w:val="0"/>
                <w:sz w:val="24"/>
                <w:lang w:val="en-US" w:eastAsia="zh-CN" w:bidi="ar"/>
              </w:rPr>
              <w:t>（1）固态电解质及其改性三元：</w:t>
            </w:r>
            <w:r>
              <w:rPr>
                <w:rFonts w:hint="eastAsia" w:ascii="宋体" w:hAnsi="宋体" w:eastAsia="宋体" w:cs="宋体"/>
                <w:color w:val="000000"/>
                <w:kern w:val="0"/>
                <w:sz w:val="24"/>
                <w:lang w:val="en-US" w:eastAsia="zh-CN" w:bidi="ar"/>
              </w:rPr>
              <w:t>公司成功开发出粒径小（纳米级）、空气稳定性好、离子电导率高及分散性优等特性的复合固体电解质材料，现已实现吨级稳定制备，在现有三元材料改性升级及固态电池、半固态电池方面的应用有良好前景，并已与宁德时代、新能源科技（ATL）、中汽新能、上汽清陶、孚能科技、正力新能、赣锋锂电、微宏动力、丰田等企业建立合作关系，积极推进产品验证工作及年产百吨级中试线建设。同时，公司利用固体电解质改性三元材料，电化学性能和安全性能得到较明显改善，部分产品能满足《电动自行车用锂离子蓄电池安全技术规范》 （GB43854-2024） 中“电池在针刺测试中不起火、 不爆炸”的要求。</w:t>
            </w:r>
          </w:p>
          <w:p w14:paraId="04BD954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钠离子电池正极材料：目前已有多代层氧产品储备并实现出货及装车，新一代产品通过材料结构重构，容量及循环性能得到显著改善，有效适配高电压体系；聚阴离子材料通过优化粒径级配，有效提升了极片的压实密度，从而提升了电池的能量密度。截至目前，公司建设的聚阴离子材料年产百吨级中试线已基本完成，正在进行全面的产线评估与验证工作。</w:t>
            </w:r>
          </w:p>
          <w:p w14:paraId="0DF4CF3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3</w:t>
            </w:r>
            <w:r>
              <w:rPr>
                <w:rFonts w:hint="eastAsia" w:ascii="宋体" w:hAnsi="宋体" w:eastAsia="宋体" w:cs="宋体"/>
                <w:b/>
                <w:bCs/>
                <w:color w:val="000000"/>
                <w:kern w:val="0"/>
                <w:sz w:val="24"/>
                <w:lang w:val="en-US" w:eastAsia="zh-CN" w:bidi="ar"/>
              </w:rPr>
              <w:t>：</w:t>
            </w:r>
            <w:r>
              <w:rPr>
                <w:rFonts w:hint="eastAsia" w:ascii="宋体" w:hAnsi="宋体" w:cs="宋体"/>
                <w:b/>
                <w:bCs/>
                <w:color w:val="000000"/>
                <w:kern w:val="0"/>
                <w:sz w:val="24"/>
                <w:lang w:val="en-US" w:eastAsia="zh-CN" w:bidi="ar"/>
              </w:rPr>
              <w:t>2024年铁锂电池装机量占比超过80%，三元电池装机量进一步被挤压，请分析未来三元材料市占率是否会有所回升</w:t>
            </w:r>
            <w:r>
              <w:rPr>
                <w:rFonts w:hint="eastAsia" w:ascii="宋体" w:hAnsi="宋体" w:eastAsia="宋体" w:cs="宋体"/>
                <w:b/>
                <w:bCs/>
                <w:color w:val="000000"/>
                <w:kern w:val="0"/>
                <w:sz w:val="24"/>
                <w:lang w:val="en-US" w:eastAsia="zh-CN" w:bidi="ar"/>
              </w:rPr>
              <w:t>？</w:t>
            </w:r>
          </w:p>
          <w:p w14:paraId="62AF97D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kern w:val="0"/>
                <w:sz w:val="24"/>
                <w:lang w:val="en-US" w:eastAsia="zh-CN" w:bidi="ar"/>
              </w:rPr>
            </w:pPr>
            <w:r>
              <w:rPr>
                <w:rFonts w:hint="default" w:ascii="宋体" w:hAnsi="宋体" w:eastAsia="宋体" w:cs="宋体"/>
                <w:color w:val="000000"/>
                <w:kern w:val="0"/>
                <w:sz w:val="24"/>
                <w:lang w:val="en-US" w:bidi="ar"/>
              </w:rPr>
              <w:t>答：</w:t>
            </w:r>
            <w:r>
              <w:rPr>
                <w:rFonts w:hint="eastAsia" w:ascii="宋体" w:hAnsi="宋体" w:cs="宋体"/>
                <w:color w:val="000000"/>
                <w:kern w:val="0"/>
                <w:sz w:val="24"/>
                <w:lang w:val="en-US" w:eastAsia="zh-CN" w:bidi="ar"/>
              </w:rPr>
              <w:t>未来</w:t>
            </w:r>
            <w:r>
              <w:rPr>
                <w:rFonts w:hint="eastAsia" w:ascii="宋体" w:hAnsi="宋体" w:eastAsia="宋体" w:cs="宋体"/>
                <w:color w:val="000000"/>
                <w:kern w:val="0"/>
                <w:sz w:val="24"/>
                <w:lang w:val="en-US" w:eastAsia="zh-CN" w:bidi="ar"/>
              </w:rPr>
              <w:t>随着</w:t>
            </w:r>
            <w:r>
              <w:rPr>
                <w:rFonts w:hint="eastAsia" w:ascii="宋体" w:hAnsi="宋体" w:cs="宋体"/>
                <w:color w:val="000000"/>
                <w:kern w:val="0"/>
                <w:sz w:val="24"/>
                <w:lang w:val="en-US" w:eastAsia="zh-CN" w:bidi="ar"/>
              </w:rPr>
              <w:t>更多的</w:t>
            </w:r>
            <w:r>
              <w:rPr>
                <w:rFonts w:hint="eastAsia" w:ascii="宋体" w:hAnsi="宋体" w:eastAsia="宋体" w:cs="宋体"/>
                <w:color w:val="000000"/>
                <w:kern w:val="0"/>
                <w:sz w:val="24"/>
                <w:lang w:val="en-US" w:eastAsia="zh-CN" w:bidi="ar"/>
              </w:rPr>
              <w:t>大增程电动汽车量产以及固态、半固态电池技术的迭代发展，三元材料在高能量密度、长循环寿命等关键性能上的优势有望得到巩固和提升。</w:t>
            </w:r>
            <w:r>
              <w:rPr>
                <w:rFonts w:hint="eastAsia" w:ascii="宋体" w:hAnsi="宋体" w:cs="宋体"/>
                <w:color w:val="000000"/>
                <w:kern w:val="0"/>
                <w:sz w:val="24"/>
                <w:lang w:val="en-US" w:eastAsia="zh-CN" w:bidi="ar"/>
              </w:rPr>
              <w:t>其次，人形机器人、低空经济、功率型高性能电动工具等新兴市场对电池的能量密度、倍率性能及轻量化提出了更高要求。这些新兴领域的产业化进程和推广，有望为三元材料行业带来新的增长机遇。</w:t>
            </w:r>
          </w:p>
          <w:p w14:paraId="0EFBE9A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4</w:t>
            </w:r>
            <w:r>
              <w:rPr>
                <w:rFonts w:hint="eastAsia" w:ascii="宋体" w:hAnsi="宋体" w:eastAsia="宋体" w:cs="宋体"/>
                <w:b/>
                <w:bCs/>
                <w:color w:val="000000"/>
                <w:kern w:val="0"/>
                <w:sz w:val="24"/>
                <w:lang w:val="en-US" w:eastAsia="zh-CN" w:bidi="ar"/>
              </w:rPr>
              <w:t>：</w:t>
            </w:r>
            <w:r>
              <w:rPr>
                <w:rFonts w:hint="eastAsia" w:ascii="宋体" w:hAnsi="宋体" w:cs="宋体"/>
                <w:b/>
                <w:bCs/>
                <w:color w:val="000000"/>
                <w:kern w:val="0"/>
                <w:sz w:val="24"/>
                <w:lang w:val="en-US" w:eastAsia="zh-CN" w:bidi="ar"/>
              </w:rPr>
              <w:t>根据公司2023年及2024年年报数据来看，公司高管薪酬大幅下滑，主要原因是？</w:t>
            </w:r>
          </w:p>
          <w:p w14:paraId="463C266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答</w:t>
            </w:r>
            <w:r>
              <w:rPr>
                <w:rFonts w:hint="eastAsia" w:ascii="宋体" w:hAnsi="宋体" w:eastAsia="宋体" w:cs="宋体"/>
                <w:b w:val="0"/>
                <w:bCs w:val="0"/>
                <w:color w:val="000000"/>
                <w:kern w:val="0"/>
                <w:sz w:val="24"/>
                <w:lang w:val="en-US" w:eastAsia="zh-CN" w:bidi="ar"/>
              </w:rPr>
              <w:t>：</w:t>
            </w:r>
            <w:r>
              <w:rPr>
                <w:rFonts w:hint="eastAsia" w:ascii="宋体" w:hAnsi="宋体" w:cs="宋体"/>
                <w:b w:val="0"/>
                <w:bCs w:val="0"/>
                <w:color w:val="000000"/>
                <w:kern w:val="0"/>
                <w:sz w:val="24"/>
                <w:lang w:val="en-US" w:eastAsia="zh-CN" w:bidi="ar"/>
              </w:rPr>
              <w:t>高管的本年度薪酬主要是由控股股东中国振华进行考核，跟公司上一年度的经营状况强相关，当年的实发薪酬跟业绩情况存在一定的滞后性。2023年高管取得的薪酬较高，是基于公司2022年经营状况良好；同理，2024年高管薪酬较2023年大幅下滑的原因为2023年公司业绩大幅下滑。</w:t>
            </w:r>
          </w:p>
          <w:p w14:paraId="7D9323F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lang w:val="en-US" w:eastAsia="zh-CN" w:bidi="ar"/>
              </w:rPr>
            </w:pPr>
          </w:p>
        </w:tc>
      </w:tr>
      <w:tr w14:paraId="4C6B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50F06E62">
            <w:pPr>
              <w:spacing w:line="420" w:lineRule="exact"/>
              <w:rPr>
                <w:rFonts w:hint="default" w:eastAsia="宋体"/>
                <w:bCs/>
                <w:iCs/>
                <w:color w:val="000000"/>
                <w:sz w:val="24"/>
                <w:lang w:val="en-US" w:eastAsia="zh-CN"/>
              </w:rPr>
            </w:pPr>
            <w:r>
              <w:rPr>
                <w:rFonts w:hint="eastAsia"/>
                <w:b/>
                <w:bCs w:val="0"/>
                <w:iCs/>
                <w:color w:val="000000"/>
                <w:sz w:val="24"/>
                <w:lang w:val="en-US" w:eastAsia="zh-CN"/>
              </w:rPr>
              <w:t>风险提示</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0B19CD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000000"/>
                <w:kern w:val="0"/>
                <w:sz w:val="24"/>
                <w:lang w:val="en-US" w:eastAsia="zh-CN" w:bidi="ar"/>
              </w:rPr>
            </w:pPr>
            <w:r>
              <w:rPr>
                <w:rFonts w:hint="eastAsia" w:ascii="宋体" w:hAnsi="宋体" w:cs="宋体"/>
                <w:b/>
                <w:bCs/>
                <w:color w:val="000000"/>
                <w:kern w:val="0"/>
                <w:sz w:val="24"/>
                <w:lang w:bidi="ar"/>
              </w:rPr>
              <w:t>以上如涉及对行业的预测、公司发展战略规划等相关内容，不能视作公司或公司管理层对行业、公司发展的承诺和保证；敬请广大投资者注意投资风险。</w:t>
            </w:r>
          </w:p>
        </w:tc>
      </w:tr>
    </w:tbl>
    <w:p w14:paraId="71541582"/>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B7326">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YmEyMmNhYmVhNGY3YTJjYTNmMzc5MDAzMmViMmQ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2990EAA"/>
    <w:rsid w:val="049C787F"/>
    <w:rsid w:val="07A03795"/>
    <w:rsid w:val="101C61BF"/>
    <w:rsid w:val="13545D39"/>
    <w:rsid w:val="157D489C"/>
    <w:rsid w:val="17A77BC2"/>
    <w:rsid w:val="191044B0"/>
    <w:rsid w:val="1B2418A5"/>
    <w:rsid w:val="1B8371BB"/>
    <w:rsid w:val="1D667883"/>
    <w:rsid w:val="1FBFC074"/>
    <w:rsid w:val="23907C91"/>
    <w:rsid w:val="282E6701"/>
    <w:rsid w:val="2E5C3FC8"/>
    <w:rsid w:val="306B5437"/>
    <w:rsid w:val="345C6E3C"/>
    <w:rsid w:val="36FB9E1F"/>
    <w:rsid w:val="3B96528D"/>
    <w:rsid w:val="3BFA3B96"/>
    <w:rsid w:val="3CEF3472"/>
    <w:rsid w:val="3EC10203"/>
    <w:rsid w:val="3EFF16E9"/>
    <w:rsid w:val="3F2D5930"/>
    <w:rsid w:val="40B55A6F"/>
    <w:rsid w:val="4336674E"/>
    <w:rsid w:val="48B06F92"/>
    <w:rsid w:val="4A0D3DDE"/>
    <w:rsid w:val="53AF61B0"/>
    <w:rsid w:val="54042F7D"/>
    <w:rsid w:val="56A80582"/>
    <w:rsid w:val="69C515DF"/>
    <w:rsid w:val="6A002D52"/>
    <w:rsid w:val="6CD77686"/>
    <w:rsid w:val="6FF73E19"/>
    <w:rsid w:val="6FF84BF7"/>
    <w:rsid w:val="72BA2613"/>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2"/>
    <w:autoRedefine/>
    <w:qFormat/>
    <w:uiPriority w:val="0"/>
    <w:pPr>
      <w:tabs>
        <w:tab w:val="center" w:pos="4153"/>
        <w:tab w:val="right" w:pos="8306"/>
      </w:tabs>
      <w:snapToGrid w:val="0"/>
      <w:jc w:val="left"/>
    </w:pPr>
    <w:rPr>
      <w:sz w:val="18"/>
      <w:szCs w:val="18"/>
    </w:rPr>
  </w:style>
  <w:style w:type="paragraph" w:styleId="3">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6"/>
    <w:basedOn w:val="1"/>
    <w:autoRedefine/>
    <w:qFormat/>
    <w:uiPriority w:val="34"/>
    <w:pPr>
      <w:ind w:firstLine="420" w:firstLineChars="200"/>
    </w:pPr>
    <w:rPr>
      <w:rFonts w:ascii="Calibri" w:hAnsi="Calibri" w:eastAsia="宋体" w:cs="Times New Roman"/>
      <w:szCs w:val="22"/>
    </w:rPr>
  </w:style>
  <w:style w:type="paragraph" w:customStyle="1" w:styleId="9">
    <w:name w:val="Char Char Char"/>
    <w:basedOn w:val="1"/>
    <w:autoRedefine/>
    <w:qFormat/>
    <w:uiPriority w:val="0"/>
    <w:rPr>
      <w:szCs w:val="21"/>
    </w:rPr>
  </w:style>
  <w:style w:type="paragraph" w:customStyle="1" w:styleId="10">
    <w:name w:val="Char Char Char Char Char Char Char Char Char Char Char Char Char Char Char Char"/>
    <w:basedOn w:val="1"/>
    <w:autoRedefine/>
    <w:qFormat/>
    <w:uiPriority w:val="0"/>
  </w:style>
  <w:style w:type="paragraph" w:customStyle="1" w:styleId="11">
    <w:name w:val=" Char Char Char"/>
    <w:basedOn w:val="1"/>
    <w:autoRedefine/>
    <w:qFormat/>
    <w:uiPriority w:val="0"/>
  </w:style>
  <w:style w:type="character" w:customStyle="1" w:styleId="12">
    <w:name w:val="页脚 Char"/>
    <w:basedOn w:val="7"/>
    <w:link w:val="2"/>
    <w:autoRedefine/>
    <w:qFormat/>
    <w:uiPriority w:val="0"/>
    <w:rPr>
      <w:kern w:val="2"/>
      <w:sz w:val="18"/>
      <w:szCs w:val="18"/>
    </w:rPr>
  </w:style>
  <w:style w:type="character" w:customStyle="1" w:styleId="13">
    <w:name w:val="页眉 Char"/>
    <w:basedOn w:val="7"/>
    <w:link w:val="3"/>
    <w:autoRedefine/>
    <w:qFormat/>
    <w:uiPriority w:val="0"/>
    <w:rPr>
      <w:kern w:val="2"/>
      <w:sz w:val="18"/>
      <w:szCs w:val="18"/>
    </w:rPr>
  </w:style>
  <w:style w:type="table" w:customStyle="1" w:styleId="14">
    <w:name w:val="TableGrid"/>
    <w:autoRedefine/>
    <w:qFormat/>
    <w:uiPriority w:val="0"/>
    <w:tblPr>
      <w:tblCellMar>
        <w:top w:w="0" w:type="dxa"/>
        <w:left w:w="0" w:type="dxa"/>
        <w:bottom w:w="0" w:type="dxa"/>
        <w:right w:w="0" w:type="dxa"/>
      </w:tblCellMar>
    </w:tblPr>
  </w:style>
  <w:style w:type="character" w:customStyle="1" w:styleId="15">
    <w:name w:val="font1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1365</Words>
  <Characters>1468</Characters>
  <Lines>60</Lines>
  <Paragraphs>17</Paragraphs>
  <TotalTime>51</TotalTime>
  <ScaleCrop>false</ScaleCrop>
  <LinksUpToDate>false</LinksUpToDate>
  <CharactersWithSpaces>1610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sisi</cp:lastModifiedBy>
  <cp:lastPrinted>2014-02-21T05:34:00Z</cp:lastPrinted>
  <dcterms:modified xsi:type="dcterms:W3CDTF">2025-08-27T03:30:30Z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3378DF92D5494EA79182626F58817F75</vt:lpwstr>
  </property>
  <property fmtid="{D5CDD505-2E9C-101B-9397-08002B2CF9AE}" pid="4" name="KSOTemplateDocerSaveRecord">
    <vt:lpwstr>eyJoZGlkIjoiNjU0YmEyMmNhYmVhNGY3YTJjYTNmMzc5MDAzMmViMmQiLCJ1c2VySWQiOiIyNzA1NzY4MTUifQ==</vt:lpwstr>
  </property>
</Properties>
</file>