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A53C6">
      <w:pPr>
        <w:spacing w:after="156" w:afterLines="50" w:line="400" w:lineRule="exact"/>
        <w:jc w:val="center"/>
        <w:rPr>
          <w:rFonts w:ascii="宋体" w:hAnsi="宋体"/>
          <w:bCs/>
          <w:iCs/>
          <w:color w:val="000000"/>
          <w:sz w:val="24"/>
        </w:rPr>
      </w:pPr>
      <w:r>
        <w:rPr>
          <w:rFonts w:hint="eastAsia" w:ascii="宋体" w:hAnsi="宋体"/>
          <w:bCs/>
          <w:iCs/>
          <w:color w:val="000000"/>
          <w:sz w:val="24"/>
        </w:rPr>
        <w:t xml:space="preserve">证券代码： </w:t>
      </w:r>
      <w:r>
        <w:rPr>
          <w:bCs/>
          <w:iCs/>
          <w:color w:val="000000"/>
          <w:sz w:val="24"/>
        </w:rPr>
        <w:t>688277</w:t>
      </w:r>
      <w:r>
        <w:rPr>
          <w:rFonts w:hint="eastAsia" w:ascii="宋体" w:hAnsi="宋体"/>
          <w:bCs/>
          <w:iCs/>
          <w:color w:val="000000"/>
          <w:sz w:val="24"/>
        </w:rPr>
        <w:t xml:space="preserve">        </w:t>
      </w:r>
      <w:bookmarkStart w:id="0" w:name="_GoBack"/>
      <w:bookmarkEnd w:id="0"/>
      <w:r>
        <w:rPr>
          <w:rFonts w:ascii="宋体" w:hAnsi="宋体"/>
          <w:bCs/>
          <w:iCs/>
          <w:color w:val="000000"/>
          <w:sz w:val="24"/>
        </w:rPr>
        <w:t xml:space="preserve">   </w:t>
      </w: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 xml:space="preserve">        证券简称：天智航 </w:t>
      </w:r>
    </w:p>
    <w:p w14:paraId="427217A7">
      <w:pPr>
        <w:spacing w:before="624" w:beforeLines="20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北京天智航医疗科技股份有限公司</w:t>
      </w:r>
    </w:p>
    <w:p w14:paraId="7C1313D2">
      <w:pPr>
        <w:spacing w:before="156" w:beforeLines="50" w:after="312" w:afterLines="10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6045F6B8">
      <w:pPr>
        <w:spacing w:line="400" w:lineRule="exact"/>
        <w:rPr>
          <w:bCs/>
          <w:iCs/>
          <w:color w:val="000000"/>
          <w:sz w:val="24"/>
        </w:rPr>
      </w:pPr>
      <w:r>
        <w:rPr>
          <w:rFonts w:hint="eastAsia" w:ascii="宋体" w:hAnsi="宋体"/>
          <w:bCs/>
          <w:iCs/>
          <w:color w:val="000000"/>
          <w:sz w:val="24"/>
        </w:rPr>
        <w:t xml:space="preserve">                                                        编号：</w:t>
      </w:r>
      <w:r>
        <w:rPr>
          <w:bCs/>
          <w:iCs/>
          <w:color w:val="000000"/>
          <w:sz w:val="24"/>
        </w:rPr>
        <w:t>2025-004</w:t>
      </w:r>
    </w:p>
    <w:tbl>
      <w:tblPr>
        <w:tblStyle w:val="9"/>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6720"/>
      </w:tblGrid>
      <w:tr w14:paraId="1094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1916" w:type="dxa"/>
            <w:vAlign w:val="center"/>
          </w:tcPr>
          <w:p w14:paraId="1706E46C">
            <w:pPr>
              <w:spacing w:line="360" w:lineRule="auto"/>
              <w:jc w:val="center"/>
              <w:rPr>
                <w:b/>
                <w:bCs/>
                <w:iCs/>
                <w:color w:val="000000"/>
                <w:sz w:val="24"/>
              </w:rPr>
            </w:pPr>
            <w:r>
              <w:rPr>
                <w:rFonts w:hint="eastAsia"/>
                <w:b/>
                <w:bCs w:val="0"/>
                <w:iCs/>
                <w:color w:val="000000"/>
                <w:sz w:val="24"/>
              </w:rPr>
              <w:t>投资者关系活动类别</w:t>
            </w:r>
          </w:p>
        </w:tc>
        <w:tc>
          <w:tcPr>
            <w:tcW w:w="6720" w:type="dxa"/>
          </w:tcPr>
          <w:p w14:paraId="0DB87849">
            <w:pPr>
              <w:spacing w:line="480" w:lineRule="atLeast"/>
              <w:rPr>
                <w:bCs/>
                <w:iCs/>
                <w:color w:val="000000"/>
                <w:sz w:val="24"/>
              </w:rPr>
            </w:pPr>
            <w:r>
              <w:rPr>
                <w:bCs/>
                <w:iCs/>
                <w:color w:val="000000"/>
                <w:sz w:val="24"/>
              </w:rPr>
              <w:t>□特定对象调研        □分析师会议</w:t>
            </w:r>
          </w:p>
          <w:p w14:paraId="3A153F74">
            <w:pPr>
              <w:spacing w:line="480" w:lineRule="atLeast"/>
              <w:rPr>
                <w:rFonts w:hint="eastAsia" w:eastAsia="宋体"/>
                <w:bCs/>
                <w:iCs/>
                <w:color w:val="000000"/>
                <w:sz w:val="24"/>
                <w:lang w:eastAsia="zh-CN"/>
              </w:rPr>
            </w:pPr>
            <w:r>
              <w:rPr>
                <w:bCs/>
                <w:iCs/>
                <w:color w:val="000000"/>
                <w:sz w:val="24"/>
              </w:rPr>
              <w:t xml:space="preserve">□媒体采访            </w:t>
            </w:r>
            <w:r>
              <w:rPr>
                <w:bCs/>
                <w:iCs/>
                <w:color w:val="000000"/>
                <w:sz w:val="24"/>
              </w:rPr>
              <w:sym w:font="Wingdings 2" w:char="0052"/>
            </w:r>
            <w:r>
              <w:rPr>
                <w:bCs/>
                <w:iCs/>
                <w:color w:val="000000"/>
                <w:sz w:val="24"/>
              </w:rPr>
              <w:t>业绩说明会</w:t>
            </w:r>
          </w:p>
          <w:p w14:paraId="0686C423">
            <w:pPr>
              <w:spacing w:line="480" w:lineRule="atLeast"/>
              <w:rPr>
                <w:bCs/>
                <w:iCs/>
                <w:color w:val="000000"/>
                <w:sz w:val="24"/>
              </w:rPr>
            </w:pPr>
            <w:r>
              <w:rPr>
                <w:bCs/>
                <w:iCs/>
                <w:color w:val="000000"/>
                <w:sz w:val="24"/>
              </w:rPr>
              <w:t xml:space="preserve">□新闻发布会         </w:t>
            </w:r>
            <w:r>
              <w:rPr>
                <w:rFonts w:ascii="宋体" w:hAnsi="宋体"/>
                <w:bCs/>
                <w:iCs/>
                <w:color w:val="000000"/>
                <w:sz w:val="24"/>
              </w:rPr>
              <w:t xml:space="preserve"> </w:t>
            </w:r>
            <w:r>
              <w:rPr>
                <w:bCs/>
                <w:iCs/>
                <w:color w:val="000000"/>
                <w:sz w:val="24"/>
              </w:rPr>
              <w:t>□</w:t>
            </w:r>
            <w:r>
              <w:rPr>
                <w:rFonts w:ascii="宋体" w:hAnsi="宋体"/>
                <w:bCs/>
                <w:iCs/>
                <w:color w:val="000000"/>
                <w:sz w:val="24"/>
              </w:rPr>
              <w:t>路演活动</w:t>
            </w:r>
          </w:p>
          <w:p w14:paraId="019ACE47">
            <w:pPr>
              <w:tabs>
                <w:tab w:val="left" w:pos="3045"/>
                <w:tab w:val="center" w:pos="3199"/>
              </w:tabs>
              <w:spacing w:line="480" w:lineRule="atLeast"/>
              <w:rPr>
                <w:bCs/>
                <w:iCs/>
                <w:color w:val="000000"/>
                <w:sz w:val="24"/>
              </w:rPr>
            </w:pPr>
            <w:r>
              <w:rPr>
                <w:bCs/>
                <w:iCs/>
                <w:color w:val="000000"/>
                <w:sz w:val="24"/>
              </w:rPr>
              <w:t>□</w:t>
            </w:r>
            <w:r>
              <w:rPr>
                <w:iCs/>
                <w:color w:val="000000"/>
                <w:sz w:val="24"/>
              </w:rPr>
              <w:t>现场</w:t>
            </w:r>
            <w:r>
              <w:rPr>
                <w:rFonts w:hint="eastAsia"/>
                <w:iCs/>
                <w:color w:val="000000"/>
                <w:sz w:val="24"/>
              </w:rPr>
              <w:t>交流</w:t>
            </w:r>
            <w:r>
              <w:rPr>
                <w:iCs/>
                <w:color w:val="000000"/>
                <w:sz w:val="24"/>
              </w:rPr>
              <w:t xml:space="preserve"> </w:t>
            </w:r>
            <w:r>
              <w:rPr>
                <w:b/>
                <w:iCs/>
                <w:color w:val="000000"/>
                <w:sz w:val="24"/>
              </w:rPr>
              <w:t xml:space="preserve"> </w:t>
            </w:r>
            <w:r>
              <w:rPr>
                <w:bCs/>
                <w:iCs/>
                <w:color w:val="000000"/>
                <w:sz w:val="24"/>
              </w:rPr>
              <w:t xml:space="preserve">        </w:t>
            </w:r>
            <w:r>
              <w:rPr>
                <w:rFonts w:hint="eastAsia"/>
                <w:b/>
                <w:iCs/>
                <w:color w:val="000000"/>
                <w:sz w:val="24"/>
              </w:rPr>
              <w:t xml:space="preserve"> </w:t>
            </w:r>
            <w:r>
              <w:rPr>
                <w:rFonts w:hint="eastAsia"/>
                <w:b/>
                <w:iCs/>
                <w:color w:val="000000"/>
                <w:sz w:val="24"/>
                <w:lang w:val="en-US" w:eastAsia="zh-CN"/>
              </w:rPr>
              <w:t xml:space="preserve"> </w:t>
            </w:r>
            <w:r>
              <w:rPr>
                <w:bCs/>
                <w:iCs/>
                <w:color w:val="000000"/>
                <w:sz w:val="24"/>
              </w:rPr>
              <w:t>□其他</w:t>
            </w:r>
          </w:p>
        </w:tc>
      </w:tr>
      <w:tr w14:paraId="4316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16" w:type="dxa"/>
            <w:vAlign w:val="top"/>
          </w:tcPr>
          <w:p w14:paraId="15E4C8C5">
            <w:pPr>
              <w:spacing w:line="360" w:lineRule="auto"/>
              <w:jc w:val="center"/>
              <w:rPr>
                <w:b/>
                <w:bCs/>
                <w:iCs/>
                <w:color w:val="000000"/>
                <w:sz w:val="24"/>
              </w:rPr>
            </w:pPr>
            <w:r>
              <w:rPr>
                <w:rFonts w:hint="eastAsia"/>
                <w:b/>
                <w:bCs/>
                <w:iCs/>
                <w:color w:val="000000"/>
                <w:sz w:val="24"/>
                <w:lang w:val="en-US" w:eastAsia="zh-CN"/>
              </w:rPr>
              <w:t>参与单位名称</w:t>
            </w:r>
          </w:p>
        </w:tc>
        <w:tc>
          <w:tcPr>
            <w:tcW w:w="6720" w:type="dxa"/>
          </w:tcPr>
          <w:p w14:paraId="17640F54">
            <w:pPr>
              <w:spacing w:line="360" w:lineRule="auto"/>
              <w:jc w:val="both"/>
              <w:rPr>
                <w:rFonts w:hint="default" w:eastAsia="宋体"/>
                <w:bCs/>
                <w:iCs/>
                <w:color w:val="000000"/>
                <w:sz w:val="24"/>
                <w:lang w:val="en-US" w:eastAsia="zh-CN"/>
              </w:rPr>
            </w:pPr>
            <w:r>
              <w:rPr>
                <w:rFonts w:hint="eastAsia"/>
                <w:b w:val="0"/>
                <w:bCs w:val="0"/>
                <w:iCs/>
                <w:color w:val="000000"/>
                <w:sz w:val="24"/>
                <w:lang w:val="en-US" w:eastAsia="zh-CN"/>
              </w:rPr>
              <w:t>详见附表</w:t>
            </w:r>
          </w:p>
        </w:tc>
      </w:tr>
      <w:tr w14:paraId="6BC3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16" w:type="dxa"/>
            <w:vAlign w:val="top"/>
          </w:tcPr>
          <w:p w14:paraId="4FC838AC">
            <w:pPr>
              <w:spacing w:line="360" w:lineRule="auto"/>
              <w:jc w:val="center"/>
              <w:rPr>
                <w:b/>
                <w:bCs/>
                <w:iCs/>
                <w:color w:val="000000"/>
                <w:sz w:val="24"/>
              </w:rPr>
            </w:pPr>
            <w:r>
              <w:rPr>
                <w:rFonts w:hint="eastAsia"/>
                <w:b/>
                <w:bCs/>
                <w:iCs/>
                <w:color w:val="000000"/>
                <w:sz w:val="24"/>
                <w:lang w:val="en-US" w:eastAsia="zh-CN"/>
              </w:rPr>
              <w:t>时间</w:t>
            </w:r>
          </w:p>
        </w:tc>
        <w:tc>
          <w:tcPr>
            <w:tcW w:w="6720" w:type="dxa"/>
            <w:vAlign w:val="center"/>
          </w:tcPr>
          <w:p w14:paraId="606B49C9">
            <w:pPr>
              <w:spacing w:line="360" w:lineRule="auto"/>
              <w:rPr>
                <w:bCs/>
                <w:iCs/>
                <w:color w:val="000000"/>
                <w:sz w:val="24"/>
              </w:rPr>
            </w:pPr>
            <w:r>
              <w:rPr>
                <w:bCs/>
                <w:iCs/>
                <w:color w:val="000000"/>
                <w:sz w:val="24"/>
              </w:rPr>
              <w:t>2025年</w:t>
            </w:r>
            <w:r>
              <w:rPr>
                <w:rFonts w:hint="eastAsia"/>
                <w:bCs/>
                <w:iCs/>
                <w:color w:val="000000"/>
                <w:sz w:val="24"/>
              </w:rPr>
              <w:t>8月</w:t>
            </w:r>
            <w:r>
              <w:rPr>
                <w:bCs/>
                <w:iCs/>
                <w:color w:val="000000"/>
                <w:sz w:val="24"/>
              </w:rPr>
              <w:t>28</w:t>
            </w:r>
            <w:r>
              <w:rPr>
                <w:rFonts w:hint="eastAsia"/>
                <w:bCs/>
                <w:iCs/>
                <w:color w:val="000000"/>
                <w:sz w:val="24"/>
              </w:rPr>
              <w:t>日</w:t>
            </w:r>
          </w:p>
        </w:tc>
      </w:tr>
      <w:tr w14:paraId="1185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916" w:type="dxa"/>
            <w:vAlign w:val="top"/>
          </w:tcPr>
          <w:p w14:paraId="7890A635">
            <w:pPr>
              <w:spacing w:line="360" w:lineRule="auto"/>
              <w:jc w:val="center"/>
              <w:rPr>
                <w:b/>
                <w:bCs/>
                <w:iCs/>
                <w:color w:val="000000"/>
                <w:sz w:val="24"/>
              </w:rPr>
            </w:pPr>
            <w:r>
              <w:rPr>
                <w:rFonts w:hint="eastAsia"/>
                <w:b/>
                <w:bCs w:val="0"/>
                <w:iCs/>
                <w:color w:val="000000"/>
                <w:sz w:val="24"/>
              </w:rPr>
              <w:t>地点</w:t>
            </w:r>
          </w:p>
        </w:tc>
        <w:tc>
          <w:tcPr>
            <w:tcW w:w="6720" w:type="dxa"/>
            <w:vAlign w:val="center"/>
          </w:tcPr>
          <w:p w14:paraId="3489F14E">
            <w:pPr>
              <w:spacing w:line="360" w:lineRule="auto"/>
              <w:rPr>
                <w:bCs/>
                <w:iCs/>
                <w:color w:val="000000"/>
                <w:sz w:val="24"/>
              </w:rPr>
            </w:pPr>
            <w:r>
              <w:rPr>
                <w:rFonts w:hint="eastAsia"/>
                <w:bCs/>
                <w:iCs/>
                <w:color w:val="000000"/>
                <w:sz w:val="24"/>
              </w:rPr>
              <w:t>线上</w:t>
            </w:r>
          </w:p>
        </w:tc>
      </w:tr>
      <w:tr w14:paraId="09F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916" w:type="dxa"/>
            <w:vAlign w:val="center"/>
          </w:tcPr>
          <w:p w14:paraId="49605E76">
            <w:pPr>
              <w:spacing w:line="360" w:lineRule="auto"/>
              <w:jc w:val="center"/>
              <w:rPr>
                <w:rFonts w:hint="eastAsia"/>
                <w:b/>
                <w:bCs/>
                <w:iCs/>
                <w:color w:val="000000"/>
                <w:sz w:val="24"/>
                <w:lang w:val="en-US" w:eastAsia="zh-CN"/>
              </w:rPr>
            </w:pPr>
            <w:r>
              <w:rPr>
                <w:rFonts w:hint="eastAsia"/>
                <w:b/>
                <w:bCs/>
                <w:iCs/>
                <w:color w:val="000000"/>
                <w:sz w:val="24"/>
                <w:lang w:val="en-US" w:eastAsia="zh-CN"/>
              </w:rPr>
              <w:t>上市公司</w:t>
            </w:r>
          </w:p>
          <w:p w14:paraId="73E53373">
            <w:pPr>
              <w:spacing w:line="360" w:lineRule="auto"/>
              <w:jc w:val="center"/>
              <w:rPr>
                <w:b/>
                <w:bCs/>
                <w:iCs/>
                <w:color w:val="000000"/>
                <w:sz w:val="24"/>
              </w:rPr>
            </w:pPr>
            <w:r>
              <w:rPr>
                <w:rFonts w:hint="eastAsia"/>
                <w:b/>
                <w:bCs/>
                <w:iCs/>
                <w:color w:val="000000"/>
                <w:sz w:val="24"/>
                <w:lang w:val="en-US" w:eastAsia="zh-CN"/>
              </w:rPr>
              <w:t>接待人员姓名</w:t>
            </w:r>
          </w:p>
        </w:tc>
        <w:tc>
          <w:tcPr>
            <w:tcW w:w="6720" w:type="dxa"/>
            <w:vAlign w:val="center"/>
          </w:tcPr>
          <w:p w14:paraId="3FFBBBB2">
            <w:pPr>
              <w:spacing w:line="360" w:lineRule="auto"/>
              <w:rPr>
                <w:rFonts w:ascii="宋体" w:hAnsi="宋体"/>
                <w:sz w:val="24"/>
              </w:rPr>
            </w:pPr>
            <w:r>
              <w:rPr>
                <w:rFonts w:hint="eastAsia" w:ascii="宋体" w:hAnsi="宋体"/>
                <w:sz w:val="24"/>
              </w:rPr>
              <w:t xml:space="preserve">徐 </w:t>
            </w:r>
            <w:r>
              <w:rPr>
                <w:rFonts w:ascii="宋体" w:hAnsi="宋体"/>
                <w:sz w:val="24"/>
              </w:rPr>
              <w:t xml:space="preserve"> </w:t>
            </w:r>
            <w:r>
              <w:rPr>
                <w:rFonts w:hint="eastAsia" w:ascii="宋体" w:hAnsi="宋体"/>
                <w:sz w:val="24"/>
              </w:rPr>
              <w:t xml:space="preserve">进 </w:t>
            </w:r>
            <w:r>
              <w:rPr>
                <w:rFonts w:ascii="宋体" w:hAnsi="宋体"/>
                <w:sz w:val="24"/>
              </w:rPr>
              <w:t xml:space="preserve"> 公司董事</w:t>
            </w:r>
            <w:r>
              <w:rPr>
                <w:rFonts w:hint="eastAsia" w:ascii="宋体" w:hAnsi="宋体"/>
                <w:sz w:val="24"/>
              </w:rPr>
              <w:t xml:space="preserve">、总经理 </w:t>
            </w:r>
            <w:r>
              <w:rPr>
                <w:rFonts w:ascii="宋体" w:hAnsi="宋体"/>
                <w:sz w:val="24"/>
              </w:rPr>
              <w:t xml:space="preserve"> </w:t>
            </w:r>
          </w:p>
          <w:p w14:paraId="6E6E460E">
            <w:pPr>
              <w:spacing w:line="360" w:lineRule="auto"/>
              <w:rPr>
                <w:rFonts w:ascii="宋体" w:hAnsi="宋体"/>
                <w:sz w:val="24"/>
              </w:rPr>
            </w:pPr>
            <w:r>
              <w:rPr>
                <w:rFonts w:hint="eastAsia" w:ascii="宋体" w:hAnsi="宋体"/>
                <w:sz w:val="24"/>
              </w:rPr>
              <w:t xml:space="preserve">齐 </w:t>
            </w:r>
            <w:r>
              <w:rPr>
                <w:rFonts w:ascii="宋体" w:hAnsi="宋体"/>
                <w:sz w:val="24"/>
              </w:rPr>
              <w:t xml:space="preserve"> </w:t>
            </w:r>
            <w:r>
              <w:rPr>
                <w:rFonts w:hint="eastAsia" w:ascii="宋体" w:hAnsi="宋体"/>
                <w:sz w:val="24"/>
              </w:rPr>
              <w:t xml:space="preserve">敏 </w:t>
            </w:r>
            <w:r>
              <w:rPr>
                <w:rFonts w:ascii="宋体" w:hAnsi="宋体"/>
                <w:sz w:val="24"/>
              </w:rPr>
              <w:t xml:space="preserve"> </w:t>
            </w:r>
            <w:r>
              <w:rPr>
                <w:rFonts w:hint="eastAsia" w:ascii="宋体" w:hAnsi="宋体"/>
                <w:sz w:val="24"/>
              </w:rPr>
              <w:t xml:space="preserve">财务总监 </w:t>
            </w:r>
            <w:r>
              <w:rPr>
                <w:rFonts w:ascii="宋体" w:hAnsi="宋体"/>
                <w:sz w:val="24"/>
              </w:rPr>
              <w:t xml:space="preserve"> </w:t>
            </w:r>
          </w:p>
          <w:p w14:paraId="01C15F59">
            <w:pPr>
              <w:spacing w:line="360" w:lineRule="auto"/>
              <w:rPr>
                <w:rFonts w:ascii="宋体" w:hAnsi="宋体"/>
                <w:sz w:val="24"/>
              </w:rPr>
            </w:pPr>
            <w:r>
              <w:rPr>
                <w:rFonts w:ascii="宋体" w:hAnsi="宋体"/>
                <w:sz w:val="24"/>
              </w:rPr>
              <w:t>黄军辉</w:t>
            </w:r>
            <w:r>
              <w:rPr>
                <w:rFonts w:hint="eastAsia" w:ascii="宋体" w:hAnsi="宋体"/>
                <w:sz w:val="24"/>
              </w:rPr>
              <w:t xml:space="preserve"> </w:t>
            </w:r>
            <w:r>
              <w:rPr>
                <w:rFonts w:ascii="宋体" w:hAnsi="宋体"/>
                <w:sz w:val="24"/>
              </w:rPr>
              <w:t xml:space="preserve"> 董事会秘书</w:t>
            </w:r>
            <w:r>
              <w:rPr>
                <w:rFonts w:hint="eastAsia" w:ascii="宋体" w:hAnsi="宋体"/>
                <w:sz w:val="24"/>
              </w:rPr>
              <w:t xml:space="preserve"> </w:t>
            </w:r>
            <w:r>
              <w:rPr>
                <w:rFonts w:ascii="宋体" w:hAnsi="宋体"/>
                <w:sz w:val="24"/>
              </w:rPr>
              <w:t xml:space="preserve"> </w:t>
            </w:r>
          </w:p>
          <w:p w14:paraId="71E361B7">
            <w:pPr>
              <w:spacing w:line="360" w:lineRule="auto"/>
              <w:rPr>
                <w:bCs/>
                <w:iCs/>
                <w:color w:val="000000"/>
                <w:sz w:val="24"/>
              </w:rPr>
            </w:pPr>
            <w:r>
              <w:rPr>
                <w:rFonts w:hint="eastAsia" w:ascii="宋体" w:hAnsi="宋体"/>
                <w:sz w:val="24"/>
              </w:rPr>
              <w:t xml:space="preserve">薛 </w:t>
            </w:r>
            <w:r>
              <w:rPr>
                <w:rFonts w:ascii="宋体" w:hAnsi="宋体"/>
                <w:sz w:val="24"/>
              </w:rPr>
              <w:t xml:space="preserve"> </w:t>
            </w:r>
            <w:r>
              <w:rPr>
                <w:rFonts w:hint="eastAsia" w:ascii="宋体" w:hAnsi="宋体"/>
                <w:sz w:val="24"/>
              </w:rPr>
              <w:t xml:space="preserve">妍 </w:t>
            </w:r>
            <w:r>
              <w:rPr>
                <w:rFonts w:ascii="宋体" w:hAnsi="宋体"/>
                <w:sz w:val="24"/>
              </w:rPr>
              <w:t xml:space="preserve"> </w:t>
            </w:r>
            <w:r>
              <w:rPr>
                <w:rFonts w:hint="eastAsia" w:ascii="宋体" w:hAnsi="宋体"/>
                <w:sz w:val="24"/>
              </w:rPr>
              <w:t xml:space="preserve">投资者关系总监 </w:t>
            </w:r>
            <w:r>
              <w:rPr>
                <w:rFonts w:ascii="宋体" w:hAnsi="宋体"/>
                <w:szCs w:val="21"/>
              </w:rPr>
              <w:t xml:space="preserve"> </w:t>
            </w:r>
          </w:p>
        </w:tc>
      </w:tr>
      <w:tr w14:paraId="22C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16" w:type="dxa"/>
            <w:vAlign w:val="center"/>
          </w:tcPr>
          <w:p w14:paraId="2C93A5EB">
            <w:pPr>
              <w:spacing w:line="360" w:lineRule="auto"/>
              <w:jc w:val="left"/>
              <w:rPr>
                <w:rFonts w:hint="eastAsia"/>
                <w:b/>
                <w:bCs/>
                <w:iCs/>
                <w:color w:val="000000"/>
                <w:sz w:val="24"/>
                <w:lang w:val="en-US" w:eastAsia="zh-CN"/>
              </w:rPr>
            </w:pPr>
            <w:r>
              <w:rPr>
                <w:rFonts w:hint="eastAsia"/>
                <w:b/>
                <w:bCs/>
                <w:iCs/>
                <w:color w:val="000000"/>
                <w:sz w:val="24"/>
                <w:lang w:val="en-US" w:eastAsia="zh-CN"/>
              </w:rPr>
              <w:t>投资者关系活动主要内容介绍</w:t>
            </w:r>
          </w:p>
          <w:p w14:paraId="2FEE8B52">
            <w:pPr>
              <w:spacing w:line="480" w:lineRule="atLeast"/>
              <w:rPr>
                <w:b/>
                <w:bCs/>
                <w:iCs/>
                <w:color w:val="000000"/>
                <w:sz w:val="24"/>
              </w:rPr>
            </w:pPr>
          </w:p>
        </w:tc>
        <w:tc>
          <w:tcPr>
            <w:tcW w:w="6720" w:type="dxa"/>
          </w:tcPr>
          <w:p w14:paraId="341FB31D">
            <w:pPr>
              <w:pStyle w:val="21"/>
              <w:numPr>
                <w:ilvl w:val="0"/>
                <w:numId w:val="1"/>
              </w:numPr>
              <w:tabs>
                <w:tab w:val="left" w:pos="312"/>
              </w:tabs>
              <w:spacing w:before="156" w:beforeLines="50" w:line="360" w:lineRule="auto"/>
              <w:ind w:firstLineChars="0"/>
              <w:jc w:val="left"/>
              <w:rPr>
                <w:rFonts w:hint="default" w:ascii="Times New Roman" w:hAnsi="Times New Roman" w:eastAsia="宋体" w:cs="Times New Roman"/>
                <w:b/>
                <w:bCs/>
                <w:sz w:val="24"/>
                <w:szCs w:val="24"/>
              </w:rPr>
            </w:pPr>
            <w:r>
              <w:rPr>
                <w:rFonts w:hint="default" w:ascii="Times New Roman" w:hAnsi="Times New Roman" w:eastAsia="宋体" w:cs="Times New Roman"/>
                <w:b/>
                <w:iCs/>
                <w:color w:val="000000" w:themeColor="text1"/>
                <w:sz w:val="24"/>
                <w:szCs w:val="24"/>
                <w14:textFill>
                  <w14:solidFill>
                    <w14:schemeClr w14:val="tx1"/>
                  </w14:solidFill>
                </w14:textFill>
              </w:rPr>
              <w:t>公司2025年上半年业绩情况及行业环境？</w:t>
            </w:r>
          </w:p>
          <w:p w14:paraId="44A8414E">
            <w:pPr>
              <w:keepNext w:val="0"/>
              <w:keepLines w:val="0"/>
              <w:pageBreakBefore w:val="0"/>
              <w:widowControl w:val="0"/>
              <w:kinsoku/>
              <w:wordWrap/>
              <w:overflowPunct/>
              <w:topLinePunct w:val="0"/>
              <w:autoSpaceDE/>
              <w:autoSpaceDN/>
              <w:bidi w:val="0"/>
              <w:adjustRightInd/>
              <w:snapToGrid/>
              <w:spacing w:before="156" w:beforeLines="50"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半年行业招投标活动逐步恢复带动行业回暖，但市场竞争愈发激烈，面对复杂多变的外部环境，公司始终坚定锚定战略规划，以市场需求为核心导向，积极主动应对多重挑战，动态优化业务布局，在骨科领域持续深耕。在激烈的市场竞争环境下，上半年公司在国内的市场占有率排名仍位列第一。</w:t>
            </w:r>
          </w:p>
          <w:p w14:paraId="06D77CE7">
            <w:pPr>
              <w:keepNext w:val="0"/>
              <w:keepLines w:val="0"/>
              <w:pageBreakBefore w:val="0"/>
              <w:widowControl w:val="0"/>
              <w:kinsoku/>
              <w:wordWrap/>
              <w:overflowPunct/>
              <w:topLinePunct w:val="0"/>
              <w:autoSpaceDE/>
              <w:autoSpaceDN/>
              <w:bidi w:val="0"/>
              <w:adjustRightInd/>
              <w:snapToGrid/>
              <w:spacing w:before="156" w:beforeLines="50"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随着公司产品竞争力和市场认可度的不断提升，上半年公司业绩显著提升。2025年上半年实现营业收入</w:t>
            </w:r>
            <w:r>
              <w:rPr>
                <w:rFonts w:hint="eastAsia" w:cs="Times New Roman"/>
                <w:sz w:val="24"/>
                <w:szCs w:val="24"/>
                <w:lang w:val="en-US" w:eastAsia="zh-CN"/>
              </w:rPr>
              <w:t>约</w:t>
            </w:r>
            <w:r>
              <w:rPr>
                <w:rFonts w:hint="default" w:ascii="Times New Roman" w:hAnsi="Times New Roman" w:eastAsia="宋体" w:cs="Times New Roman"/>
                <w:sz w:val="24"/>
                <w:szCs w:val="24"/>
              </w:rPr>
              <w:t>1.25亿</w:t>
            </w:r>
            <w:r>
              <w:rPr>
                <w:rFonts w:hint="eastAsia" w:cs="Times New Roman"/>
                <w:sz w:val="24"/>
                <w:szCs w:val="24"/>
                <w:lang w:val="en-US" w:eastAsia="zh-CN"/>
              </w:rPr>
              <w:t>元</w:t>
            </w:r>
            <w:r>
              <w:rPr>
                <w:rFonts w:hint="default" w:ascii="Times New Roman" w:hAnsi="Times New Roman" w:eastAsia="宋体" w:cs="Times New Roman"/>
                <w:sz w:val="24"/>
                <w:szCs w:val="24"/>
              </w:rPr>
              <w:t>，较上年同期增长114.89%。其中，骨科手术</w:t>
            </w:r>
            <w:r>
              <w:rPr>
                <w:rFonts w:hint="eastAsia" w:cs="Times New Roman"/>
                <w:sz w:val="24"/>
                <w:szCs w:val="24"/>
                <w:lang w:val="en-US" w:eastAsia="zh-CN"/>
              </w:rPr>
              <w:t>机器人</w:t>
            </w:r>
            <w:r>
              <w:rPr>
                <w:rFonts w:hint="default" w:ascii="Times New Roman" w:hAnsi="Times New Roman" w:eastAsia="宋体" w:cs="Times New Roman"/>
                <w:sz w:val="24"/>
                <w:szCs w:val="24"/>
              </w:rPr>
              <w:t>销售收入7</w:t>
            </w:r>
            <w:r>
              <w:rPr>
                <w:rFonts w:hint="eastAsia" w:cs="Times New Roman"/>
                <w:sz w:val="24"/>
                <w:szCs w:val="24"/>
                <w:lang w:val="en-US" w:eastAsia="zh-CN"/>
              </w:rPr>
              <w:t>,</w:t>
            </w:r>
            <w:r>
              <w:rPr>
                <w:rFonts w:hint="default" w:ascii="Times New Roman" w:hAnsi="Times New Roman" w:eastAsia="宋体" w:cs="Times New Roman"/>
                <w:sz w:val="24"/>
                <w:szCs w:val="24"/>
              </w:rPr>
              <w:t>306.65万</w:t>
            </w:r>
            <w:r>
              <w:rPr>
                <w:rFonts w:hint="eastAsia" w:cs="Times New Roman"/>
                <w:sz w:val="24"/>
                <w:szCs w:val="24"/>
                <w:lang w:val="en-US" w:eastAsia="zh-CN"/>
              </w:rPr>
              <w:t>元</w:t>
            </w:r>
            <w:r>
              <w:rPr>
                <w:rFonts w:hint="default" w:ascii="Times New Roman" w:hAnsi="Times New Roman" w:eastAsia="宋体" w:cs="Times New Roman"/>
                <w:sz w:val="24"/>
                <w:szCs w:val="24"/>
              </w:rPr>
              <w:t>，较上年同期增长641.83%。</w:t>
            </w:r>
          </w:p>
          <w:p w14:paraId="25DA0ED0">
            <w:pPr>
              <w:keepNext w:val="0"/>
              <w:keepLines w:val="0"/>
              <w:pageBreakBefore w:val="0"/>
              <w:widowControl w:val="0"/>
              <w:kinsoku/>
              <w:wordWrap/>
              <w:overflowPunct/>
              <w:topLinePunct w:val="0"/>
              <w:autoSpaceDE/>
              <w:autoSpaceDN/>
              <w:bidi w:val="0"/>
              <w:adjustRightInd/>
              <w:snapToGrid/>
              <w:spacing w:before="156" w:beforeLines="50"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2025年上半年，天玑骨科手术机器人开展手术数量超过2.2万例。截至2025年6月30日，天玑骨科手术机器人累计开展手术数量超过12万例</w:t>
            </w:r>
            <w:r>
              <w:rPr>
                <w:rFonts w:hint="default" w:ascii="Times New Roman" w:hAnsi="Times New Roman" w:eastAsia="宋体" w:cs="Times New Roman"/>
                <w:sz w:val="24"/>
                <w:szCs w:val="24"/>
                <w:highlight w:val="none"/>
              </w:rPr>
              <w:t>。手术量的稳步提升是公司产品临床价值和市场接受度提高的直接体现</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将推动公司发展进入良性循环。</w:t>
            </w:r>
          </w:p>
          <w:p w14:paraId="4758CA81">
            <w:pPr>
              <w:pStyle w:val="21"/>
              <w:numPr>
                <w:ilvl w:val="0"/>
                <w:numId w:val="1"/>
              </w:numPr>
              <w:tabs>
                <w:tab w:val="left" w:pos="312"/>
              </w:tabs>
              <w:spacing w:before="312" w:beforeLines="100" w:line="360" w:lineRule="auto"/>
              <w:ind w:left="357" w:hanging="357" w:firstLineChars="0"/>
              <w:jc w:val="left"/>
              <w:rPr>
                <w:rFonts w:hint="default" w:ascii="Times New Roman" w:hAnsi="Times New Roman" w:eastAsia="宋体" w:cs="Times New Roman"/>
                <w:b/>
                <w:iCs/>
                <w:color w:val="000000" w:themeColor="text1"/>
                <w:sz w:val="24"/>
                <w:szCs w:val="24"/>
                <w14:textFill>
                  <w14:solidFill>
                    <w14:schemeClr w14:val="tx1"/>
                  </w14:solidFill>
                </w14:textFill>
              </w:rPr>
            </w:pPr>
            <w:r>
              <w:rPr>
                <w:rFonts w:hint="default" w:ascii="Times New Roman" w:hAnsi="Times New Roman" w:eastAsia="宋体" w:cs="Times New Roman"/>
                <w:b/>
                <w:iCs/>
                <w:color w:val="000000" w:themeColor="text1"/>
                <w:sz w:val="24"/>
                <w:szCs w:val="24"/>
                <w14:textFill>
                  <w14:solidFill>
                    <w14:schemeClr w14:val="tx1"/>
                  </w14:solidFill>
                </w14:textFill>
              </w:rPr>
              <w:t>公司上半年两款新产品获批，新产品有哪些竞争优势？</w:t>
            </w:r>
          </w:p>
          <w:p w14:paraId="714A35B7">
            <w:pPr>
              <w:keepNext w:val="0"/>
              <w:keepLines w:val="0"/>
              <w:pageBreakBefore w:val="0"/>
              <w:widowControl w:val="0"/>
              <w:kinsoku/>
              <w:wordWrap/>
              <w:overflowPunct/>
              <w:topLinePunct w:val="0"/>
              <w:autoSpaceDE/>
              <w:autoSpaceDN/>
              <w:bidi w:val="0"/>
              <w:adjustRightInd/>
              <w:snapToGrid/>
              <w:spacing w:before="156" w:beforeLines="50"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半年公司有两款创新产品获批上市——天玑思睿骨科手术机器人与天璇星耀三维C形臂。天玑思睿是公司最新的全骨科手术机器人平台，该产品源于临床对手术机器人产品多功能覆盖、人机高效协同、安全可控的迫切需求，实现了骨科手术向决策智慧化，操作精准化及治疗个性化方向发展；天璇星耀三维C形臂是一款术中三维影像产品，该产品是基于公司对与机器人配合的术中影像的特定要求的理解进行研发的，该产品可独立使用，也可与天玑思睿协同，将更好地实现术中影像与机器人操作的实时交互，让“看见”与“执行”同步，大幅优化工作流程，提高手术效率，保证手术精度与安全性。</w:t>
            </w:r>
          </w:p>
          <w:p w14:paraId="0562711C">
            <w:pPr>
              <w:keepNext w:val="0"/>
              <w:keepLines w:val="0"/>
              <w:pageBreakBefore w:val="0"/>
              <w:widowControl w:val="0"/>
              <w:kinsoku/>
              <w:wordWrap/>
              <w:overflowPunct/>
              <w:topLinePunct w:val="0"/>
              <w:autoSpaceDE/>
              <w:autoSpaceDN/>
              <w:bidi w:val="0"/>
              <w:adjustRightInd/>
              <w:snapToGrid/>
              <w:spacing w:before="156" w:beforeLines="50"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近年来，随着技术持续迭代，公司产品性能进一步升级，在稳定性、智能化等方面都有显著提升。对骨科适应证的横向覆盖和对骨科手术全流程的纵向深入</w:t>
            </w:r>
            <w:r>
              <w:rPr>
                <w:rFonts w:hint="eastAsia" w:ascii="Times New Roman" w:hAnsi="Times New Roman" w:eastAsia="宋体" w:cs="Times New Roman"/>
                <w:sz w:val="24"/>
                <w:szCs w:val="24"/>
                <w:lang w:val="en-US" w:eastAsia="zh-CN"/>
              </w:rPr>
              <w:t>方面</w:t>
            </w:r>
            <w:r>
              <w:rPr>
                <w:rFonts w:hint="default" w:ascii="Times New Roman" w:hAnsi="Times New Roman" w:eastAsia="宋体" w:cs="Times New Roman"/>
                <w:sz w:val="24"/>
                <w:szCs w:val="24"/>
              </w:rPr>
              <w:t>都</w:t>
            </w:r>
            <w:r>
              <w:rPr>
                <w:rFonts w:hint="eastAsia" w:ascii="Times New Roman" w:hAnsi="Times New Roman" w:eastAsia="宋体" w:cs="Times New Roman"/>
                <w:sz w:val="24"/>
                <w:szCs w:val="24"/>
                <w:lang w:val="en-US" w:eastAsia="zh-CN"/>
              </w:rPr>
              <w:t>达到了</w:t>
            </w:r>
            <w:r>
              <w:rPr>
                <w:rFonts w:hint="default" w:ascii="Times New Roman" w:hAnsi="Times New Roman" w:eastAsia="宋体" w:cs="Times New Roman"/>
                <w:sz w:val="24"/>
                <w:szCs w:val="24"/>
              </w:rPr>
              <w:t>国际领先的水平。</w:t>
            </w:r>
          </w:p>
          <w:p w14:paraId="36FC80CD">
            <w:pPr>
              <w:pStyle w:val="21"/>
              <w:numPr>
                <w:ilvl w:val="0"/>
                <w:numId w:val="1"/>
              </w:numPr>
              <w:tabs>
                <w:tab w:val="left" w:pos="312"/>
              </w:tabs>
              <w:spacing w:before="312" w:beforeLines="100" w:line="360" w:lineRule="auto"/>
              <w:ind w:left="357" w:hanging="357" w:firstLineChars="0"/>
              <w:jc w:val="left"/>
              <w:rPr>
                <w:rFonts w:hint="default" w:ascii="Times New Roman" w:hAnsi="Times New Roman" w:eastAsia="宋体" w:cs="Times New Roman"/>
                <w:b/>
                <w:iCs/>
                <w:color w:val="000000" w:themeColor="text1"/>
                <w:sz w:val="24"/>
                <w:szCs w:val="24"/>
                <w14:textFill>
                  <w14:solidFill>
                    <w14:schemeClr w14:val="tx1"/>
                  </w14:solidFill>
                </w14:textFill>
              </w:rPr>
            </w:pPr>
            <w:r>
              <w:rPr>
                <w:rFonts w:hint="default" w:ascii="Times New Roman" w:hAnsi="Times New Roman" w:eastAsia="宋体" w:cs="Times New Roman"/>
                <w:b/>
                <w:iCs/>
                <w:color w:val="000000" w:themeColor="text1"/>
                <w:sz w:val="24"/>
                <w:szCs w:val="24"/>
                <w14:textFill>
                  <w14:solidFill>
                    <w14:schemeClr w14:val="tx1"/>
                  </w14:solidFill>
                </w14:textFill>
              </w:rPr>
              <w:t>公司海外布局有新的进展吗？出海计划如何推进的？</w:t>
            </w:r>
          </w:p>
          <w:p w14:paraId="0FE5FB76">
            <w:pPr>
              <w:keepNext w:val="0"/>
              <w:keepLines w:val="0"/>
              <w:pageBreakBefore w:val="0"/>
              <w:widowControl w:val="0"/>
              <w:kinsoku/>
              <w:wordWrap/>
              <w:overflowPunct/>
              <w:topLinePunct w:val="0"/>
              <w:autoSpaceDE/>
              <w:autoSpaceDN/>
              <w:bidi w:val="0"/>
              <w:adjustRightInd/>
              <w:snapToGrid/>
              <w:spacing w:before="156" w:beforeLines="50"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公司围绕既定出海战略开展工作，积极参与海外展会，全面展示公司的技术创新成果、产品矩阵、综合实力，多渠道拓展海外业务，与多家国际潜在合作伙伴接触洽谈，稳步构建国际业务网络。</w:t>
            </w:r>
          </w:p>
          <w:p w14:paraId="1E16C734">
            <w:pPr>
              <w:keepNext w:val="0"/>
              <w:keepLines w:val="0"/>
              <w:pageBreakBefore w:val="0"/>
              <w:widowControl w:val="0"/>
              <w:kinsoku/>
              <w:wordWrap/>
              <w:overflowPunct/>
              <w:topLinePunct w:val="0"/>
              <w:autoSpaceDE/>
              <w:autoSpaceDN/>
              <w:bidi w:val="0"/>
              <w:adjustRightInd/>
              <w:snapToGrid/>
              <w:spacing w:before="156" w:beforeLines="50"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目前，公司骨科手术导航定位系统及工具包已获得欧盟CE认证，为进入海外市场奠定了基础。未来公司将根据海外目标市场的不同特点制定差异化的市场策略，充分发挥产品、服务和经验优势，不断强化自身国际市场竞争力，积极参与国际竞争，提升公司产品的国际影响力。</w:t>
            </w:r>
          </w:p>
          <w:p w14:paraId="16B90C10">
            <w:pPr>
              <w:pStyle w:val="21"/>
              <w:numPr>
                <w:ilvl w:val="0"/>
                <w:numId w:val="1"/>
              </w:numPr>
              <w:tabs>
                <w:tab w:val="left" w:pos="312"/>
              </w:tabs>
              <w:spacing w:before="312" w:beforeLines="100" w:line="360" w:lineRule="auto"/>
              <w:ind w:left="357" w:hanging="357" w:firstLineChars="0"/>
              <w:jc w:val="left"/>
              <w:rPr>
                <w:rFonts w:hint="default" w:ascii="Times New Roman" w:hAnsi="Times New Roman" w:eastAsia="宋体" w:cs="Times New Roman"/>
                <w:b/>
                <w:iCs/>
                <w:color w:val="000000" w:themeColor="text1"/>
                <w:sz w:val="24"/>
                <w:szCs w:val="24"/>
                <w14:textFill>
                  <w14:solidFill>
                    <w14:schemeClr w14:val="tx1"/>
                  </w14:solidFill>
                </w14:textFill>
              </w:rPr>
            </w:pPr>
            <w:r>
              <w:rPr>
                <w:rFonts w:hint="default" w:ascii="Times New Roman" w:hAnsi="Times New Roman" w:eastAsia="宋体" w:cs="Times New Roman"/>
                <w:b/>
                <w:iCs/>
                <w:color w:val="000000" w:themeColor="text1"/>
                <w:sz w:val="24"/>
                <w:szCs w:val="24"/>
                <w14:textFill>
                  <w14:solidFill>
                    <w14:schemeClr w14:val="tx1"/>
                  </w14:solidFill>
                </w14:textFill>
              </w:rPr>
              <w:t>公司对骨科手术机器人行业的未来展望如何？</w:t>
            </w:r>
          </w:p>
          <w:p w14:paraId="07D7A659">
            <w:pPr>
              <w:spacing w:before="156" w:beforeLines="50" w:after="156" w:afterLines="50" w:line="360" w:lineRule="auto"/>
              <w:ind w:firstLine="484" w:firstLineChars="20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在人口老龄化、骨科疾病低龄化及对精准医疗需求提升的驱动下，骨科手术机器人市场空间广阔。</w:t>
            </w:r>
          </w:p>
          <w:p w14:paraId="60A51C46">
            <w:pPr>
              <w:spacing w:before="156" w:beforeLines="50" w:after="156" w:afterLines="50"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从手术机器人产品发展趋势来看，5G 通讯、3D 打印、智能材料、医疗大数据、人工智能、虚拟/增强现实等新技术将不断整合进手术机器人的技术体系中。手术机器人将越来越智能化，与医生、患者的交互水平越来越高。</w:t>
            </w:r>
          </w:p>
          <w:p w14:paraId="1837784C">
            <w:pPr>
              <w:spacing w:before="156" w:beforeLines="50" w:after="156" w:afterLines="50"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手术机器人应用趋势来看，手术机器人能够胜任的适用证范围越来越广，并将全面融入医疗业务全部场景。智能化、个性化、远程化的手术方式将伴随着手术机器人产品的不断迭代进步而成为越来越主流的方式。手术流程也将逐步围绕手术机器人重塑，手术机器人将逐步成为手术全流程的核心要素。</w:t>
            </w:r>
          </w:p>
          <w:p w14:paraId="12B0B9D9">
            <w:pPr>
              <w:spacing w:before="156" w:beforeLines="50" w:after="156" w:afterLines="50"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从行业参与者来看，</w:t>
            </w:r>
            <w:r>
              <w:rPr>
                <w:rFonts w:hint="eastAsia" w:cs="Times New Roman"/>
                <w:sz w:val="24"/>
                <w:szCs w:val="24"/>
                <w:lang w:val="en-US" w:eastAsia="zh-CN"/>
              </w:rPr>
              <w:t>近年来</w:t>
            </w:r>
            <w:r>
              <w:rPr>
                <w:rFonts w:hint="default" w:ascii="Times New Roman" w:hAnsi="Times New Roman" w:eastAsia="宋体" w:cs="Times New Roman"/>
                <w:sz w:val="24"/>
                <w:szCs w:val="24"/>
              </w:rPr>
              <w:t>有大量新公司加入到手术机器人行业，手术机器人行业将逐步形成有诸多产品线的行业巨头和专注于某个专用型手术机器人产品的细分领域龙头并存。</w:t>
            </w:r>
          </w:p>
          <w:p w14:paraId="016CD0F9">
            <w:pPr>
              <w:spacing w:before="156" w:beforeLines="50" w:after="156" w:afterLines="50" w:line="360" w:lineRule="auto"/>
              <w:ind w:firstLine="484" w:firstLineChars="20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从市场发展趋势来看，将会有越来越多的医生、患者认知并最终认可手术机器人手术，行业整体市场空间快速扩大，客户群体也将由一、二线城市优势医院向区域医疗中心下沉。</w:t>
            </w:r>
          </w:p>
          <w:p w14:paraId="78DC1C3E">
            <w:pPr>
              <w:spacing w:before="156" w:beforeLines="50" w:after="156" w:afterLines="50" w:line="360" w:lineRule="auto"/>
              <w:ind w:firstLine="484" w:firstLineChars="202"/>
              <w:rPr>
                <w:rFonts w:ascii="宋体" w:hAnsi="宋体"/>
                <w:szCs w:val="21"/>
              </w:rPr>
            </w:pPr>
            <w:r>
              <w:rPr>
                <w:rFonts w:hint="default" w:ascii="Times New Roman" w:hAnsi="Times New Roman" w:eastAsia="宋体" w:cs="Times New Roman"/>
                <w:sz w:val="24"/>
                <w:szCs w:val="24"/>
                <w:highlight w:val="none"/>
              </w:rPr>
              <w:t>手术机器人将是未来医疗的基础设施。随着技术进步、临床应用深化等，国内外手术机器人</w:t>
            </w:r>
            <w:r>
              <w:rPr>
                <w:rFonts w:hint="eastAsia" w:cs="Times New Roman"/>
                <w:sz w:val="24"/>
                <w:szCs w:val="24"/>
                <w:highlight w:val="none"/>
                <w:lang w:val="en-US" w:eastAsia="zh-CN"/>
              </w:rPr>
              <w:t>行业将继续蓬勃发展</w:t>
            </w:r>
            <w:r>
              <w:rPr>
                <w:rFonts w:hint="default" w:ascii="Times New Roman" w:hAnsi="Times New Roman" w:eastAsia="宋体" w:cs="Times New Roman"/>
                <w:sz w:val="24"/>
                <w:szCs w:val="24"/>
                <w:highlight w:val="none"/>
              </w:rPr>
              <w:t>。天智航将继续秉持原研创新，从临床需求出发，整合资源，重塑骨科手术流程，致力于为医生和患者提供更优质的产品与服务，深度参与和引领行业的变革。</w:t>
            </w:r>
          </w:p>
        </w:tc>
      </w:tr>
      <w:tr w14:paraId="516F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16" w:type="dxa"/>
            <w:vAlign w:val="center"/>
          </w:tcPr>
          <w:p w14:paraId="7B817DB4">
            <w:pPr>
              <w:spacing w:line="252" w:lineRule="auto"/>
              <w:rPr>
                <w:b/>
                <w:bCs/>
                <w:iCs/>
                <w:color w:val="000000"/>
                <w:sz w:val="24"/>
              </w:rPr>
            </w:pPr>
            <w:r>
              <w:rPr>
                <w:rFonts w:hint="eastAsia"/>
                <w:b/>
                <w:bCs/>
                <w:iCs/>
                <w:color w:val="000000"/>
                <w:sz w:val="24"/>
              </w:rPr>
              <w:t>关于本次活动是否涉及应当披露重大信息的说明</w:t>
            </w:r>
          </w:p>
        </w:tc>
        <w:tc>
          <w:tcPr>
            <w:tcW w:w="6720" w:type="dxa"/>
          </w:tcPr>
          <w:p w14:paraId="0AAE86CB">
            <w:pPr>
              <w:tabs>
                <w:tab w:val="left" w:pos="312"/>
                <w:tab w:val="left" w:pos="3415"/>
              </w:tabs>
              <w:spacing w:before="156" w:beforeLines="50" w:line="440" w:lineRule="exact"/>
              <w:rPr>
                <w:rFonts w:eastAsiaTheme="minorEastAsia"/>
                <w:bCs/>
                <w:iCs/>
                <w:color w:val="000000" w:themeColor="text1"/>
                <w:sz w:val="24"/>
                <w14:textFill>
                  <w14:solidFill>
                    <w14:schemeClr w14:val="tx1"/>
                  </w14:solidFill>
                </w14:textFill>
              </w:rPr>
            </w:pPr>
            <w:r>
              <w:rPr>
                <w:rFonts w:hint="eastAsia" w:eastAsiaTheme="minorEastAsia"/>
                <w:bCs/>
                <w:iCs/>
                <w:color w:val="000000" w:themeColor="text1"/>
                <w:sz w:val="24"/>
                <w14:textFill>
                  <w14:solidFill>
                    <w14:schemeClr w14:val="tx1"/>
                  </w14:solidFill>
                </w14:textFill>
              </w:rPr>
              <w:t>不涉及</w:t>
            </w:r>
          </w:p>
        </w:tc>
      </w:tr>
    </w:tbl>
    <w:p w14:paraId="6C57402A">
      <w:pPr>
        <w:rPr>
          <w:sz w:val="24"/>
        </w:rPr>
      </w:pPr>
      <w:r>
        <w:rPr>
          <w:sz w:val="24"/>
        </w:rPr>
        <w:br w:type="page"/>
      </w:r>
    </w:p>
    <w:p w14:paraId="6C24BC25">
      <w:pPr>
        <w:wordWrap/>
        <w:spacing w:line="360" w:lineRule="auto"/>
        <w:jc w:val="both"/>
        <w:rPr>
          <w:rFonts w:hint="eastAsia"/>
          <w:b/>
          <w:bCs/>
          <w:sz w:val="24"/>
          <w:lang w:val="en-US" w:eastAsia="zh-CN"/>
        </w:rPr>
      </w:pPr>
      <w:r>
        <w:rPr>
          <w:rFonts w:hint="eastAsia"/>
          <w:b/>
          <w:bCs/>
          <w:sz w:val="24"/>
          <w:lang w:val="en-US" w:eastAsia="zh-CN"/>
        </w:rPr>
        <w:t>附表：参会机构名单（排名不分先后）</w:t>
      </w:r>
    </w:p>
    <w:tbl>
      <w:tblPr>
        <w:tblStyle w:val="9"/>
        <w:tblpPr w:leftFromText="180" w:rightFromText="180" w:vertAnchor="text" w:horzAnchor="page" w:tblpX="1782" w:tblpY="453"/>
        <w:tblOverlap w:val="never"/>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0"/>
        <w:gridCol w:w="7350"/>
      </w:tblGrid>
      <w:tr w14:paraId="7184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A8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39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机构名称</w:t>
            </w:r>
          </w:p>
        </w:tc>
      </w:tr>
      <w:tr w14:paraId="4141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9D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8C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华创证券</w:t>
            </w:r>
          </w:p>
        </w:tc>
      </w:tr>
      <w:tr w14:paraId="7365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AB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D3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东北证券</w:t>
            </w:r>
          </w:p>
        </w:tc>
      </w:tr>
      <w:tr w14:paraId="0BBA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45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AE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国盛证券</w:t>
            </w:r>
          </w:p>
        </w:tc>
      </w:tr>
      <w:tr w14:paraId="25CC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16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F6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华安证券</w:t>
            </w:r>
          </w:p>
        </w:tc>
      </w:tr>
      <w:tr w14:paraId="79BA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CB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D5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申万宏源</w:t>
            </w:r>
          </w:p>
        </w:tc>
      </w:tr>
      <w:tr w14:paraId="0C59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18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38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信达医药</w:t>
            </w:r>
          </w:p>
        </w:tc>
      </w:tr>
      <w:tr w14:paraId="34C2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00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76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中金公司</w:t>
            </w:r>
          </w:p>
        </w:tc>
      </w:tr>
      <w:tr w14:paraId="5A57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CD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28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中信建投</w:t>
            </w:r>
          </w:p>
        </w:tc>
      </w:tr>
      <w:tr w14:paraId="5156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85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F8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中信证券资产管理有限公司</w:t>
            </w:r>
          </w:p>
        </w:tc>
      </w:tr>
      <w:tr w14:paraId="7E98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B4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1A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安徽海螺创业投资有限责任公司</w:t>
            </w:r>
          </w:p>
        </w:tc>
      </w:tr>
      <w:tr w14:paraId="2E80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80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B5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博远基金管理有限公司</w:t>
            </w:r>
          </w:p>
        </w:tc>
      </w:tr>
      <w:tr w14:paraId="6983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3D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22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广东瑞天投资管理有限公司</w:t>
            </w:r>
          </w:p>
        </w:tc>
      </w:tr>
      <w:tr w14:paraId="5CF9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85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20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广发基金管理有限公司</w:t>
            </w:r>
          </w:p>
        </w:tc>
      </w:tr>
      <w:tr w14:paraId="1D90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F7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C5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杭州优益增私募基金管理有限公司</w:t>
            </w:r>
          </w:p>
        </w:tc>
      </w:tr>
      <w:tr w14:paraId="0549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81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EB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荷荷晴川私募证券投资基金</w:t>
            </w:r>
          </w:p>
        </w:tc>
      </w:tr>
      <w:tr w14:paraId="2635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E3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D0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建信养老金管理有限责任公司</w:t>
            </w:r>
          </w:p>
        </w:tc>
      </w:tr>
      <w:tr w14:paraId="06A7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03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94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金鹰基金管理有限公司</w:t>
            </w:r>
          </w:p>
        </w:tc>
      </w:tr>
      <w:tr w14:paraId="1111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BD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A9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陆家嘴国际信托</w:t>
            </w:r>
          </w:p>
        </w:tc>
      </w:tr>
      <w:tr w14:paraId="7FF9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CF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CF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青骊投资管理（上海）有限公司</w:t>
            </w:r>
          </w:p>
        </w:tc>
      </w:tr>
      <w:tr w14:paraId="34B6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E0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9A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上海晨燕资产管理中心</w:t>
            </w:r>
          </w:p>
        </w:tc>
      </w:tr>
      <w:tr w14:paraId="35A6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1B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5E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上海沣杨资产管理有限公司</w:t>
            </w:r>
          </w:p>
        </w:tc>
      </w:tr>
      <w:tr w14:paraId="4100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1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AE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上海隆象私募基金管理有限公司</w:t>
            </w:r>
          </w:p>
        </w:tc>
      </w:tr>
      <w:tr w14:paraId="4744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66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EE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上海仁布投资管理有限公司</w:t>
            </w:r>
          </w:p>
        </w:tc>
      </w:tr>
      <w:tr w14:paraId="203F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99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A5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上海肇万资产管理有限公司</w:t>
            </w:r>
          </w:p>
        </w:tc>
      </w:tr>
      <w:tr w14:paraId="3B2F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E9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C9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深圳前海承势资本管理合伙企业（有限合伙）——连丰私募基金</w:t>
            </w:r>
          </w:p>
        </w:tc>
      </w:tr>
      <w:tr w14:paraId="5F4F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E1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2A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深圳市前海海运通资产管理有限公司</w:t>
            </w:r>
          </w:p>
        </w:tc>
      </w:tr>
      <w:tr w14:paraId="0A2C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91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7C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深圳市尚诚资产管理有限责任公司</w:t>
            </w:r>
          </w:p>
        </w:tc>
      </w:tr>
      <w:tr w14:paraId="45A3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1B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41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西南医药</w:t>
            </w:r>
          </w:p>
        </w:tc>
      </w:tr>
      <w:tr w14:paraId="1749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40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FE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永卓控股有限公司</w:t>
            </w:r>
          </w:p>
        </w:tc>
      </w:tr>
      <w:tr w14:paraId="3348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7F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42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中金医药</w:t>
            </w:r>
          </w:p>
        </w:tc>
      </w:tr>
      <w:tr w14:paraId="2111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20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08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中银国际证券股份有限公司</w:t>
            </w:r>
          </w:p>
        </w:tc>
      </w:tr>
      <w:tr w14:paraId="6CDE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78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7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75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中邮医药</w:t>
            </w:r>
          </w:p>
        </w:tc>
      </w:tr>
    </w:tbl>
    <w:p w14:paraId="140A3570">
      <w:pPr>
        <w:wordWrap/>
        <w:spacing w:line="360" w:lineRule="auto"/>
        <w:jc w:val="both"/>
        <w:rPr>
          <w:rFonts w:hint="eastAsia"/>
          <w:b/>
          <w:bCs/>
          <w:sz w:val="24"/>
          <w:lang w:val="en-US" w:eastAsia="zh-CN"/>
        </w:rPr>
      </w:pPr>
    </w:p>
    <w:p w14:paraId="6A7FD0F5">
      <w:pPr>
        <w:wordWrap/>
        <w:spacing w:line="360" w:lineRule="auto"/>
        <w:jc w:val="both"/>
        <w:rPr>
          <w:rFonts w:hint="default"/>
          <w:sz w:val="24"/>
          <w:lang w:val="en-US" w:eastAsia="zh-CN"/>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24934"/>
    <w:multiLevelType w:val="multilevel"/>
    <w:tmpl w:val="2DB24934"/>
    <w:lvl w:ilvl="0" w:tentative="0">
      <w:start w:val="1"/>
      <w:numFmt w:val="decimal"/>
      <w:lvlText w:val="%1."/>
      <w:lvlJc w:val="left"/>
      <w:pPr>
        <w:ind w:left="360" w:hanging="360"/>
      </w:pPr>
      <w:rPr>
        <w:rFonts w:hint="default" w:ascii="Times New Roman" w:hAnsi="Times New Roman"/>
        <w:color w:val="000000" w:themeColor="text1"/>
        <w:sz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YjI2Y2EyMzMwMDMwYzNiZmFjNDQ1OGQ3OTBkM2IifQ=="/>
  </w:docVars>
  <w:rsids>
    <w:rsidRoot w:val="001B4B80"/>
    <w:rsid w:val="00001D87"/>
    <w:rsid w:val="00005B18"/>
    <w:rsid w:val="0004667F"/>
    <w:rsid w:val="0008744D"/>
    <w:rsid w:val="000A148F"/>
    <w:rsid w:val="000A4CF7"/>
    <w:rsid w:val="000B18B3"/>
    <w:rsid w:val="000C0A26"/>
    <w:rsid w:val="000E4897"/>
    <w:rsid w:val="000F3CF3"/>
    <w:rsid w:val="00134C9D"/>
    <w:rsid w:val="00135C45"/>
    <w:rsid w:val="001A3859"/>
    <w:rsid w:val="001A7497"/>
    <w:rsid w:val="001B07A7"/>
    <w:rsid w:val="001B154C"/>
    <w:rsid w:val="001B4B80"/>
    <w:rsid w:val="001C299E"/>
    <w:rsid w:val="001C46E6"/>
    <w:rsid w:val="001D4EBB"/>
    <w:rsid w:val="001E4216"/>
    <w:rsid w:val="001E7F21"/>
    <w:rsid w:val="002016F8"/>
    <w:rsid w:val="00206C54"/>
    <w:rsid w:val="002228EA"/>
    <w:rsid w:val="002458A4"/>
    <w:rsid w:val="0025275E"/>
    <w:rsid w:val="0026708E"/>
    <w:rsid w:val="00287092"/>
    <w:rsid w:val="00297F92"/>
    <w:rsid w:val="002B5592"/>
    <w:rsid w:val="002C0154"/>
    <w:rsid w:val="002C45E3"/>
    <w:rsid w:val="002D09C7"/>
    <w:rsid w:val="002F7A43"/>
    <w:rsid w:val="0030028B"/>
    <w:rsid w:val="003012BB"/>
    <w:rsid w:val="00312374"/>
    <w:rsid w:val="00313153"/>
    <w:rsid w:val="00316E17"/>
    <w:rsid w:val="00340596"/>
    <w:rsid w:val="003641E4"/>
    <w:rsid w:val="00364D04"/>
    <w:rsid w:val="003B513B"/>
    <w:rsid w:val="003B6EB3"/>
    <w:rsid w:val="003D5A99"/>
    <w:rsid w:val="003E306D"/>
    <w:rsid w:val="003E3BBA"/>
    <w:rsid w:val="0040037C"/>
    <w:rsid w:val="00403F56"/>
    <w:rsid w:val="00424627"/>
    <w:rsid w:val="004404C9"/>
    <w:rsid w:val="004479E5"/>
    <w:rsid w:val="00460623"/>
    <w:rsid w:val="00485151"/>
    <w:rsid w:val="004867CB"/>
    <w:rsid w:val="004955B7"/>
    <w:rsid w:val="004973D8"/>
    <w:rsid w:val="004B4A05"/>
    <w:rsid w:val="004E2B24"/>
    <w:rsid w:val="0050262E"/>
    <w:rsid w:val="00523D0C"/>
    <w:rsid w:val="00523FBF"/>
    <w:rsid w:val="005272DE"/>
    <w:rsid w:val="005539F4"/>
    <w:rsid w:val="00557186"/>
    <w:rsid w:val="00583715"/>
    <w:rsid w:val="00592830"/>
    <w:rsid w:val="005C6828"/>
    <w:rsid w:val="005D5923"/>
    <w:rsid w:val="005E0D2E"/>
    <w:rsid w:val="00620DA6"/>
    <w:rsid w:val="00626F24"/>
    <w:rsid w:val="00644AC9"/>
    <w:rsid w:val="00647BAE"/>
    <w:rsid w:val="00651F77"/>
    <w:rsid w:val="006577A9"/>
    <w:rsid w:val="006656B1"/>
    <w:rsid w:val="00671C49"/>
    <w:rsid w:val="00680C42"/>
    <w:rsid w:val="00697E21"/>
    <w:rsid w:val="006B2AEB"/>
    <w:rsid w:val="006B5B94"/>
    <w:rsid w:val="006D40CB"/>
    <w:rsid w:val="006E11D4"/>
    <w:rsid w:val="006F32A2"/>
    <w:rsid w:val="007271F9"/>
    <w:rsid w:val="00736448"/>
    <w:rsid w:val="007578EE"/>
    <w:rsid w:val="007714BE"/>
    <w:rsid w:val="00782C7A"/>
    <w:rsid w:val="00786945"/>
    <w:rsid w:val="007958EB"/>
    <w:rsid w:val="007B0C56"/>
    <w:rsid w:val="007C702B"/>
    <w:rsid w:val="007C7416"/>
    <w:rsid w:val="007C7A27"/>
    <w:rsid w:val="007D50EC"/>
    <w:rsid w:val="00807797"/>
    <w:rsid w:val="00821571"/>
    <w:rsid w:val="00877050"/>
    <w:rsid w:val="008927B3"/>
    <w:rsid w:val="00893AD5"/>
    <w:rsid w:val="008A40AE"/>
    <w:rsid w:val="008B0F40"/>
    <w:rsid w:val="008B2E28"/>
    <w:rsid w:val="008B564E"/>
    <w:rsid w:val="008C2A9F"/>
    <w:rsid w:val="008E4F29"/>
    <w:rsid w:val="008F2321"/>
    <w:rsid w:val="00914ACD"/>
    <w:rsid w:val="00942624"/>
    <w:rsid w:val="0094450D"/>
    <w:rsid w:val="0095680F"/>
    <w:rsid w:val="00967220"/>
    <w:rsid w:val="00974D66"/>
    <w:rsid w:val="00991A6E"/>
    <w:rsid w:val="00994191"/>
    <w:rsid w:val="009A5900"/>
    <w:rsid w:val="009B4D70"/>
    <w:rsid w:val="009D0EF9"/>
    <w:rsid w:val="009E378A"/>
    <w:rsid w:val="009F6BA9"/>
    <w:rsid w:val="009F6E76"/>
    <w:rsid w:val="00A03331"/>
    <w:rsid w:val="00A1087E"/>
    <w:rsid w:val="00A453E6"/>
    <w:rsid w:val="00A523F4"/>
    <w:rsid w:val="00A959EE"/>
    <w:rsid w:val="00AD78E6"/>
    <w:rsid w:val="00AE0C89"/>
    <w:rsid w:val="00B32AA5"/>
    <w:rsid w:val="00B52882"/>
    <w:rsid w:val="00B55A7E"/>
    <w:rsid w:val="00B62A3A"/>
    <w:rsid w:val="00B74412"/>
    <w:rsid w:val="00B9238F"/>
    <w:rsid w:val="00BB09A6"/>
    <w:rsid w:val="00C0785C"/>
    <w:rsid w:val="00C12530"/>
    <w:rsid w:val="00C20BD1"/>
    <w:rsid w:val="00C5338F"/>
    <w:rsid w:val="00C75E49"/>
    <w:rsid w:val="00CF19F0"/>
    <w:rsid w:val="00D000A2"/>
    <w:rsid w:val="00D32B65"/>
    <w:rsid w:val="00D413F7"/>
    <w:rsid w:val="00D43DDE"/>
    <w:rsid w:val="00D4615D"/>
    <w:rsid w:val="00D529C9"/>
    <w:rsid w:val="00D67D66"/>
    <w:rsid w:val="00D92149"/>
    <w:rsid w:val="00D960C0"/>
    <w:rsid w:val="00DB0C08"/>
    <w:rsid w:val="00DB282A"/>
    <w:rsid w:val="00DE7F1F"/>
    <w:rsid w:val="00E14F93"/>
    <w:rsid w:val="00E214DE"/>
    <w:rsid w:val="00E26254"/>
    <w:rsid w:val="00E45A7E"/>
    <w:rsid w:val="00E74E58"/>
    <w:rsid w:val="00E93BD4"/>
    <w:rsid w:val="00EC58CA"/>
    <w:rsid w:val="00ED5CC1"/>
    <w:rsid w:val="00EE4F50"/>
    <w:rsid w:val="00EF15A6"/>
    <w:rsid w:val="00EF1981"/>
    <w:rsid w:val="00F23C7B"/>
    <w:rsid w:val="00F27A94"/>
    <w:rsid w:val="00F4652D"/>
    <w:rsid w:val="00F5016E"/>
    <w:rsid w:val="00F5631B"/>
    <w:rsid w:val="00F81F63"/>
    <w:rsid w:val="00F83274"/>
    <w:rsid w:val="00F86661"/>
    <w:rsid w:val="00F95981"/>
    <w:rsid w:val="00FA1EE8"/>
    <w:rsid w:val="00FA6C4A"/>
    <w:rsid w:val="00FB53D9"/>
    <w:rsid w:val="00FC4508"/>
    <w:rsid w:val="00FD1CB8"/>
    <w:rsid w:val="00FF008E"/>
    <w:rsid w:val="00FF5504"/>
    <w:rsid w:val="00FF734A"/>
    <w:rsid w:val="00FF7441"/>
    <w:rsid w:val="019735D3"/>
    <w:rsid w:val="01D166CF"/>
    <w:rsid w:val="01E27A17"/>
    <w:rsid w:val="02E72534"/>
    <w:rsid w:val="03B43F97"/>
    <w:rsid w:val="04931375"/>
    <w:rsid w:val="04A77E0F"/>
    <w:rsid w:val="04C44220"/>
    <w:rsid w:val="054A1544"/>
    <w:rsid w:val="064B5BE4"/>
    <w:rsid w:val="071F6CCC"/>
    <w:rsid w:val="07BC764C"/>
    <w:rsid w:val="0945253F"/>
    <w:rsid w:val="09BC5583"/>
    <w:rsid w:val="0A6239F8"/>
    <w:rsid w:val="0A6F7A61"/>
    <w:rsid w:val="0B6B5CEB"/>
    <w:rsid w:val="0BE52999"/>
    <w:rsid w:val="0C8F7304"/>
    <w:rsid w:val="0D206EF1"/>
    <w:rsid w:val="0F2E78F8"/>
    <w:rsid w:val="100A1153"/>
    <w:rsid w:val="101E1199"/>
    <w:rsid w:val="108C7B5E"/>
    <w:rsid w:val="111F7E6B"/>
    <w:rsid w:val="11567032"/>
    <w:rsid w:val="12DE3A4B"/>
    <w:rsid w:val="13A51976"/>
    <w:rsid w:val="14136327"/>
    <w:rsid w:val="154D4706"/>
    <w:rsid w:val="15E63B99"/>
    <w:rsid w:val="15FD0C6C"/>
    <w:rsid w:val="18076468"/>
    <w:rsid w:val="196B1035"/>
    <w:rsid w:val="1A2A7CAB"/>
    <w:rsid w:val="1A357E20"/>
    <w:rsid w:val="1A3D5267"/>
    <w:rsid w:val="1A952EBF"/>
    <w:rsid w:val="1AD32090"/>
    <w:rsid w:val="1B8450FC"/>
    <w:rsid w:val="1CAE12C1"/>
    <w:rsid w:val="1EA216C6"/>
    <w:rsid w:val="1EE5303C"/>
    <w:rsid w:val="1F7F3B84"/>
    <w:rsid w:val="20787D09"/>
    <w:rsid w:val="20E91E17"/>
    <w:rsid w:val="20FD3C97"/>
    <w:rsid w:val="2103029F"/>
    <w:rsid w:val="232F76C9"/>
    <w:rsid w:val="234350B8"/>
    <w:rsid w:val="2488481C"/>
    <w:rsid w:val="25C62E2A"/>
    <w:rsid w:val="25FE274E"/>
    <w:rsid w:val="27084A19"/>
    <w:rsid w:val="273D6B16"/>
    <w:rsid w:val="27952980"/>
    <w:rsid w:val="27AA398F"/>
    <w:rsid w:val="27F351E3"/>
    <w:rsid w:val="28221B0A"/>
    <w:rsid w:val="286D250C"/>
    <w:rsid w:val="28FE4889"/>
    <w:rsid w:val="293439FE"/>
    <w:rsid w:val="2A890273"/>
    <w:rsid w:val="2B8802B1"/>
    <w:rsid w:val="2BBD18CD"/>
    <w:rsid w:val="2D9C3769"/>
    <w:rsid w:val="2EEA5018"/>
    <w:rsid w:val="2FE73D65"/>
    <w:rsid w:val="2FF737D9"/>
    <w:rsid w:val="32BD7DE1"/>
    <w:rsid w:val="32CD4874"/>
    <w:rsid w:val="330D2E91"/>
    <w:rsid w:val="333E6F95"/>
    <w:rsid w:val="33412BDD"/>
    <w:rsid w:val="339B67E8"/>
    <w:rsid w:val="3498181D"/>
    <w:rsid w:val="34A4697C"/>
    <w:rsid w:val="34C75310"/>
    <w:rsid w:val="34E73EBF"/>
    <w:rsid w:val="35861472"/>
    <w:rsid w:val="3603318D"/>
    <w:rsid w:val="36237913"/>
    <w:rsid w:val="37775881"/>
    <w:rsid w:val="37871D0A"/>
    <w:rsid w:val="379626C9"/>
    <w:rsid w:val="37B45995"/>
    <w:rsid w:val="37CE02AA"/>
    <w:rsid w:val="37DC2498"/>
    <w:rsid w:val="3874602A"/>
    <w:rsid w:val="3875500F"/>
    <w:rsid w:val="387F7796"/>
    <w:rsid w:val="38F11D61"/>
    <w:rsid w:val="397D6698"/>
    <w:rsid w:val="3B8345F5"/>
    <w:rsid w:val="3C6D3C51"/>
    <w:rsid w:val="3D315A33"/>
    <w:rsid w:val="3E8B7DF9"/>
    <w:rsid w:val="3F281E42"/>
    <w:rsid w:val="3F636838"/>
    <w:rsid w:val="3FCE4209"/>
    <w:rsid w:val="3FFE1B99"/>
    <w:rsid w:val="409D605C"/>
    <w:rsid w:val="411130E9"/>
    <w:rsid w:val="41DF3CDD"/>
    <w:rsid w:val="42E12821"/>
    <w:rsid w:val="43B511B3"/>
    <w:rsid w:val="44A65DA6"/>
    <w:rsid w:val="45302862"/>
    <w:rsid w:val="456B24F5"/>
    <w:rsid w:val="46406C9A"/>
    <w:rsid w:val="46CD004A"/>
    <w:rsid w:val="480B00BA"/>
    <w:rsid w:val="48894B24"/>
    <w:rsid w:val="49947199"/>
    <w:rsid w:val="4A1A37D9"/>
    <w:rsid w:val="4A3361F4"/>
    <w:rsid w:val="4B096EDA"/>
    <w:rsid w:val="4B824E76"/>
    <w:rsid w:val="4C242D9F"/>
    <w:rsid w:val="4D7508B3"/>
    <w:rsid w:val="4E792D02"/>
    <w:rsid w:val="4E895BC5"/>
    <w:rsid w:val="4FD369D5"/>
    <w:rsid w:val="50421E35"/>
    <w:rsid w:val="50887C84"/>
    <w:rsid w:val="50FD1E46"/>
    <w:rsid w:val="52CB1C51"/>
    <w:rsid w:val="532C4358"/>
    <w:rsid w:val="53B37738"/>
    <w:rsid w:val="55D70136"/>
    <w:rsid w:val="55E8269C"/>
    <w:rsid w:val="56F30668"/>
    <w:rsid w:val="58102406"/>
    <w:rsid w:val="58750F64"/>
    <w:rsid w:val="59301A97"/>
    <w:rsid w:val="59DD29BF"/>
    <w:rsid w:val="5A325814"/>
    <w:rsid w:val="5A6574B1"/>
    <w:rsid w:val="5AFF4C9D"/>
    <w:rsid w:val="5B182AE8"/>
    <w:rsid w:val="5B477144"/>
    <w:rsid w:val="5D553EB0"/>
    <w:rsid w:val="5DA76335"/>
    <w:rsid w:val="5E105805"/>
    <w:rsid w:val="5E3C2204"/>
    <w:rsid w:val="5E695D70"/>
    <w:rsid w:val="5ED21787"/>
    <w:rsid w:val="5F164E25"/>
    <w:rsid w:val="5F471AC2"/>
    <w:rsid w:val="5FB69B5A"/>
    <w:rsid w:val="5FCB7576"/>
    <w:rsid w:val="5FFE018B"/>
    <w:rsid w:val="632534F4"/>
    <w:rsid w:val="634B13AE"/>
    <w:rsid w:val="63E63F2C"/>
    <w:rsid w:val="64CF52FE"/>
    <w:rsid w:val="6593536E"/>
    <w:rsid w:val="663208B5"/>
    <w:rsid w:val="66764F77"/>
    <w:rsid w:val="669C0D9A"/>
    <w:rsid w:val="675C0F32"/>
    <w:rsid w:val="67BB4F53"/>
    <w:rsid w:val="6A7722E5"/>
    <w:rsid w:val="6B654A73"/>
    <w:rsid w:val="6B7F7FFF"/>
    <w:rsid w:val="6B904981"/>
    <w:rsid w:val="6C0635FF"/>
    <w:rsid w:val="6DE76745"/>
    <w:rsid w:val="6E4A64C0"/>
    <w:rsid w:val="6EB02870"/>
    <w:rsid w:val="6EFD9FAE"/>
    <w:rsid w:val="70EB475C"/>
    <w:rsid w:val="72A1585B"/>
    <w:rsid w:val="72A655BC"/>
    <w:rsid w:val="72F7369B"/>
    <w:rsid w:val="73F56676"/>
    <w:rsid w:val="7424250F"/>
    <w:rsid w:val="742451C0"/>
    <w:rsid w:val="75197380"/>
    <w:rsid w:val="766F4582"/>
    <w:rsid w:val="76E20CBC"/>
    <w:rsid w:val="77CC4474"/>
    <w:rsid w:val="78583DE5"/>
    <w:rsid w:val="789328D0"/>
    <w:rsid w:val="78B348AB"/>
    <w:rsid w:val="79C36A99"/>
    <w:rsid w:val="7A742C8C"/>
    <w:rsid w:val="7AFC261C"/>
    <w:rsid w:val="7B630DFC"/>
    <w:rsid w:val="7BB8348D"/>
    <w:rsid w:val="7BD46E25"/>
    <w:rsid w:val="7C385B5E"/>
    <w:rsid w:val="7D7E14C5"/>
    <w:rsid w:val="7D7F5600"/>
    <w:rsid w:val="7DB279D3"/>
    <w:rsid w:val="7E0D60CE"/>
    <w:rsid w:val="7EBA13B9"/>
    <w:rsid w:val="7EDB52D0"/>
    <w:rsid w:val="BFFFD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Arial" w:hAnsi="Arial" w:cs="Arial"/>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semiHidden/>
    <w:unhideWhenUsed/>
    <w:qFormat/>
    <w:uiPriority w:val="99"/>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脚 字符"/>
    <w:basedOn w:val="11"/>
    <w:link w:val="6"/>
    <w:qFormat/>
    <w:uiPriority w:val="0"/>
    <w:rPr>
      <w:rFonts w:ascii="Times New Roman" w:hAnsi="Times New Roman" w:eastAsia="宋体" w:cs="Times New Roman"/>
      <w:sz w:val="18"/>
      <w:szCs w:val="18"/>
    </w:rPr>
  </w:style>
  <w:style w:type="paragraph" w:customStyle="1" w:styleId="15">
    <w:name w:val="005正文"/>
    <w:basedOn w:val="1"/>
    <w:link w:val="16"/>
    <w:qFormat/>
    <w:uiPriority w:val="0"/>
    <w:pPr>
      <w:spacing w:before="50" w:beforeLines="50" w:line="360" w:lineRule="auto"/>
      <w:ind w:firstLine="200" w:firstLineChars="200"/>
    </w:pPr>
    <w:rPr>
      <w:sz w:val="24"/>
      <w:szCs w:val="22"/>
    </w:rPr>
  </w:style>
  <w:style w:type="character" w:customStyle="1" w:styleId="16">
    <w:name w:val="005正文 Char"/>
    <w:link w:val="15"/>
    <w:qFormat/>
    <w:uiPriority w:val="0"/>
    <w:rPr>
      <w:rFonts w:ascii="Times New Roman" w:hAnsi="Times New Roman" w:eastAsia="宋体" w:cs="Times New Roman"/>
      <w:sz w:val="24"/>
    </w:rPr>
  </w:style>
  <w:style w:type="character" w:customStyle="1" w:styleId="17">
    <w:name w:val="页眉 字符"/>
    <w:basedOn w:val="11"/>
    <w:link w:val="7"/>
    <w:qFormat/>
    <w:uiPriority w:val="99"/>
    <w:rPr>
      <w:rFonts w:ascii="Times New Roman" w:hAnsi="Times New Roman" w:eastAsia="宋体" w:cs="Times New Roman"/>
      <w:sz w:val="18"/>
      <w:szCs w:val="18"/>
    </w:rPr>
  </w:style>
  <w:style w:type="character" w:customStyle="1" w:styleId="18">
    <w:name w:val="批注文字 字符"/>
    <w:basedOn w:val="11"/>
    <w:link w:val="4"/>
    <w:semiHidden/>
    <w:qFormat/>
    <w:uiPriority w:val="99"/>
    <w:rPr>
      <w:kern w:val="2"/>
      <w:sz w:val="21"/>
      <w:szCs w:val="24"/>
    </w:rPr>
  </w:style>
  <w:style w:type="character" w:customStyle="1" w:styleId="19">
    <w:name w:val="批注主题 字符"/>
    <w:basedOn w:val="18"/>
    <w:link w:val="8"/>
    <w:semiHidden/>
    <w:qFormat/>
    <w:uiPriority w:val="99"/>
    <w:rPr>
      <w:b/>
      <w:bCs/>
      <w:kern w:val="2"/>
      <w:sz w:val="21"/>
      <w:szCs w:val="24"/>
    </w:rPr>
  </w:style>
  <w:style w:type="character" w:customStyle="1" w:styleId="20">
    <w:name w:val="批注框文本 字符"/>
    <w:basedOn w:val="11"/>
    <w:link w:val="5"/>
    <w:semiHidden/>
    <w:qFormat/>
    <w:uiPriority w:val="99"/>
    <w:rPr>
      <w:kern w:val="2"/>
      <w:sz w:val="18"/>
      <w:szCs w:val="18"/>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标题 1 字符"/>
    <w:basedOn w:val="11"/>
    <w:link w:val="2"/>
    <w:qFormat/>
    <w:uiPriority w:val="9"/>
    <w:rPr>
      <w:rFonts w:ascii="Arial" w:hAnsi="Arial" w:cs="Arial"/>
      <w:b/>
      <w:bCs/>
      <w:kern w:val="44"/>
      <w:sz w:val="44"/>
      <w:szCs w:val="44"/>
    </w:rPr>
  </w:style>
  <w:style w:type="character" w:customStyle="1" w:styleId="23">
    <w:name w:val="标题 2 字符"/>
    <w:basedOn w:val="11"/>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5377F5C2-FF11-42B3-BCC3-30931E829542}">
  <ds:schemaRefs/>
</ds:datastoreItem>
</file>

<file path=docProps/app.xml><?xml version="1.0" encoding="utf-8"?>
<Properties xmlns="http://schemas.openxmlformats.org/officeDocument/2006/extended-properties" xmlns:vt="http://schemas.openxmlformats.org/officeDocument/2006/docPropsVTypes">
  <Template>Normal</Template>
  <Company>北京天智航医疗科技股份有限公司</Company>
  <Pages>4</Pages>
  <Words>2068</Words>
  <Characters>2149</Characters>
  <Lines>17</Lines>
  <Paragraphs>4</Paragraphs>
  <TotalTime>4</TotalTime>
  <ScaleCrop>false</ScaleCrop>
  <LinksUpToDate>false</LinksUpToDate>
  <CharactersWithSpaces>2306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2020-09-07T14:34:00Z</dcterms:created>
  <dc:creator>gxc</dc:creator>
  <cp:lastModifiedBy>SXY</cp:lastModifiedBy>
  <cp:lastPrinted>2021-08-27T14:45:00Z</cp:lastPrinted>
  <dcterms:modified xsi:type="dcterms:W3CDTF">2025-08-29T08:03:22Z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3564F53EE4F54B5BB305298DDC3680D7_13</vt:lpwstr>
  </property>
  <property fmtid="{D5CDD505-2E9C-101B-9397-08002B2CF9AE}" pid="4" name="KSOTemplateDocerSaveRecord">
    <vt:lpwstr>eyJoZGlkIjoiNjlhZWRjZDdiODUwMmE2OTg3YmU2NTUyYzY2ZjNiNWMiLCJ1c2VySWQiOiIxMDE2NDAzMjM2In0=</vt:lpwstr>
  </property>
</Properties>
</file>