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9A5AB37E">
      <w:pPr>
        <w:pStyle w:val="style0"/>
        <w:spacing w:before="156" w:beforeLines="50" w:after="156" w:afterLines="50" w:lineRule="exact" w:line="400"/>
        <w:ind w:right="240"/>
        <w:jc w:val="right"/>
        <w:rPr>
          <w:bCs/>
          <w:iCs/>
          <w:color w:val="000000"/>
          <w:sz w:val="24"/>
        </w:rPr>
      </w:pPr>
      <w:r>
        <w:rPr>
          <w:bCs/>
          <w:iCs/>
          <w:color w:val="000000"/>
          <w:sz w:val="24"/>
        </w:rPr>
        <w:t xml:space="preserve">证券代码：688362                                 证券简称：甬矽电子    </w:t>
      </w:r>
    </w:p>
    <w:p w14:paraId="F4367694">
      <w:pPr>
        <w:pStyle w:val="style0"/>
        <w:spacing w:lineRule="auto" w:line="360"/>
        <w:jc w:val="center"/>
        <w:rPr>
          <w:b/>
          <w:bCs/>
          <w:iCs/>
          <w:color w:val="000000"/>
          <w:sz w:val="28"/>
        </w:rPr>
      </w:pPr>
      <w:r>
        <w:rPr>
          <w:b/>
          <w:bCs/>
          <w:sz w:val="28"/>
        </w:rPr>
        <w:t>甬矽电子（宁波）</w:t>
      </w:r>
      <w:r>
        <w:rPr>
          <w:b/>
          <w:bCs/>
          <w:iCs/>
          <w:color w:val="000000"/>
          <w:sz w:val="28"/>
        </w:rPr>
        <w:t>股份有限公司投资者关系活动记录表</w:t>
      </w:r>
    </w:p>
    <w:p w14:paraId="E9C2894F">
      <w:pPr>
        <w:pStyle w:val="style0"/>
        <w:spacing w:lineRule="exact" w:line="400"/>
        <w:jc w:val="right"/>
        <w:rPr>
          <w:bCs/>
          <w:iCs/>
          <w:color w:val="000000"/>
          <w:sz w:val="24"/>
        </w:rPr>
      </w:pPr>
      <w:r>
        <w:rPr>
          <w:bCs/>
          <w:iCs/>
          <w:color w:val="000000"/>
          <w:sz w:val="24"/>
        </w:rPr>
        <w:t>编号：202</w:t>
      </w:r>
      <w:r>
        <w:rPr>
          <w:rFonts w:hint="eastAsia"/>
          <w:bCs/>
          <w:iCs/>
          <w:color w:val="000000"/>
          <w:sz w:val="24"/>
        </w:rPr>
        <w:t>5</w:t>
      </w:r>
      <w:r>
        <w:rPr>
          <w:bCs/>
          <w:iCs/>
          <w:color w:val="000000"/>
          <w:sz w:val="24"/>
        </w:rPr>
        <w:t>-0</w:t>
      </w:r>
      <w:r>
        <w:rPr>
          <w:rFonts w:hint="eastAsia"/>
          <w:bCs/>
          <w:iCs/>
          <w:color w:val="000000"/>
          <w:sz w:val="24"/>
        </w:rPr>
        <w:t>09</w:t>
      </w:r>
    </w:p>
    <w:tbl>
      <w:tblPr>
        <w:tblStyle w:val="style105"/>
        <w:tblW w:w="8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876"/>
        <w:gridCol w:w="6048"/>
      </w:tblGrid>
      <w:tr w14:paraId="2CCC37A4">
        <w:trPr>
          <w:jc w:val="center"/>
        </w:trPr>
        <w:tc>
          <w:tcPr>
            <w:tcW w:w="2876" w:type="dxa"/>
            <w:tcBorders>
              <w:top w:val="single" w:sz="4" w:space="0" w:color="auto"/>
              <w:left w:val="single" w:sz="4" w:space="0" w:color="auto"/>
              <w:bottom w:val="single" w:sz="4" w:space="0" w:color="auto"/>
              <w:right w:val="single" w:sz="4" w:space="0" w:color="auto"/>
            </w:tcBorders>
            <w:shd w:val="clear" w:color="auto" w:fill="auto"/>
            <w:vAlign w:val="center"/>
          </w:tcPr>
          <w:p w14:paraId="BCFB7022">
            <w:pPr>
              <w:pStyle w:val="style0"/>
              <w:spacing w:lineRule="auto" w:line="360"/>
              <w:rPr>
                <w:bCs/>
                <w:iCs/>
                <w:color w:val="000000"/>
                <w:sz w:val="24"/>
              </w:rPr>
            </w:pPr>
            <w:r>
              <w:rPr>
                <w:bCs/>
                <w:iCs/>
                <w:color w:val="000000"/>
                <w:sz w:val="24"/>
              </w:rPr>
              <w:t>投资者关系活动类别</w:t>
            </w:r>
          </w:p>
          <w:p w14:paraId="5E579DF1">
            <w:pPr>
              <w:pStyle w:val="style0"/>
              <w:spacing w:lineRule="auto" w:line="360"/>
              <w:rPr>
                <w:bCs/>
                <w:iCs/>
                <w:color w:val="000000"/>
                <w:sz w:val="24"/>
              </w:rPr>
            </w:pPr>
          </w:p>
        </w:tc>
        <w:tc>
          <w:tcPr>
            <w:tcW w:w="6048" w:type="dxa"/>
            <w:tcBorders>
              <w:top w:val="single" w:sz="4" w:space="0" w:color="auto"/>
              <w:left w:val="single" w:sz="4" w:space="0" w:color="auto"/>
              <w:bottom w:val="single" w:sz="4" w:space="0" w:color="auto"/>
              <w:right w:val="single" w:sz="4" w:space="0" w:color="auto"/>
            </w:tcBorders>
            <w:shd w:val="clear" w:color="auto" w:fill="auto"/>
          </w:tcPr>
          <w:p w14:paraId="95BA07BD">
            <w:pPr>
              <w:pStyle w:val="style0"/>
              <w:spacing w:lineRule="atLeast" w:line="480"/>
              <w:rPr>
                <w:bCs/>
                <w:iCs/>
                <w:color w:val="000000"/>
                <w:sz w:val="24"/>
              </w:rPr>
            </w:pPr>
            <w:r>
              <w:rPr>
                <w:bCs/>
                <w:iCs/>
                <w:color w:val="000000"/>
                <w:sz w:val="24"/>
              </w:rPr>
              <w:sym w:font="Wingdings 2" w:char="a3"/>
            </w:r>
            <w:r>
              <w:rPr>
                <w:sz w:val="24"/>
              </w:rPr>
              <w:t xml:space="preserve">特定对象调研        </w:t>
            </w:r>
            <w:r>
              <w:rPr>
                <w:rFonts w:hint="eastAsia"/>
                <w:bCs/>
                <w:iCs/>
                <w:color w:val="000000"/>
                <w:sz w:val="24"/>
              </w:rPr>
              <w:t>□</w:t>
            </w:r>
            <w:r>
              <w:rPr>
                <w:sz w:val="24"/>
              </w:rPr>
              <w:t>分析师会议</w:t>
            </w:r>
          </w:p>
          <w:p w14:paraId="3948D439">
            <w:pPr>
              <w:pStyle w:val="style0"/>
              <w:spacing w:lineRule="atLeast" w:line="480"/>
              <w:rPr>
                <w:bCs/>
                <w:iCs/>
                <w:color w:val="000000"/>
                <w:sz w:val="24"/>
              </w:rPr>
            </w:pPr>
            <w:r>
              <w:rPr>
                <w:rFonts w:hint="eastAsia"/>
                <w:bCs/>
                <w:iCs/>
                <w:color w:val="000000"/>
                <w:sz w:val="24"/>
              </w:rPr>
              <w:t>□</w:t>
            </w:r>
            <w:r>
              <w:rPr>
                <w:sz w:val="24"/>
              </w:rPr>
              <w:t xml:space="preserve">媒体采访            </w:t>
            </w:r>
            <w:r>
              <w:rPr>
                <w:bCs/>
                <w:iCs/>
                <w:color w:val="000000"/>
                <w:sz w:val="24"/>
              </w:rPr>
              <w:sym w:font="Wingdings 2" w:char="52"/>
            </w:r>
            <w:r>
              <w:rPr>
                <w:sz w:val="24"/>
              </w:rPr>
              <w:t>业绩说明会</w:t>
            </w:r>
          </w:p>
          <w:p w14:paraId="452647C9">
            <w:pPr>
              <w:pStyle w:val="style0"/>
              <w:spacing w:lineRule="atLeast" w:line="480"/>
              <w:rPr>
                <w:bCs/>
                <w:iCs/>
                <w:color w:val="000000"/>
                <w:sz w:val="24"/>
              </w:rPr>
            </w:pPr>
            <w:r>
              <w:rPr>
                <w:rFonts w:hint="eastAsia"/>
                <w:bCs/>
                <w:iCs/>
                <w:color w:val="000000"/>
                <w:sz w:val="24"/>
              </w:rPr>
              <w:t>□</w:t>
            </w:r>
            <w:r>
              <w:rPr>
                <w:sz w:val="24"/>
              </w:rPr>
              <w:t xml:space="preserve">新闻发布会          </w:t>
            </w:r>
            <w:r>
              <w:rPr>
                <w:rFonts w:hint="eastAsia"/>
                <w:bCs/>
                <w:iCs/>
                <w:color w:val="000000"/>
                <w:sz w:val="24"/>
              </w:rPr>
              <w:t>□</w:t>
            </w:r>
            <w:r>
              <w:rPr>
                <w:sz w:val="24"/>
              </w:rPr>
              <w:t>路演活动</w:t>
            </w:r>
          </w:p>
          <w:p w14:paraId="FEA06480">
            <w:pPr>
              <w:pStyle w:val="style0"/>
              <w:tabs>
                <w:tab w:val="left" w:leader="none" w:pos="3045"/>
                <w:tab w:val="center" w:leader="none" w:pos="3199"/>
              </w:tabs>
              <w:spacing w:lineRule="atLeast" w:line="480"/>
              <w:rPr>
                <w:bCs/>
                <w:iCs/>
                <w:color w:val="000000"/>
                <w:sz w:val="24"/>
              </w:rPr>
            </w:pPr>
            <w:r>
              <w:rPr>
                <w:bCs/>
                <w:iCs/>
                <w:color w:val="000000"/>
                <w:sz w:val="24"/>
              </w:rPr>
              <w:sym w:font="Wingdings 2" w:char="a3"/>
            </w:r>
            <w:r>
              <w:rPr>
                <w:sz w:val="24"/>
              </w:rPr>
              <w:t>现场参观</w:t>
            </w:r>
            <w:r>
              <w:rPr>
                <w:bCs/>
                <w:iCs/>
                <w:color w:val="000000"/>
                <w:sz w:val="24"/>
              </w:rPr>
              <w:tab/>
            </w:r>
          </w:p>
          <w:p w14:paraId="2FB22A85">
            <w:pPr>
              <w:pStyle w:val="style0"/>
              <w:tabs>
                <w:tab w:val="center" w:leader="none" w:pos="3199"/>
              </w:tabs>
              <w:spacing w:lineRule="atLeast" w:line="480"/>
              <w:rPr>
                <w:bCs/>
                <w:iCs/>
                <w:color w:val="000000"/>
                <w:sz w:val="24"/>
              </w:rPr>
            </w:pPr>
            <w:r>
              <w:rPr>
                <w:bCs/>
                <w:iCs/>
                <w:color w:val="000000"/>
                <w:sz w:val="24"/>
              </w:rPr>
              <w:sym w:font="Wingdings 2" w:char="a3"/>
            </w:r>
            <w:r>
              <w:rPr>
                <w:sz w:val="24"/>
              </w:rPr>
              <w:t>其他 （</w:t>
            </w:r>
            <w:r>
              <w:rPr>
                <w:sz w:val="24"/>
                <w:u w:val="single"/>
              </w:rPr>
              <w:t>电话会议）</w:t>
            </w:r>
          </w:p>
        </w:tc>
      </w:tr>
      <w:tr w14:paraId="EBADE1E1">
        <w:tblPrEx/>
        <w:trPr>
          <w:jc w:val="center"/>
        </w:trPr>
        <w:tc>
          <w:tcPr>
            <w:tcW w:w="2876" w:type="dxa"/>
            <w:tcBorders>
              <w:top w:val="single" w:sz="4" w:space="0" w:color="auto"/>
              <w:left w:val="single" w:sz="4" w:space="0" w:color="auto"/>
              <w:bottom w:val="single" w:sz="4" w:space="0" w:color="auto"/>
              <w:right w:val="single" w:sz="4" w:space="0" w:color="auto"/>
            </w:tcBorders>
            <w:shd w:val="clear" w:color="auto" w:fill="auto"/>
            <w:vAlign w:val="center"/>
          </w:tcPr>
          <w:p w14:paraId="7A42D9EE">
            <w:pPr>
              <w:pStyle w:val="style0"/>
              <w:spacing w:lineRule="auto" w:line="360"/>
              <w:rPr>
                <w:bCs/>
                <w:iCs/>
                <w:color w:val="000000"/>
                <w:sz w:val="24"/>
              </w:rPr>
            </w:pPr>
            <w:r>
              <w:rPr>
                <w:bCs/>
                <w:iCs/>
                <w:color w:val="000000"/>
                <w:sz w:val="24"/>
              </w:rPr>
              <w:t>参与单位名称及人员姓名</w:t>
            </w:r>
          </w:p>
        </w:tc>
        <w:tc>
          <w:tcPr>
            <w:tcW w:w="6048" w:type="dxa"/>
            <w:tcBorders>
              <w:top w:val="single" w:sz="4" w:space="0" w:color="auto"/>
              <w:left w:val="single" w:sz="4" w:space="0" w:color="auto"/>
              <w:bottom w:val="single" w:sz="4" w:space="0" w:color="auto"/>
              <w:right w:val="single" w:sz="4" w:space="0" w:color="auto"/>
            </w:tcBorders>
            <w:shd w:val="clear" w:color="auto" w:fill="auto"/>
          </w:tcPr>
          <w:p w14:paraId="5AD220CE">
            <w:pPr>
              <w:pStyle w:val="style0"/>
              <w:spacing w:lineRule="auto" w:line="360"/>
              <w:rPr>
                <w:bCs/>
                <w:iCs/>
                <w:color w:val="000000"/>
                <w:sz w:val="24"/>
              </w:rPr>
            </w:pPr>
            <w:r>
              <w:rPr>
                <w:rFonts w:hint="eastAsia"/>
                <w:bCs/>
                <w:iCs/>
                <w:color w:val="000000"/>
                <w:sz w:val="24"/>
              </w:rPr>
              <w:t>详见附件</w:t>
            </w:r>
          </w:p>
        </w:tc>
      </w:tr>
      <w:tr w14:paraId="6FE68C4D">
        <w:tblPrEx/>
        <w:trPr>
          <w:jc w:val="center"/>
        </w:trPr>
        <w:tc>
          <w:tcPr>
            <w:tcW w:w="2876" w:type="dxa"/>
            <w:tcBorders>
              <w:top w:val="single" w:sz="4" w:space="0" w:color="auto"/>
              <w:left w:val="single" w:sz="4" w:space="0" w:color="auto"/>
              <w:bottom w:val="single" w:sz="4" w:space="0" w:color="auto"/>
              <w:right w:val="single" w:sz="4" w:space="0" w:color="auto"/>
            </w:tcBorders>
            <w:shd w:val="clear" w:color="auto" w:fill="auto"/>
            <w:vAlign w:val="center"/>
          </w:tcPr>
          <w:p w14:paraId="4C0A3130">
            <w:pPr>
              <w:pStyle w:val="style0"/>
              <w:spacing w:lineRule="auto" w:line="360"/>
              <w:rPr>
                <w:bCs/>
                <w:iCs/>
                <w:color w:val="000000"/>
                <w:sz w:val="24"/>
              </w:rPr>
            </w:pPr>
            <w:r>
              <w:rPr>
                <w:bCs/>
                <w:iCs/>
                <w:color w:val="000000"/>
                <w:sz w:val="24"/>
              </w:rPr>
              <w:t>时间</w:t>
            </w:r>
          </w:p>
        </w:tc>
        <w:tc>
          <w:tcPr>
            <w:tcW w:w="6048" w:type="dxa"/>
            <w:tcBorders>
              <w:top w:val="single" w:sz="4" w:space="0" w:color="auto"/>
              <w:left w:val="single" w:sz="4" w:space="0" w:color="auto"/>
              <w:bottom w:val="single" w:sz="4" w:space="0" w:color="auto"/>
              <w:right w:val="single" w:sz="4" w:space="0" w:color="auto"/>
            </w:tcBorders>
            <w:shd w:val="clear" w:color="auto" w:fill="auto"/>
          </w:tcPr>
          <w:p w14:paraId="99283115">
            <w:pPr>
              <w:pStyle w:val="style0"/>
              <w:spacing w:lineRule="auto" w:line="360"/>
              <w:rPr>
                <w:bCs/>
                <w:iCs/>
                <w:color w:val="000000"/>
                <w:sz w:val="24"/>
              </w:rPr>
            </w:pPr>
            <w:r>
              <w:rPr>
                <w:bCs/>
                <w:iCs/>
                <w:color w:val="000000"/>
                <w:sz w:val="24"/>
              </w:rPr>
              <w:t>202</w:t>
            </w:r>
            <w:r>
              <w:rPr>
                <w:rFonts w:hint="eastAsia"/>
                <w:bCs/>
                <w:iCs/>
                <w:color w:val="000000"/>
                <w:sz w:val="24"/>
              </w:rPr>
              <w:t>5</w:t>
            </w:r>
            <w:r>
              <w:rPr>
                <w:bCs/>
                <w:iCs/>
                <w:color w:val="000000"/>
                <w:sz w:val="24"/>
              </w:rPr>
              <w:t>年</w:t>
            </w:r>
            <w:r>
              <w:rPr>
                <w:rFonts w:hint="eastAsia"/>
                <w:bCs/>
                <w:iCs/>
                <w:color w:val="000000"/>
                <w:sz w:val="24"/>
              </w:rPr>
              <w:t>8</w:t>
            </w:r>
            <w:r>
              <w:rPr>
                <w:bCs/>
                <w:iCs/>
                <w:color w:val="000000"/>
                <w:sz w:val="24"/>
              </w:rPr>
              <w:t>月</w:t>
            </w:r>
          </w:p>
        </w:tc>
      </w:tr>
      <w:tr w14:paraId="66ACB2C0">
        <w:tblPrEx/>
        <w:trPr>
          <w:jc w:val="center"/>
        </w:trPr>
        <w:tc>
          <w:tcPr>
            <w:tcW w:w="2876" w:type="dxa"/>
            <w:tcBorders>
              <w:top w:val="single" w:sz="4" w:space="0" w:color="auto"/>
              <w:left w:val="single" w:sz="4" w:space="0" w:color="auto"/>
              <w:bottom w:val="single" w:sz="4" w:space="0" w:color="auto"/>
              <w:right w:val="single" w:sz="4" w:space="0" w:color="auto"/>
            </w:tcBorders>
            <w:shd w:val="clear" w:color="auto" w:fill="auto"/>
            <w:vAlign w:val="center"/>
          </w:tcPr>
          <w:p w14:paraId="3377DC82">
            <w:pPr>
              <w:pStyle w:val="style0"/>
              <w:spacing w:lineRule="auto" w:line="360"/>
              <w:rPr>
                <w:bCs/>
                <w:iCs/>
                <w:color w:val="000000"/>
                <w:sz w:val="24"/>
              </w:rPr>
            </w:pPr>
            <w:r>
              <w:rPr>
                <w:bCs/>
                <w:iCs/>
                <w:color w:val="000000"/>
                <w:sz w:val="24"/>
              </w:rPr>
              <w:t>地点</w:t>
            </w:r>
          </w:p>
        </w:tc>
        <w:tc>
          <w:tcPr>
            <w:tcW w:w="6048" w:type="dxa"/>
            <w:tcBorders>
              <w:top w:val="single" w:sz="4" w:space="0" w:color="auto"/>
              <w:left w:val="single" w:sz="4" w:space="0" w:color="auto"/>
              <w:bottom w:val="single" w:sz="4" w:space="0" w:color="auto"/>
              <w:right w:val="single" w:sz="4" w:space="0" w:color="auto"/>
            </w:tcBorders>
            <w:shd w:val="clear" w:color="auto" w:fill="auto"/>
          </w:tcPr>
          <w:p w14:paraId="EAEFEF0C">
            <w:pPr>
              <w:pStyle w:val="style0"/>
              <w:spacing w:lineRule="auto" w:line="360"/>
              <w:rPr>
                <w:bCs/>
                <w:iCs/>
                <w:color w:val="000000"/>
                <w:sz w:val="24"/>
              </w:rPr>
            </w:pPr>
            <w:r>
              <w:rPr>
                <w:rFonts w:hint="eastAsia"/>
                <w:bCs/>
                <w:iCs/>
                <w:color w:val="000000"/>
                <w:sz w:val="24"/>
              </w:rPr>
              <w:t>公司会议室</w:t>
            </w:r>
          </w:p>
        </w:tc>
      </w:tr>
      <w:tr w14:paraId="B5E4B7A5">
        <w:tblPrEx/>
        <w:trPr>
          <w:jc w:val="center"/>
        </w:trPr>
        <w:tc>
          <w:tcPr>
            <w:tcW w:w="2876" w:type="dxa"/>
            <w:tcBorders>
              <w:top w:val="single" w:sz="4" w:space="0" w:color="auto"/>
              <w:left w:val="single" w:sz="4" w:space="0" w:color="auto"/>
              <w:bottom w:val="single" w:sz="4" w:space="0" w:color="auto"/>
              <w:right w:val="single" w:sz="4" w:space="0" w:color="auto"/>
            </w:tcBorders>
            <w:shd w:val="clear" w:color="auto" w:fill="auto"/>
            <w:vAlign w:val="center"/>
          </w:tcPr>
          <w:p w14:paraId="F4BD287D">
            <w:pPr>
              <w:pStyle w:val="style0"/>
              <w:spacing w:lineRule="auto" w:line="360"/>
              <w:rPr>
                <w:bCs/>
                <w:iCs/>
                <w:color w:val="000000"/>
                <w:sz w:val="24"/>
              </w:rPr>
            </w:pPr>
            <w:r>
              <w:rPr>
                <w:bCs/>
                <w:iCs/>
                <w:color w:val="000000"/>
                <w:sz w:val="24"/>
              </w:rPr>
              <w:t>上市公司接待人员姓名</w:t>
            </w:r>
          </w:p>
        </w:tc>
        <w:tc>
          <w:tcPr>
            <w:tcW w:w="6048" w:type="dxa"/>
            <w:tcBorders>
              <w:top w:val="single" w:sz="4" w:space="0" w:color="auto"/>
              <w:left w:val="single" w:sz="4" w:space="0" w:color="auto"/>
              <w:bottom w:val="single" w:sz="4" w:space="0" w:color="auto"/>
              <w:right w:val="single" w:sz="4" w:space="0" w:color="auto"/>
            </w:tcBorders>
            <w:shd w:val="clear" w:color="auto" w:fill="auto"/>
          </w:tcPr>
          <w:p w14:paraId="A3E326BC">
            <w:pPr>
              <w:pStyle w:val="style0"/>
              <w:spacing w:lineRule="auto" w:line="360"/>
              <w:rPr>
                <w:bCs/>
                <w:iCs/>
                <w:color w:val="000000"/>
                <w:sz w:val="24"/>
              </w:rPr>
            </w:pPr>
            <w:r>
              <w:rPr>
                <w:rFonts w:hint="eastAsia"/>
                <w:bCs/>
                <w:iCs/>
                <w:color w:val="000000"/>
                <w:sz w:val="24"/>
              </w:rPr>
              <w:t>董事、CTO 徐玉鹏先生；财务总监、副总经理金良凯先生；董事会秘书、副总经理李大林先生</w:t>
            </w:r>
          </w:p>
        </w:tc>
      </w:tr>
      <w:tr w14:paraId="76DDF76D">
        <w:tblPrEx/>
        <w:trPr>
          <w:jc w:val="center"/>
        </w:trPr>
        <w:tc>
          <w:tcPr>
            <w:tcW w:w="2876" w:type="dxa"/>
            <w:tcBorders>
              <w:top w:val="single" w:sz="4" w:space="0" w:color="auto"/>
              <w:left w:val="single" w:sz="4" w:space="0" w:color="auto"/>
              <w:bottom w:val="single" w:sz="4" w:space="0" w:color="auto"/>
              <w:right w:val="single" w:sz="4" w:space="0" w:color="auto"/>
            </w:tcBorders>
            <w:shd w:val="clear" w:color="auto" w:fill="auto"/>
            <w:vAlign w:val="center"/>
          </w:tcPr>
          <w:p w14:paraId="07FC3E70">
            <w:pPr>
              <w:pStyle w:val="style0"/>
              <w:spacing w:lineRule="atLeast" w:line="480"/>
              <w:rPr>
                <w:bCs/>
                <w:iCs/>
                <w:color w:val="000000"/>
                <w:sz w:val="24"/>
              </w:rPr>
            </w:pPr>
            <w:r>
              <w:rPr>
                <w:bCs/>
                <w:iCs/>
                <w:color w:val="000000"/>
                <w:sz w:val="24"/>
              </w:rPr>
              <w:t>投资者关系活动主要内容介绍</w:t>
            </w:r>
          </w:p>
        </w:tc>
        <w:tc>
          <w:tcPr>
            <w:tcW w:w="6048" w:type="dxa"/>
            <w:tcBorders>
              <w:top w:val="single" w:sz="4" w:space="0" w:color="auto"/>
              <w:left w:val="single" w:sz="4" w:space="0" w:color="auto"/>
              <w:bottom w:val="single" w:sz="4" w:space="0" w:color="auto"/>
              <w:right w:val="single" w:sz="4" w:space="0" w:color="auto"/>
            </w:tcBorders>
            <w:shd w:val="clear" w:color="auto" w:fill="auto"/>
          </w:tcPr>
          <w:p w14:paraId="84B6AD7F">
            <w:pPr>
              <w:pStyle w:val="style0"/>
              <w:widowControl/>
              <w:spacing w:lineRule="auto" w:line="360"/>
              <w:ind w:firstLine="482" w:firstLineChars="200"/>
              <w:rPr>
                <w:b/>
                <w:bCs/>
                <w:sz w:val="24"/>
              </w:rPr>
            </w:pPr>
            <w:r>
              <w:rPr>
                <w:rFonts w:hint="eastAsia"/>
                <w:b/>
                <w:bCs/>
                <w:sz w:val="24"/>
              </w:rPr>
              <w:t>1、2025年上半年公司整体经营情况？</w:t>
            </w:r>
          </w:p>
          <w:p w14:paraId="48AE13B2">
            <w:pPr>
              <w:pStyle w:val="style0"/>
              <w:widowControl/>
              <w:spacing w:lineRule="auto" w:line="360"/>
              <w:ind w:firstLine="480" w:firstLineChars="200"/>
              <w:rPr>
                <w:sz w:val="24"/>
              </w:rPr>
            </w:pPr>
            <w:r>
              <w:rPr>
                <w:rFonts w:hint="eastAsia"/>
                <w:sz w:val="24"/>
              </w:rPr>
              <w:t>2025 年上半年，随着全球终端消费市场持续回暖，产业链去库存周期基本结束，叠加 AI 应用场景不断涌现，集成电路行业整体景气度回升明显。2</w:t>
            </w:r>
            <w:r>
              <w:rPr>
                <w:sz w:val="24"/>
              </w:rPr>
              <w:t>025</w:t>
            </w:r>
            <w:r>
              <w:rPr>
                <w:rFonts w:hint="eastAsia"/>
                <w:sz w:val="24"/>
              </w:rPr>
              <w:t>年上半年，得益于海外大客户的持续放量和国内核心端侧SoC客户群的成长，公司实现营业收入 201,028.74 万元，同比增长 23.37%，其中第二季度单季度同比增长为17.93%，环比增长约为12.62%，创造了公司单季度营收的历史新高。实现归属于上市公司所有者的净利润 3,031.91 万元，较上年同期增长 150.45%。毛利率方面，上半年公司整体毛利率达15.61%，其中第二季度单季度毛利率达16.87%，环比增长2.68个百分点，与去年第四季度基本持平。</w:t>
            </w:r>
          </w:p>
          <w:p w14:paraId="C0217D08">
            <w:pPr>
              <w:pStyle w:val="style0"/>
              <w:widowControl/>
              <w:spacing w:lineRule="auto" w:line="360"/>
              <w:ind w:firstLine="480" w:firstLineChars="200"/>
              <w:rPr>
                <w:sz w:val="24"/>
              </w:rPr>
            </w:pPr>
            <w:r>
              <w:rPr>
                <w:rFonts w:hint="eastAsia"/>
                <w:sz w:val="24"/>
              </w:rPr>
              <w:t>固定资产方面，今年上半年公司在建工程转固约1</w:t>
            </w:r>
            <w:r>
              <w:rPr>
                <w:sz w:val="24"/>
              </w:rPr>
              <w:t>2</w:t>
            </w:r>
            <w:r>
              <w:rPr>
                <w:rFonts w:hint="eastAsia"/>
                <w:sz w:val="24"/>
              </w:rPr>
              <w:t>亿，当期</w:t>
            </w:r>
            <w:r>
              <w:rPr>
                <w:rFonts w:hint="eastAsia"/>
                <w:sz w:val="24"/>
                <w:lang w:val="en-US" w:eastAsia="zh-CN"/>
              </w:rPr>
              <w:t>固定资产折旧金额</w:t>
            </w:r>
            <w:r>
              <w:rPr>
                <w:rFonts w:hint="eastAsia"/>
                <w:sz w:val="24"/>
              </w:rPr>
              <w:t>大约为</w:t>
            </w:r>
            <w:r>
              <w:rPr>
                <w:sz w:val="24"/>
              </w:rPr>
              <w:t>4.5</w:t>
            </w:r>
            <w:r>
              <w:rPr>
                <w:rFonts w:hint="eastAsia"/>
                <w:sz w:val="24"/>
              </w:rPr>
              <w:t>亿。</w:t>
            </w:r>
          </w:p>
          <w:p w14:paraId="DC68CD31">
            <w:pPr>
              <w:pStyle w:val="style0"/>
              <w:widowControl/>
              <w:spacing w:lineRule="auto" w:line="360"/>
              <w:ind w:firstLine="480" w:firstLineChars="200"/>
              <w:rPr>
                <w:sz w:val="24"/>
              </w:rPr>
            </w:pPr>
            <w:r>
              <w:rPr>
                <w:rFonts w:hint="eastAsia"/>
                <w:sz w:val="24"/>
              </w:rPr>
              <w:t>期间费用方面，在持续扩产的情况下，公司毛利率依旧稳步回升，公司在产品结构和成本管控方面的优势也逐步凸显，今年上半年的管理费用率从去年同期的8%下降到6.61%，财务费用率从去年同期的6.07%下降到5.15%，规模效应进一步显现。</w:t>
            </w:r>
          </w:p>
          <w:p w14:paraId="85C6501E">
            <w:pPr>
              <w:pStyle w:val="style0"/>
              <w:widowControl/>
              <w:spacing w:lineRule="auto" w:line="360"/>
              <w:ind w:firstLine="480" w:firstLineChars="200"/>
              <w:rPr>
                <w:sz w:val="24"/>
              </w:rPr>
            </w:pPr>
            <w:r>
              <w:rPr>
                <w:rFonts w:hint="eastAsia"/>
                <w:sz w:val="24"/>
              </w:rPr>
              <w:t>研发投入方面，公司持续投向先进封装领域，今年上半年研发投入同比增长51.28%，占比营收7.07%。</w:t>
            </w:r>
          </w:p>
          <w:p w14:paraId="12935EC4">
            <w:pPr>
              <w:pStyle w:val="style0"/>
              <w:widowControl/>
              <w:spacing w:lineRule="auto" w:line="360"/>
              <w:ind w:firstLine="480" w:firstLineChars="200"/>
              <w:rPr>
                <w:sz w:val="24"/>
              </w:rPr>
            </w:pPr>
            <w:r>
              <w:rPr>
                <w:rFonts w:hint="eastAsia"/>
                <w:sz w:val="24"/>
              </w:rPr>
              <w:t>产品结构方面，公司各产品线的营收都有所增长，QFN、FC和晶圆级产品的增长速度较为突出，FC和晶圆级封装产品是公司二期项目主要投资方向，今年上半年晶圆级封装整体营收超过8,500万元，同比增速超过150%。上半年SiP类产品营收占比约40%，QFN营收占比约为38%，FC产品营收占比约15%，晶圆级封装营收占比约4%。</w:t>
            </w:r>
          </w:p>
          <w:p w14:paraId="80ADD5A9">
            <w:pPr>
              <w:pStyle w:val="style0"/>
              <w:widowControl/>
              <w:spacing w:lineRule="auto" w:line="360"/>
              <w:ind w:firstLine="480" w:firstLineChars="200"/>
              <w:rPr>
                <w:sz w:val="24"/>
              </w:rPr>
            </w:pPr>
            <w:r>
              <w:rPr>
                <w:rFonts w:hint="eastAsia"/>
                <w:sz w:val="24"/>
              </w:rPr>
              <w:t>客户结构方面，海外客户上量较快，营收占比接近25%，同比增长超过130%。</w:t>
            </w:r>
          </w:p>
          <w:p w14:paraId="26FEDB9D">
            <w:pPr>
              <w:pStyle w:val="style0"/>
              <w:widowControl/>
              <w:spacing w:lineRule="auto" w:line="360"/>
              <w:ind w:firstLine="480" w:firstLineChars="200"/>
              <w:rPr>
                <w:sz w:val="24"/>
              </w:rPr>
            </w:pPr>
            <w:r>
              <w:rPr>
                <w:rFonts w:hint="eastAsia"/>
                <w:sz w:val="24"/>
              </w:rPr>
              <w:t>从应用领域来看，AIoT占比接近70%，增速超过30%，PA和安防各占比约为10%，PA整体营收占比略有下滑，运算和车规产品合计占比10%左右，其中车规产品增速较快。</w:t>
            </w:r>
          </w:p>
          <w:p w14:paraId="0A9AD45F">
            <w:pPr>
              <w:pStyle w:val="style0"/>
              <w:widowControl/>
              <w:spacing w:lineRule="auto" w:line="360"/>
              <w:ind w:firstLine="480" w:firstLineChars="200"/>
              <w:rPr>
                <w:sz w:val="24"/>
              </w:rPr>
            </w:pPr>
            <w:r>
              <w:rPr>
                <w:rFonts w:hint="eastAsia"/>
                <w:sz w:val="24"/>
              </w:rPr>
              <w:t>新产品布局方面，公司在2.5D产线的进展整体较为顺利，目前在与客户做产品验证。技术储备方面，公司目前已打造HCOS系列封装平台，为公司后续发展奠定技术基础。</w:t>
            </w:r>
          </w:p>
          <w:p w14:paraId="C654506D">
            <w:pPr>
              <w:pStyle w:val="style0"/>
              <w:widowControl/>
              <w:spacing w:lineRule="auto" w:line="360"/>
              <w:ind w:firstLine="482" w:firstLineChars="200"/>
              <w:rPr>
                <w:sz w:val="24"/>
              </w:rPr>
            </w:pPr>
            <w:r>
              <w:rPr>
                <w:rFonts w:hint="eastAsia"/>
                <w:b/>
                <w:bCs/>
                <w:sz w:val="24"/>
              </w:rPr>
              <w:t>2、从稼动率方面展望公司未来的营收增长情况？</w:t>
            </w:r>
            <w:r>
              <w:rPr>
                <w:b/>
                <w:bCs/>
                <w:sz w:val="24"/>
              </w:rPr>
              <w:t xml:space="preserve"> </w:t>
            </w:r>
            <w:r>
              <w:rPr>
                <w:sz w:val="24"/>
              </w:rPr>
              <w:t xml:space="preserve"> </w:t>
            </w:r>
          </w:p>
          <w:p w14:paraId="B7C4E1E8">
            <w:pPr>
              <w:pStyle w:val="style0"/>
              <w:widowControl/>
              <w:spacing w:lineRule="auto" w:line="360"/>
              <w:ind w:firstLine="480" w:firstLineChars="200"/>
              <w:rPr>
                <w:sz w:val="24"/>
              </w:rPr>
            </w:pPr>
            <w:r>
              <w:rPr>
                <w:rFonts w:hint="eastAsia"/>
                <w:sz w:val="24"/>
              </w:rPr>
              <w:t>从稼动率来看，公司目前稼动率较为饱满，预计下半年整体营收环比向上。</w:t>
            </w:r>
          </w:p>
          <w:p w14:paraId="77B5D8B1">
            <w:pPr>
              <w:pStyle w:val="style0"/>
              <w:widowControl/>
              <w:spacing w:lineRule="auto" w:line="360"/>
              <w:ind w:firstLine="482" w:firstLineChars="200"/>
              <w:rPr>
                <w:b/>
                <w:bCs/>
                <w:sz w:val="24"/>
              </w:rPr>
            </w:pPr>
            <w:r>
              <w:rPr>
                <w:rFonts w:hint="eastAsia"/>
                <w:b/>
                <w:bCs/>
                <w:sz w:val="24"/>
              </w:rPr>
              <w:t>3、公司未来毛利率趋势?公司的稳态毛利率水平</w:t>
            </w:r>
            <w:r>
              <w:rPr>
                <w:b/>
                <w:bCs/>
                <w:sz w:val="24"/>
              </w:rPr>
              <w:t>？</w:t>
            </w:r>
          </w:p>
          <w:p w14:paraId="F3E2C08F">
            <w:pPr>
              <w:pStyle w:val="style0"/>
              <w:widowControl/>
              <w:spacing w:lineRule="auto" w:line="360"/>
              <w:ind w:firstLine="480" w:firstLineChars="200"/>
              <w:rPr>
                <w:sz w:val="24"/>
              </w:rPr>
            </w:pPr>
            <w:r>
              <w:rPr>
                <w:rFonts w:hint="eastAsia"/>
                <w:sz w:val="24"/>
              </w:rPr>
              <w:t>影响毛利率的因素主要包括三方面：价格、产品结构以及稼动率。价格方面，目前封测行业价格处于相对稳定的状态；产品结构方面，公司先进封装产品占比持续提高，将会继续对毛利率产生正向影响；稼动率方面，公司晶圆级封装产能持续爬坡，随着这部分稼动率的提升，未来会持续对毛利率起到正向提升作用。</w:t>
            </w:r>
          </w:p>
          <w:p w14:paraId="10ED5A60">
            <w:pPr>
              <w:pStyle w:val="style0"/>
              <w:widowControl/>
              <w:spacing w:lineRule="auto" w:line="360"/>
              <w:ind w:firstLine="480" w:firstLineChars="200"/>
              <w:rPr>
                <w:sz w:val="24"/>
              </w:rPr>
            </w:pPr>
            <w:r>
              <w:rPr>
                <w:rFonts w:hint="eastAsia"/>
                <w:sz w:val="24"/>
              </w:rPr>
              <w:t>公司理想的稳态毛利率约25%~30%。</w:t>
            </w:r>
          </w:p>
          <w:p w14:paraId="BFF0EC59">
            <w:pPr>
              <w:pStyle w:val="style0"/>
              <w:widowControl/>
              <w:numPr>
                <w:ilvl w:val="255"/>
                <w:numId w:val="0"/>
              </w:numPr>
              <w:spacing w:lineRule="auto" w:line="360"/>
              <w:ind w:firstLine="482" w:firstLineChars="200"/>
              <w:rPr>
                <w:b/>
                <w:bCs/>
                <w:sz w:val="24"/>
              </w:rPr>
            </w:pPr>
            <w:r>
              <w:rPr>
                <w:rFonts w:hint="eastAsia"/>
                <w:b/>
                <w:bCs/>
                <w:sz w:val="24"/>
              </w:rPr>
              <w:t>4、海外客户营业收入占比提升趋势</w:t>
            </w:r>
            <w:r>
              <w:rPr>
                <w:b/>
                <w:bCs/>
                <w:sz w:val="24"/>
              </w:rPr>
              <w:t>？</w:t>
            </w:r>
          </w:p>
          <w:p w14:paraId="F897DFB1">
            <w:pPr>
              <w:pStyle w:val="style0"/>
              <w:widowControl/>
              <w:spacing w:lineRule="auto" w:line="360"/>
              <w:ind w:firstLine="480" w:firstLineChars="200"/>
              <w:rPr>
                <w:sz w:val="24"/>
              </w:rPr>
            </w:pPr>
            <w:r>
              <w:rPr>
                <w:rFonts w:hint="eastAsia"/>
                <w:sz w:val="24"/>
              </w:rPr>
              <w:t>基于目前政策环境，海外客户有寻求供应链本土化的考量。随着与现有海外客户的深入合作以及新的海外客户的拓展，未来海外营收增速预计将会超过公司整体营收增速，海外营收占比会有所提升。</w:t>
            </w:r>
          </w:p>
          <w:p w14:paraId="6081532F">
            <w:pPr>
              <w:pStyle w:val="style0"/>
              <w:widowControl/>
              <w:spacing w:lineRule="auto" w:line="360"/>
              <w:ind w:firstLine="482" w:firstLineChars="200"/>
              <w:rPr>
                <w:b/>
                <w:bCs/>
                <w:sz w:val="24"/>
              </w:rPr>
            </w:pPr>
            <w:r>
              <w:rPr>
                <w:rFonts w:hint="eastAsia"/>
                <w:b/>
                <w:bCs/>
                <w:sz w:val="24"/>
              </w:rPr>
              <w:t>5、公司2.5D先进封装进展？</w:t>
            </w:r>
          </w:p>
          <w:p w14:paraId="09138DA1">
            <w:pPr>
              <w:pStyle w:val="style0"/>
              <w:widowControl/>
              <w:spacing w:lineRule="auto" w:line="360"/>
              <w:ind w:firstLine="480" w:firstLineChars="200"/>
              <w:rPr>
                <w:sz w:val="24"/>
              </w:rPr>
            </w:pPr>
            <w:r>
              <w:rPr>
                <w:rFonts w:hint="eastAsia"/>
                <w:sz w:val="24"/>
              </w:rPr>
              <w:t>公司2.5D封装已于2024年四季度完成通线，目前正积极与客户进行产品验证。</w:t>
            </w:r>
          </w:p>
          <w:p w14:paraId="5C331712">
            <w:pPr>
              <w:pStyle w:val="style0"/>
              <w:widowControl/>
              <w:numPr>
                <w:ilvl w:val="255"/>
                <w:numId w:val="0"/>
              </w:numPr>
              <w:spacing w:lineRule="auto" w:line="360"/>
              <w:ind w:firstLine="482" w:firstLineChars="200"/>
              <w:rPr>
                <w:b/>
                <w:bCs/>
                <w:sz w:val="24"/>
              </w:rPr>
            </w:pPr>
            <w:r>
              <w:rPr>
                <w:rFonts w:hint="eastAsia"/>
                <w:b/>
                <w:bCs/>
                <w:sz w:val="24"/>
              </w:rPr>
              <w:t>6、公司在AI领域的业务布局和客户开拓情况</w:t>
            </w:r>
            <w:r>
              <w:rPr>
                <w:b/>
                <w:bCs/>
                <w:sz w:val="24"/>
              </w:rPr>
              <w:t>？</w:t>
            </w:r>
          </w:p>
          <w:p w14:paraId="9A77FC87">
            <w:pPr>
              <w:pStyle w:val="style0"/>
              <w:widowControl/>
              <w:spacing w:lineRule="auto" w:line="360"/>
              <w:ind w:firstLine="480" w:firstLineChars="200"/>
              <w:rPr>
                <w:sz w:val="24"/>
              </w:rPr>
            </w:pPr>
            <w:r>
              <w:rPr>
                <w:rFonts w:hint="eastAsia"/>
                <w:sz w:val="24"/>
              </w:rPr>
              <w:t>基于AI对先进封装需求场景的持续涌现，公司结合目前</w:t>
            </w:r>
            <w:r>
              <w:rPr>
                <w:rFonts w:hint="eastAsia"/>
                <w:sz w:val="24"/>
                <w:lang w:val="en-US" w:eastAsia="zh-CN"/>
              </w:rPr>
              <w:t>云</w:t>
            </w:r>
            <w:r w:rsidR="03C97E21">
              <w:rPr>
                <w:rFonts w:hint="default"/>
                <w:sz w:val="24"/>
                <w:lang w:val="en-US" w:eastAsia="zh-CN"/>
              </w:rPr>
              <w:t>侧</w:t>
            </w:r>
            <w:r>
              <w:rPr>
                <w:rFonts w:hint="eastAsia"/>
                <w:sz w:val="24"/>
                <w:lang w:val="en-US" w:eastAsia="zh-CN"/>
              </w:rPr>
              <w:t>和</w:t>
            </w:r>
            <w:r>
              <w:rPr>
                <w:rFonts w:hint="eastAsia"/>
                <w:sz w:val="24"/>
              </w:rPr>
              <w:t>端侧AI的封装需求，积极推进2.5D封装方案，公司在持续与客户对接相关需求。</w:t>
            </w:r>
            <w:bookmarkStart w:id="0" w:name="_GoBack"/>
            <w:bookmarkEnd w:id="0"/>
          </w:p>
          <w:p w14:paraId="3D6AF1AE">
            <w:pPr>
              <w:pStyle w:val="style0"/>
              <w:widowControl/>
              <w:spacing w:lineRule="auto" w:line="360"/>
              <w:ind w:firstLine="482" w:firstLineChars="200"/>
              <w:rPr>
                <w:b/>
                <w:bCs/>
                <w:sz w:val="24"/>
              </w:rPr>
            </w:pPr>
            <w:r>
              <w:rPr>
                <w:rFonts w:hint="eastAsia"/>
                <w:b/>
                <w:bCs/>
                <w:sz w:val="24"/>
              </w:rPr>
              <w:t>7、公司主要大客户情况以及大客户营收占比趋势</w:t>
            </w:r>
            <w:r>
              <w:rPr>
                <w:b/>
                <w:bCs/>
                <w:sz w:val="24"/>
              </w:rPr>
              <w:t>？</w:t>
            </w:r>
          </w:p>
          <w:p w14:paraId="07EB3809">
            <w:pPr>
              <w:pStyle w:val="style0"/>
              <w:widowControl/>
              <w:spacing w:lineRule="auto" w:line="360"/>
              <w:ind w:firstLine="480" w:firstLineChars="200"/>
              <w:rPr>
                <w:sz w:val="24"/>
              </w:rPr>
            </w:pPr>
            <w:r>
              <w:rPr>
                <w:rFonts w:hint="eastAsia"/>
                <w:sz w:val="24"/>
              </w:rPr>
              <w:t>目前公司前十大客户包括各细分领域的龙头设计公司以及台系头部设计公司，未来大客户营收占比会持续提升，客户集中度将进一步提高。</w:t>
            </w:r>
          </w:p>
          <w:p w14:paraId="E27D3D53">
            <w:pPr>
              <w:pStyle w:val="style0"/>
              <w:widowControl/>
              <w:numPr>
                <w:ilvl w:val="255"/>
                <w:numId w:val="0"/>
              </w:numPr>
              <w:spacing w:lineRule="auto" w:line="360"/>
              <w:ind w:firstLine="482" w:firstLineChars="200"/>
              <w:rPr>
                <w:b/>
                <w:bCs/>
                <w:sz w:val="24"/>
              </w:rPr>
            </w:pPr>
            <w:r>
              <w:rPr>
                <w:rFonts w:hint="eastAsia"/>
                <w:b/>
                <w:bCs/>
                <w:sz w:val="24"/>
              </w:rPr>
              <w:t>8、今年整体资本开支规划</w:t>
            </w:r>
            <w:r>
              <w:rPr>
                <w:b/>
                <w:bCs/>
                <w:sz w:val="24"/>
              </w:rPr>
              <w:t>？</w:t>
            </w:r>
          </w:p>
          <w:p w14:paraId="B938E024">
            <w:pPr>
              <w:pStyle w:val="style0"/>
              <w:widowControl/>
              <w:spacing w:lineRule="auto" w:line="360"/>
              <w:ind w:firstLine="480" w:firstLineChars="200"/>
              <w:rPr>
                <w:sz w:val="24"/>
              </w:rPr>
            </w:pPr>
            <w:r>
              <w:rPr>
                <w:rFonts w:hint="eastAsia"/>
                <w:sz w:val="24"/>
              </w:rPr>
              <w:t>公司已审议的2025年资本开支规模在25亿元以内，较2024年保持稳定，主要投向包括现有产品线产能扩张、晶圆级封装及2.5D、FC-BGA等先进封装领域。</w:t>
            </w:r>
          </w:p>
          <w:p w14:paraId="436EDDC9">
            <w:pPr>
              <w:pStyle w:val="style0"/>
              <w:widowControl/>
              <w:spacing w:lineRule="auto" w:line="360"/>
              <w:ind w:firstLine="482" w:firstLineChars="200"/>
              <w:rPr>
                <w:b/>
                <w:bCs/>
                <w:sz w:val="24"/>
              </w:rPr>
            </w:pPr>
            <w:r>
              <w:rPr>
                <w:rFonts w:hint="eastAsia"/>
                <w:b/>
                <w:bCs/>
                <w:sz w:val="24"/>
              </w:rPr>
              <w:t>9、下半年下游应用领域景气度展望</w:t>
            </w:r>
            <w:r>
              <w:rPr>
                <w:b/>
                <w:bCs/>
                <w:sz w:val="24"/>
              </w:rPr>
              <w:t>？</w:t>
            </w:r>
          </w:p>
          <w:p w14:paraId="43B0ED07">
            <w:pPr>
              <w:pStyle w:val="style0"/>
              <w:widowControl/>
              <w:spacing w:lineRule="auto" w:line="360"/>
              <w:ind w:firstLine="480" w:firstLineChars="200"/>
              <w:rPr>
                <w:sz w:val="24"/>
              </w:rPr>
            </w:pPr>
            <w:r>
              <w:rPr>
                <w:rFonts w:hint="eastAsia"/>
                <w:sz w:val="24"/>
              </w:rPr>
              <w:t>从下半年来看，AIoT领域需求增长相对比较确定，客户提供的Forecast也较为乐观。</w:t>
            </w:r>
          </w:p>
          <w:p w14:paraId="26703E52">
            <w:pPr>
              <w:pStyle w:val="style0"/>
              <w:widowControl/>
              <w:spacing w:lineRule="auto" w:line="360"/>
              <w:ind w:firstLine="482" w:firstLineChars="200"/>
              <w:rPr>
                <w:b/>
                <w:bCs/>
                <w:sz w:val="24"/>
              </w:rPr>
            </w:pPr>
            <w:r>
              <w:rPr>
                <w:rFonts w:hint="eastAsia"/>
                <w:b/>
                <w:bCs/>
                <w:sz w:val="24"/>
              </w:rPr>
              <w:t>10、公司今年上半年QFN产品营收增速较快，这部分增量主要是由哪些下游应用领域带来的</w:t>
            </w:r>
            <w:r>
              <w:rPr>
                <w:b/>
                <w:bCs/>
                <w:sz w:val="24"/>
              </w:rPr>
              <w:t>？</w:t>
            </w:r>
          </w:p>
          <w:p w14:paraId="C62C5F0A">
            <w:pPr>
              <w:pStyle w:val="style0"/>
              <w:spacing w:lineRule="auto" w:line="360"/>
              <w:ind w:firstLine="480" w:firstLineChars="200"/>
              <w:rPr>
                <w:sz w:val="24"/>
              </w:rPr>
            </w:pPr>
            <w:r>
              <w:rPr>
                <w:rFonts w:hint="eastAsia"/>
                <w:sz w:val="24"/>
              </w:rPr>
              <w:t>QFN应用范围较为广泛，以成熟制程为主，导入速度较快，今年上半年的增量主要来源于两家台湾大客户优先导入的AIoT产品。</w:t>
            </w:r>
          </w:p>
          <w:p w14:paraId="0EA9C670">
            <w:pPr>
              <w:pStyle w:val="style0"/>
              <w:widowControl/>
              <w:spacing w:lineRule="auto" w:line="360"/>
              <w:ind w:firstLine="482" w:firstLineChars="200"/>
              <w:rPr>
                <w:b/>
                <w:bCs/>
                <w:sz w:val="24"/>
              </w:rPr>
            </w:pPr>
            <w:r>
              <w:rPr>
                <w:rFonts w:hint="eastAsia"/>
                <w:b/>
                <w:bCs/>
                <w:sz w:val="24"/>
              </w:rPr>
              <w:t>11、公司目前相对前沿的先进封装技术？</w:t>
            </w:r>
          </w:p>
          <w:p w14:paraId="34969D99">
            <w:pPr>
              <w:pStyle w:val="style0"/>
              <w:numPr>
                <w:ilvl w:val="255"/>
                <w:numId w:val="0"/>
              </w:numPr>
              <w:spacing w:lineRule="auto" w:line="360"/>
              <w:ind w:firstLine="480" w:firstLineChars="200"/>
              <w:rPr>
                <w:b/>
                <w:bCs/>
                <w:sz w:val="24"/>
              </w:rPr>
            </w:pPr>
            <w:r>
              <w:rPr>
                <w:rFonts w:hint="eastAsia"/>
                <w:sz w:val="24"/>
              </w:rPr>
              <w:t>公司坚定践行技术创新战略，以前瞻性布局切入先进封装领域，基于自有的Chiplet技术推出了FH-BSAP（Forehope-Brick-Style</w:t>
            </w:r>
            <w:r>
              <w:rPr>
                <w:sz w:val="24"/>
              </w:rPr>
              <w:t xml:space="preserve"> Advanced </w:t>
            </w:r>
            <w:r>
              <w:rPr>
                <w:rFonts w:hint="eastAsia"/>
                <w:sz w:val="24"/>
              </w:rPr>
              <w:t>Package）积木式先进封装技术平台。涵盖RWLP系列（晶圆级重构封装，Fan-out扇出封装）、HCOS系列（2.5D晶圆级/基板上异构封装）、Vertical系列（晶圆级垂直芯片堆栈封装）等，精准适配Fan-out（FO）、2.5D/3D先进晶圆级封装等多元化先进封装技术需求。</w:t>
            </w:r>
          </w:p>
        </w:tc>
      </w:tr>
      <w:tr w14:paraId="7A86C616">
        <w:tblPrEx/>
        <w:trPr>
          <w:jc w:val="center"/>
        </w:trPr>
        <w:tc>
          <w:tcPr>
            <w:tcW w:w="2876" w:type="dxa"/>
            <w:tcBorders>
              <w:top w:val="single" w:sz="4" w:space="0" w:color="auto"/>
              <w:left w:val="single" w:sz="4" w:space="0" w:color="auto"/>
              <w:bottom w:val="single" w:sz="4" w:space="0" w:color="auto"/>
              <w:right w:val="single" w:sz="4" w:space="0" w:color="auto"/>
            </w:tcBorders>
            <w:shd w:val="clear" w:color="auto" w:fill="auto"/>
            <w:vAlign w:val="center"/>
          </w:tcPr>
          <w:p w14:paraId="79ADAB04">
            <w:pPr>
              <w:pStyle w:val="style0"/>
              <w:spacing w:lineRule="auto" w:line="360"/>
              <w:rPr>
                <w:bCs/>
                <w:iCs/>
                <w:color w:val="000000"/>
                <w:sz w:val="24"/>
              </w:rPr>
            </w:pPr>
            <w:r>
              <w:rPr>
                <w:bCs/>
                <w:iCs/>
                <w:color w:val="000000"/>
                <w:sz w:val="24"/>
              </w:rPr>
              <w:t>附件清单（如有）</w:t>
            </w:r>
          </w:p>
        </w:tc>
        <w:tc>
          <w:tcPr>
            <w:tcW w:w="6048" w:type="dxa"/>
            <w:tcBorders>
              <w:top w:val="single" w:sz="4" w:space="0" w:color="auto"/>
              <w:left w:val="single" w:sz="4" w:space="0" w:color="auto"/>
              <w:bottom w:val="single" w:sz="4" w:space="0" w:color="auto"/>
              <w:right w:val="single" w:sz="4" w:space="0" w:color="auto"/>
            </w:tcBorders>
            <w:shd w:val="clear" w:color="auto" w:fill="auto"/>
          </w:tcPr>
          <w:p w14:paraId="0B64A634">
            <w:pPr>
              <w:pStyle w:val="style0"/>
              <w:spacing w:lineRule="auto" w:line="360"/>
              <w:rPr>
                <w:bCs/>
                <w:iCs/>
                <w:color w:val="000000"/>
                <w:sz w:val="24"/>
              </w:rPr>
            </w:pPr>
            <w:r>
              <w:rPr>
                <w:bCs/>
                <w:iCs/>
                <w:color w:val="000000"/>
                <w:sz w:val="24"/>
              </w:rPr>
              <w:t>无</w:t>
            </w:r>
          </w:p>
        </w:tc>
      </w:tr>
      <w:tr w14:paraId="ECA07E95">
        <w:tblPrEx/>
        <w:trPr>
          <w:jc w:val="center"/>
        </w:trPr>
        <w:tc>
          <w:tcPr>
            <w:tcW w:w="2876" w:type="dxa"/>
            <w:tcBorders>
              <w:top w:val="single" w:sz="4" w:space="0" w:color="auto"/>
              <w:left w:val="single" w:sz="4" w:space="0" w:color="auto"/>
              <w:bottom w:val="single" w:sz="4" w:space="0" w:color="auto"/>
              <w:right w:val="single" w:sz="4" w:space="0" w:color="auto"/>
            </w:tcBorders>
            <w:shd w:val="clear" w:color="auto" w:fill="auto"/>
            <w:vAlign w:val="center"/>
          </w:tcPr>
          <w:p w14:paraId="7406F464">
            <w:pPr>
              <w:pStyle w:val="style0"/>
              <w:spacing w:lineRule="auto" w:line="360"/>
              <w:rPr>
                <w:bCs/>
                <w:iCs/>
                <w:color w:val="000000"/>
                <w:sz w:val="24"/>
              </w:rPr>
            </w:pPr>
            <w:r>
              <w:rPr>
                <w:bCs/>
                <w:iCs/>
                <w:color w:val="000000"/>
                <w:sz w:val="24"/>
              </w:rPr>
              <w:t>日期</w:t>
            </w:r>
          </w:p>
        </w:tc>
        <w:tc>
          <w:tcPr>
            <w:tcW w:w="6048" w:type="dxa"/>
            <w:tcBorders>
              <w:top w:val="single" w:sz="4" w:space="0" w:color="auto"/>
              <w:left w:val="single" w:sz="4" w:space="0" w:color="auto"/>
              <w:bottom w:val="single" w:sz="4" w:space="0" w:color="auto"/>
              <w:right w:val="single" w:sz="4" w:space="0" w:color="auto"/>
            </w:tcBorders>
            <w:shd w:val="clear" w:color="auto" w:fill="auto"/>
          </w:tcPr>
          <w:p w14:paraId="DA33D1F8">
            <w:pPr>
              <w:pStyle w:val="style0"/>
              <w:spacing w:lineRule="auto" w:line="360"/>
              <w:rPr>
                <w:bCs/>
                <w:iCs/>
                <w:color w:val="000000"/>
                <w:sz w:val="24"/>
              </w:rPr>
            </w:pPr>
            <w:r>
              <w:rPr>
                <w:bCs/>
                <w:iCs/>
                <w:color w:val="000000"/>
                <w:sz w:val="24"/>
              </w:rPr>
              <w:t>202</w:t>
            </w:r>
            <w:r>
              <w:rPr>
                <w:rFonts w:hint="eastAsia"/>
                <w:bCs/>
                <w:iCs/>
                <w:color w:val="000000"/>
                <w:sz w:val="24"/>
              </w:rPr>
              <w:t>5</w:t>
            </w:r>
            <w:r>
              <w:rPr>
                <w:bCs/>
                <w:iCs/>
                <w:color w:val="000000"/>
                <w:sz w:val="24"/>
              </w:rPr>
              <w:t>年</w:t>
            </w:r>
            <w:r>
              <w:rPr>
                <w:rFonts w:hint="eastAsia"/>
                <w:bCs/>
                <w:iCs/>
                <w:color w:val="000000"/>
                <w:sz w:val="24"/>
              </w:rPr>
              <w:t>8</w:t>
            </w:r>
            <w:r>
              <w:rPr>
                <w:bCs/>
                <w:iCs/>
                <w:color w:val="000000"/>
                <w:sz w:val="24"/>
              </w:rPr>
              <w:t>月</w:t>
            </w:r>
            <w:r>
              <w:rPr>
                <w:rFonts w:hint="eastAsia"/>
                <w:bCs/>
                <w:iCs/>
                <w:color w:val="000000"/>
                <w:sz w:val="24"/>
              </w:rPr>
              <w:t>28</w:t>
            </w:r>
            <w:r>
              <w:rPr>
                <w:bCs/>
                <w:iCs/>
                <w:color w:val="000000"/>
                <w:sz w:val="24"/>
              </w:rPr>
              <w:t>日</w:t>
            </w:r>
          </w:p>
        </w:tc>
      </w:tr>
    </w:tbl>
    <w:p w14:paraId="FF4FD3C3">
      <w:pPr>
        <w:pStyle w:val="style0"/>
        <w:widowControl/>
        <w:jc w:val="left"/>
        <w:rPr>
          <w:sz w:val="24"/>
        </w:rPr>
      </w:pPr>
    </w:p>
    <w:sectPr>
      <w:headerReference w:type="even" r:id="rId2"/>
      <w:headerReference w:type="default" r:id="rId3"/>
      <w:footerReference w:type="even" r:id="rId4"/>
      <w:footerReference w:type="default" r:id="rId5"/>
      <w:headerReference w:type="first" r:id="rId6"/>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等线">
    <w:altName w:val="等线"/>
    <w:panose1 w:val="02010600030001010101"/>
    <w:charset w:val="86"/>
    <w:family w:val="auto"/>
    <w:pitch w:val="default"/>
    <w:sig w:usb0="A00002BF" w:usb1="38CF7CFA" w:usb2="00000016" w:usb3="00000000" w:csb0="0004000F" w:csb1="00000000"/>
  </w:font>
  <w:font w:name="Wingdings 2">
    <w:altName w:val="Wingdings 2"/>
    <w:panose1 w:val="05020102010005070707"/>
    <w:charset w:val="02"/>
    <w:family w:val="roman"/>
    <w:pitch w:val="default"/>
    <w:sig w:usb0="00000000" w:usb1="00000000" w:usb2="00000000" w:usb3="00000000" w:csb0="80000000"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E4397D9F">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56D78405">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16F21C31">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3B339113">
    <w:pPr>
      <w:pStyle w:val="style31"/>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5A0EBA54">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Times New Roman" w:cs="Times New Roman" w:eastAsia="宋体" w:hAnsi="Times New Roman"/>
      <w:kern w:val="2"/>
      <w:sz w:val="21"/>
      <w:szCs w:val="24"/>
      <w:lang w:val="en-US" w:bidi="ar-SA" w:eastAsia="zh-CN"/>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14">
    <w:name w:val="index 5"/>
    <w:next w:val="style0"/>
    <w:qFormat/>
    <w:uiPriority w:val="0"/>
    <w:pPr>
      <w:widowControl w:val="false"/>
      <w:ind w:left="1680"/>
      <w:jc w:val="both"/>
    </w:pPr>
    <w:rPr>
      <w:rFonts w:ascii="黑体" w:cs="Arial" w:eastAsia="黑体" w:hAnsi="Calibri"/>
      <w:kern w:val="2"/>
      <w:sz w:val="32"/>
      <w:szCs w:val="32"/>
      <w:lang w:val="en-US" w:bidi="ar-SA" w:eastAsia="zh-CN"/>
    </w:rPr>
  </w:style>
  <w:style w:type="paragraph" w:styleId="style30">
    <w:name w:val="annotation text"/>
    <w:basedOn w:val="style0"/>
    <w:next w:val="style30"/>
    <w:link w:val="style4100"/>
    <w:qFormat/>
    <w:uiPriority w:val="99"/>
    <w:pPr>
      <w:jc w:val="left"/>
    </w:pPr>
    <w:rPr/>
  </w:style>
  <w:style w:type="paragraph" w:styleId="style153">
    <w:name w:val="Balloon Text"/>
    <w:basedOn w:val="style0"/>
    <w:next w:val="style153"/>
    <w:link w:val="style4102"/>
    <w:qFormat/>
    <w:uiPriority w:val="99"/>
    <w:pPr/>
    <w:rPr>
      <w:sz w:val="18"/>
      <w:szCs w:val="18"/>
    </w:rPr>
  </w:style>
  <w:style w:type="paragraph" w:styleId="style32">
    <w:name w:val="footer"/>
    <w:basedOn w:val="style0"/>
    <w:next w:val="style32"/>
    <w:link w:val="style4099"/>
    <w:qFormat/>
    <w:uiPriority w:val="99"/>
    <w:pPr>
      <w:tabs>
        <w:tab w:val="center" w:leader="none" w:pos="4153"/>
        <w:tab w:val="right" w:leader="none" w:pos="8306"/>
      </w:tabs>
      <w:snapToGrid w:val="false"/>
      <w:jc w:val="left"/>
    </w:pPr>
    <w:rPr>
      <w:rFonts w:ascii="等线" w:cs="宋体" w:eastAsia="等线" w:hAnsi="等线"/>
      <w:sz w:val="18"/>
      <w:szCs w:val="18"/>
    </w:rPr>
  </w:style>
  <w:style w:type="paragraph" w:styleId="style31">
    <w:name w:val="header"/>
    <w:basedOn w:val="style0"/>
    <w:next w:val="style31"/>
    <w:link w:val="style4098"/>
    <w:qFormat/>
    <w:uiPriority w:val="99"/>
    <w:pPr>
      <w:pBdr>
        <w:bottom w:val="single" w:sz="6" w:space="1" w:color="auto"/>
      </w:pBdr>
      <w:tabs>
        <w:tab w:val="center" w:leader="none" w:pos="4153"/>
        <w:tab w:val="right" w:leader="none" w:pos="8306"/>
      </w:tabs>
      <w:snapToGrid w:val="false"/>
      <w:jc w:val="center"/>
    </w:pPr>
    <w:rPr>
      <w:rFonts w:ascii="等线" w:cs="宋体" w:eastAsia="等线" w:hAnsi="等线"/>
      <w:sz w:val="18"/>
      <w:szCs w:val="18"/>
    </w:rPr>
  </w:style>
  <w:style w:type="paragraph" w:styleId="style106">
    <w:name w:val="annotation subject"/>
    <w:basedOn w:val="style30"/>
    <w:next w:val="style30"/>
    <w:link w:val="style4101"/>
    <w:qFormat/>
    <w:uiPriority w:val="99"/>
    <w:pPr/>
    <w:rPr>
      <w:b/>
      <w:bCs/>
    </w:rPr>
  </w:style>
  <w:style w:type="character" w:styleId="style88">
    <w:name w:val="Emphasis"/>
    <w:basedOn w:val="style65"/>
    <w:next w:val="style88"/>
    <w:qFormat/>
    <w:uiPriority w:val="20"/>
    <w:rPr>
      <w:i/>
    </w:rPr>
  </w:style>
  <w:style w:type="character" w:styleId="style39">
    <w:name w:val="annotation reference"/>
    <w:basedOn w:val="style65"/>
    <w:next w:val="style39"/>
    <w:qFormat/>
    <w:uiPriority w:val="99"/>
    <w:rPr>
      <w:sz w:val="21"/>
      <w:szCs w:val="21"/>
    </w:rPr>
  </w:style>
  <w:style w:type="paragraph" w:customStyle="1" w:styleId="style4097">
    <w:name w:val="Normal Indent1"/>
    <w:next w:val="style14"/>
    <w:qFormat/>
    <w:uiPriority w:val="0"/>
    <w:pPr>
      <w:widowControl w:val="false"/>
      <w:ind w:firstLine="420" w:firstLineChars="200"/>
      <w:jc w:val="both"/>
    </w:pPr>
    <w:rPr>
      <w:rFonts w:ascii="Times New Roman" w:cs="Times New Roman" w:eastAsia="宋体" w:hAnsi="Times New Roman"/>
      <w:kern w:val="2"/>
      <w:sz w:val="21"/>
      <w:szCs w:val="21"/>
      <w:lang w:val="en-US" w:bidi="ar-SA" w:eastAsia="zh-CN"/>
    </w:rPr>
  </w:style>
  <w:style w:type="character" w:customStyle="1" w:styleId="style4098">
    <w:name w:val="页眉 字符"/>
    <w:basedOn w:val="style65"/>
    <w:next w:val="style4098"/>
    <w:link w:val="style31"/>
    <w:qFormat/>
    <w:uiPriority w:val="99"/>
    <w:rPr>
      <w:sz w:val="18"/>
      <w:szCs w:val="18"/>
    </w:rPr>
  </w:style>
  <w:style w:type="character" w:customStyle="1" w:styleId="style4099">
    <w:name w:val="页脚 字符"/>
    <w:basedOn w:val="style65"/>
    <w:next w:val="style4099"/>
    <w:link w:val="style32"/>
    <w:qFormat/>
    <w:uiPriority w:val="99"/>
    <w:rPr>
      <w:sz w:val="18"/>
      <w:szCs w:val="18"/>
    </w:rPr>
  </w:style>
  <w:style w:type="character" w:customStyle="1" w:styleId="style4100">
    <w:name w:val="批注文字 字符"/>
    <w:basedOn w:val="style65"/>
    <w:next w:val="style4100"/>
    <w:link w:val="style30"/>
    <w:qFormat/>
    <w:uiPriority w:val="99"/>
    <w:rPr>
      <w:rFonts w:ascii="Times New Roman" w:cs="Times New Roman" w:eastAsia="宋体" w:hAnsi="Times New Roman"/>
      <w:szCs w:val="24"/>
    </w:rPr>
  </w:style>
  <w:style w:type="character" w:customStyle="1" w:styleId="style4101">
    <w:name w:val="批注主题 字符"/>
    <w:basedOn w:val="style4100"/>
    <w:next w:val="style4101"/>
    <w:link w:val="style106"/>
    <w:qFormat/>
    <w:uiPriority w:val="99"/>
    <w:rPr>
      <w:rFonts w:ascii="Times New Roman" w:cs="Times New Roman" w:eastAsia="宋体" w:hAnsi="Times New Roman"/>
      <w:b/>
      <w:bCs/>
      <w:szCs w:val="24"/>
    </w:rPr>
  </w:style>
  <w:style w:type="character" w:customStyle="1" w:styleId="style4102">
    <w:name w:val="批注框文本 字符"/>
    <w:basedOn w:val="style65"/>
    <w:next w:val="style4102"/>
    <w:link w:val="style153"/>
    <w:qFormat/>
    <w:uiPriority w:val="99"/>
    <w:rPr>
      <w:rFonts w:ascii="Times New Roman" w:cs="Times New Roman" w:eastAsia="宋体" w:hAnsi="Times New Roman"/>
      <w:sz w:val="18"/>
      <w:szCs w:val="18"/>
    </w:rPr>
  </w:style>
  <w:style w:type="paragraph" w:customStyle="1" w:styleId="style4103">
    <w:name w:val="修订1"/>
    <w:next w:val="style4103"/>
    <w:qFormat/>
    <w:uiPriority w:val="99"/>
    <w:pPr/>
    <w:rPr>
      <w:rFonts w:ascii="Times New Roman" w:cs="Times New Roman" w:eastAsia="宋体" w:hAnsi="Times New Roman"/>
      <w:kern w:val="2"/>
      <w:sz w:val="21"/>
      <w:szCs w:val="24"/>
      <w:lang w:val="en-US" w:bidi="ar-SA" w:eastAsia="zh-CN"/>
    </w:rPr>
  </w:style>
  <w:style w:type="paragraph" w:styleId="style179">
    <w:name w:val="List Paragraph"/>
    <w:basedOn w:val="style0"/>
    <w:next w:val="style179"/>
    <w:qFormat/>
    <w:uiPriority w:val="0"/>
    <w:pPr>
      <w:ind w:firstLine="420" w:firstLineChars="200"/>
    </w:pPr>
    <w:rPr/>
  </w:style>
  <w:style w:type="paragraph" w:customStyle="1" w:styleId="style4104">
    <w:name w:val="修订2"/>
    <w:next w:val="style4104"/>
    <w:qFormat/>
    <w:uiPriority w:val="99"/>
    <w:pPr/>
    <w:rPr>
      <w:rFonts w:ascii="Times New Roman" w:cs="Times New Roman" w:eastAsia="宋体" w:hAnsi="Times New Roman"/>
      <w:kern w:val="2"/>
      <w:sz w:val="21"/>
      <w:szCs w:val="24"/>
      <w:lang w:val="en-US" w:bidi="ar-SA" w:eastAsia="zh-CN"/>
    </w:rPr>
  </w:style>
  <w:style w:type="paragraph" w:customStyle="1" w:styleId="style4105">
    <w:name w:val="修订3"/>
    <w:next w:val="style4105"/>
    <w:qFormat/>
    <w:uiPriority w:val="99"/>
    <w:pPr/>
    <w:rPr>
      <w:rFonts w:ascii="Times New Roman" w:cs="Times New Roman" w:eastAsia="宋体" w:hAnsi="Times New Roman"/>
      <w:kern w:val="2"/>
      <w:sz w:val="21"/>
      <w:szCs w:val="24"/>
      <w:lang w:val="en-US" w:bidi="ar-SA" w:eastAsia="zh-CN"/>
    </w:rPr>
  </w:style>
  <w:style w:type="paragraph" w:customStyle="1" w:styleId="style4106">
    <w:name w:val="修订4"/>
    <w:next w:val="style4106"/>
    <w:qFormat/>
    <w:uiPriority w:val="99"/>
    <w:pPr/>
    <w:rPr>
      <w:rFonts w:ascii="Times New Roman" w:cs="Times New Roman" w:eastAsia="宋体" w:hAnsi="Times New Roman"/>
      <w:kern w:val="2"/>
      <w:sz w:val="21"/>
      <w:szCs w:val="24"/>
      <w:lang w:val="en-US" w:bidi="ar-SA" w:eastAsia="zh-CN"/>
    </w:rPr>
  </w:style>
  <w:style w:type="paragraph" w:customStyle="1" w:styleId="style4107">
    <w:name w:val="修订5"/>
    <w:next w:val="style4107"/>
    <w:qFormat/>
    <w:uiPriority w:val="99"/>
    <w:pPr/>
    <w:rPr>
      <w:rFonts w:ascii="Times New Roman" w:cs="Times New Roman" w:eastAsia="宋体" w:hAnsi="Times New Roman"/>
      <w:kern w:val="2"/>
      <w:sz w:val="21"/>
      <w:szCs w:val="24"/>
      <w:lang w:val="en-US" w:bidi="ar-SA" w:eastAsia="zh-C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Words>1883</Words>
  <Pages>4</Pages>
  <Characters>2172</Characters>
  <Application>WPS Office</Application>
  <DocSecurity>0</DocSecurity>
  <Paragraphs>74</Paragraphs>
  <ScaleCrop>false</ScaleCrop>
  <LinksUpToDate>false</LinksUpToDate>
  <CharactersWithSpaces>2255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2023-12-05T09:44:00Z</dcterms:created>
  <dc:creator>周钡钡</dc:creator>
  <lastModifiedBy>PTP-AN00</lastModifiedBy>
  <dcterms:modified xsi:type="dcterms:W3CDTF">2025-09-01T09:00:29Z</dcterms:modified>
  <revision>13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C33D5C9946D44CD1B6E58C630DC83F54_13</vt:lpwstr>
  </property>
  <property fmtid="{D5CDD505-2E9C-101B-9397-08002B2CF9AE}" pid="4" name="KSOTemplateDocerSaveRecord">
    <vt:lpwstr>eyJoZGlkIjoiMDZmN2VlOWFiNmJkMWVlMjkzNDU0NzNlMDRlYWVjNjIiLCJ1c2VySWQiOiIxMzg4MzUyNjAyIn0=</vt:lpwstr>
  </property>
</Properties>
</file>