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b/>
          <w:bCs/>
          <w:iCs/>
          <w:color w:val="000000"/>
        </w:rPr>
      </w:pPr>
      <w:r>
        <w:rPr>
          <w:bCs/>
          <w:iCs/>
          <w:color w:val="000000"/>
        </w:rPr>
        <w:t>证券代码：</w:t>
      </w:r>
      <w:r>
        <w:rPr>
          <w:rFonts w:hint="eastAsia"/>
          <w:bCs/>
          <w:iCs/>
          <w:color w:val="000000"/>
        </w:rPr>
        <w:t>688512</w:t>
      </w:r>
      <w:r>
        <w:rPr>
          <w:bCs/>
          <w:iCs/>
          <w:color w:val="000000"/>
        </w:rPr>
        <w:t xml:space="preserve">                            </w:t>
      </w:r>
      <w:r>
        <w:rPr>
          <w:rFonts w:hint="eastAsia"/>
          <w:bCs/>
          <w:iCs/>
          <w:color w:val="000000"/>
        </w:rPr>
        <w:t xml:space="preserve">         </w:t>
      </w:r>
      <w:r>
        <w:rPr>
          <w:bCs/>
          <w:iCs/>
          <w:color w:val="000000"/>
        </w:rPr>
        <w:t>证券简称：</w:t>
      </w:r>
      <w:r>
        <w:rPr>
          <w:rFonts w:hint="eastAsia"/>
          <w:bCs/>
          <w:iCs/>
          <w:color w:val="000000"/>
        </w:rPr>
        <w:t xml:space="preserve">慧智微 </w:t>
      </w:r>
      <w:r>
        <w:rPr>
          <w:bCs/>
          <w:iCs/>
          <w:color w:val="000000"/>
        </w:rPr>
        <w:t xml:space="preserve">  </w:t>
      </w:r>
    </w:p>
    <w:p>
      <w:pPr>
        <w:ind w:firstLine="562"/>
        <w:jc w:val="center"/>
        <w:rPr>
          <w:b/>
          <w:bCs/>
          <w:iCs/>
          <w:color w:val="000000"/>
          <w:sz w:val="28"/>
          <w:szCs w:val="28"/>
        </w:rPr>
      </w:pPr>
      <w:r>
        <w:rPr>
          <w:rFonts w:hint="eastAsia"/>
          <w:b/>
          <w:bCs/>
          <w:iCs/>
          <w:color w:val="000000"/>
          <w:sz w:val="28"/>
          <w:szCs w:val="28"/>
        </w:rPr>
        <w:t>广州慧智微电子股份有限公司</w:t>
      </w:r>
    </w:p>
    <w:p>
      <w:pPr>
        <w:ind w:firstLine="562"/>
        <w:jc w:val="center"/>
        <w:rPr>
          <w:b/>
          <w:bCs/>
          <w:iCs/>
          <w:color w:val="000000"/>
          <w:sz w:val="28"/>
          <w:szCs w:val="28"/>
        </w:rPr>
      </w:pPr>
      <w:r>
        <w:rPr>
          <w:rFonts w:hint="eastAsia"/>
          <w:b/>
          <w:bCs/>
          <w:iCs/>
          <w:color w:val="000000"/>
          <w:sz w:val="28"/>
          <w:szCs w:val="28"/>
        </w:rPr>
        <w:t>投资者关系活动记录表</w:t>
      </w:r>
    </w:p>
    <w:p>
      <w:pPr>
        <w:spacing w:line="400" w:lineRule="exact"/>
        <w:ind w:firstLine="480"/>
        <w:jc w:val="right"/>
        <w:rPr>
          <w:bCs/>
          <w:iCs/>
          <w:color w:val="000000"/>
        </w:rPr>
      </w:pPr>
      <w:r>
        <w:rPr>
          <w:bCs/>
          <w:iCs/>
          <w:color w:val="000000"/>
        </w:rPr>
        <w:t xml:space="preserve"> 编号：202</w:t>
      </w:r>
      <w:r>
        <w:rPr>
          <w:rFonts w:hint="eastAsia"/>
          <w:bCs/>
          <w:iCs/>
          <w:color w:val="000000"/>
        </w:rPr>
        <w:t>5</w:t>
      </w:r>
      <w:r>
        <w:rPr>
          <w:bCs/>
          <w:iCs/>
          <w:color w:val="000000"/>
        </w:rPr>
        <w:t>-00</w:t>
      </w:r>
      <w:r>
        <w:rPr>
          <w:rFonts w:hint="eastAsia"/>
          <w:bCs/>
          <w:iCs/>
          <w:color w:val="000000"/>
        </w:rPr>
        <w:t>2</w:t>
      </w:r>
    </w:p>
    <w:tbl>
      <w:tblPr>
        <w:tblStyle w:val="18"/>
        <w:tblpPr w:leftFromText="180" w:rightFromText="180" w:vertAnchor="text" w:horzAnchor="page" w:tblpX="1798" w:tblpY="3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Cs/>
                <w:iCs/>
                <w:color w:val="000000"/>
              </w:rPr>
            </w:pPr>
            <w:r>
              <w:rPr>
                <w:bCs/>
                <w:iCs/>
                <w:color w:val="000000"/>
              </w:rPr>
              <w:t>投资者关系活动类别</w:t>
            </w:r>
          </w:p>
          <w:p>
            <w:pPr>
              <w:ind w:firstLine="0" w:firstLineChars="0"/>
              <w:jc w:val="center"/>
              <w:rPr>
                <w:bCs/>
                <w:iCs/>
                <w:color w:val="000000"/>
              </w:rPr>
            </w:pPr>
          </w:p>
        </w:tc>
        <w:tc>
          <w:tcPr>
            <w:tcW w:w="6614" w:type="dxa"/>
            <w:tcBorders>
              <w:top w:val="single" w:color="auto" w:sz="4" w:space="0"/>
              <w:left w:val="single" w:color="auto" w:sz="4" w:space="0"/>
              <w:bottom w:val="single" w:color="auto" w:sz="4" w:space="0"/>
              <w:right w:val="single" w:color="auto" w:sz="4" w:space="0"/>
            </w:tcBorders>
          </w:tcPr>
          <w:p>
            <w:pPr>
              <w:spacing w:line="480" w:lineRule="atLeast"/>
              <w:ind w:firstLine="0" w:firstLineChars="0"/>
              <w:rPr>
                <w:bCs/>
                <w:iCs/>
                <w:color w:val="000000"/>
              </w:rPr>
            </w:pPr>
            <w:r>
              <w:rPr>
                <w:bCs/>
                <w:iCs/>
                <w:color w:val="000000"/>
              </w:rPr>
              <w:sym w:font="Wingdings 2" w:char="0052"/>
            </w:r>
            <w:r>
              <w:t xml:space="preserve">特定对象调研        </w:t>
            </w:r>
            <w:r>
              <w:rPr>
                <w:bCs/>
                <w:iCs/>
                <w:color w:val="000000"/>
              </w:rPr>
              <w:sym w:font="Wingdings 2" w:char="00A3"/>
            </w:r>
            <w:r>
              <w:t>分析师会议</w:t>
            </w:r>
          </w:p>
          <w:p>
            <w:pPr>
              <w:spacing w:line="480" w:lineRule="atLeast"/>
              <w:ind w:firstLine="0" w:firstLineChars="0"/>
              <w:rPr>
                <w:bCs/>
                <w:iCs/>
                <w:color w:val="000000"/>
              </w:rPr>
            </w:pPr>
            <w:r>
              <w:rPr>
                <w:bCs/>
                <w:iCs/>
                <w:color w:val="000000"/>
              </w:rPr>
              <w:sym w:font="Wingdings 2" w:char="00A3"/>
            </w:r>
            <w:r>
              <w:t xml:space="preserve">媒体采访            </w:t>
            </w:r>
            <w:r>
              <w:rPr>
                <w:bCs/>
                <w:iCs/>
                <w:color w:val="000000"/>
              </w:rPr>
              <w:sym w:font="Wingdings 2" w:char="00A3"/>
            </w:r>
            <w:r>
              <w:t>业绩说明会</w:t>
            </w:r>
          </w:p>
          <w:p>
            <w:pPr>
              <w:spacing w:line="480" w:lineRule="atLeast"/>
              <w:ind w:firstLine="0" w:firstLineChars="0"/>
              <w:rPr>
                <w:bCs/>
                <w:iCs/>
                <w:color w:val="000000"/>
              </w:rPr>
            </w:pPr>
            <w:r>
              <w:rPr>
                <w:bCs/>
                <w:iCs/>
                <w:color w:val="000000"/>
              </w:rPr>
              <w:sym w:font="Wingdings 2" w:char="00A3"/>
            </w:r>
            <w:r>
              <w:t xml:space="preserve">新闻发布会          </w:t>
            </w:r>
            <w:r>
              <w:rPr>
                <w:bCs/>
                <w:iCs/>
                <w:color w:val="000000"/>
              </w:rPr>
              <w:sym w:font="Wingdings 2" w:char="00A3"/>
            </w:r>
            <w:r>
              <w:t>路演活动</w:t>
            </w:r>
          </w:p>
          <w:p>
            <w:pPr>
              <w:tabs>
                <w:tab w:val="left" w:pos="3045"/>
                <w:tab w:val="center" w:pos="3199"/>
              </w:tabs>
              <w:spacing w:line="480" w:lineRule="atLeast"/>
              <w:ind w:firstLine="0" w:firstLineChars="0"/>
              <w:rPr>
                <w:bCs/>
                <w:iCs/>
                <w:color w:val="000000"/>
              </w:rPr>
            </w:pPr>
            <w:r>
              <w:rPr>
                <w:bCs/>
                <w:iCs/>
                <w:color w:val="000000"/>
              </w:rPr>
              <w:sym w:font="Wingdings 2" w:char="00A3"/>
            </w:r>
            <w:r>
              <w:t>现场参观</w:t>
            </w:r>
            <w:r>
              <w:rPr>
                <w:bCs/>
                <w:iCs/>
                <w:color w:val="000000"/>
              </w:rPr>
              <w:tab/>
            </w:r>
          </w:p>
          <w:p>
            <w:pPr>
              <w:tabs>
                <w:tab w:val="center" w:pos="3199"/>
              </w:tabs>
              <w:spacing w:line="480" w:lineRule="atLeast"/>
              <w:ind w:firstLine="0" w:firstLineChars="0"/>
              <w:rPr>
                <w:bCs/>
                <w:iCs/>
                <w:color w:val="000000"/>
              </w:rPr>
            </w:pPr>
            <w:r>
              <w:rPr>
                <w:bCs/>
                <w:iCs/>
                <w:color w:val="000000"/>
              </w:rPr>
              <w:sym w:font="Wingdings 2" w:char="00A3"/>
            </w:r>
            <w:r>
              <w:t>其他 （</w:t>
            </w:r>
            <w:r>
              <w:rPr>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Cs/>
                <w:iCs/>
                <w:color w:val="000000"/>
              </w:rPr>
            </w:pPr>
            <w:r>
              <w:rPr>
                <w:bCs/>
                <w:iCs/>
                <w:color w:val="000000"/>
              </w:rPr>
              <w:t>参与单位名称及人员姓名</w:t>
            </w:r>
          </w:p>
        </w:tc>
        <w:tc>
          <w:tcPr>
            <w:tcW w:w="6614" w:type="dxa"/>
            <w:tcBorders>
              <w:top w:val="single" w:color="auto" w:sz="4" w:space="0"/>
              <w:left w:val="single" w:color="auto" w:sz="4" w:space="0"/>
              <w:bottom w:val="single" w:color="auto" w:sz="4" w:space="0"/>
              <w:right w:val="single" w:color="auto" w:sz="4" w:space="0"/>
            </w:tcBorders>
            <w:vAlign w:val="center"/>
          </w:tcPr>
          <w:p>
            <w:pPr>
              <w:spacing w:line="480" w:lineRule="atLeast"/>
              <w:ind w:firstLine="0" w:firstLineChars="0"/>
              <w:jc w:val="left"/>
              <w:rPr>
                <w:bCs/>
                <w:iCs/>
                <w:color w:val="000000"/>
              </w:rPr>
            </w:pPr>
            <w:r>
              <w:rPr>
                <w:rFonts w:hint="eastAsia"/>
                <w:bCs/>
                <w:iCs/>
                <w:color w:val="000000"/>
              </w:rPr>
              <w:t>华泰证券；国信证券；华福证券；华安证券；华泰联合证券；西部证券；中国国际金融；国盛证券；山西证券、金信基金；易米基金、德若私募基金；仲春私募；鸿运私募基金；中天汇富基金；探针投资；尚诚资管；上海玄卜投资；合众资管；华安财保资管；民生银行；中信期货；汇晟致远；丞毅投资；汇正财经；晟择企业咨询；ArtIvet 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Cs/>
                <w:iCs/>
                <w:color w:val="000000"/>
              </w:rPr>
            </w:pPr>
            <w:r>
              <w:rPr>
                <w:bCs/>
                <w:iCs/>
                <w:color w:val="000000"/>
              </w:rPr>
              <w:t>时间</w:t>
            </w:r>
          </w:p>
        </w:tc>
        <w:tc>
          <w:tcPr>
            <w:tcW w:w="6614" w:type="dxa"/>
            <w:tcBorders>
              <w:top w:val="single" w:color="auto" w:sz="4" w:space="0"/>
              <w:left w:val="single" w:color="auto" w:sz="4" w:space="0"/>
              <w:bottom w:val="single" w:color="auto" w:sz="4" w:space="0"/>
              <w:right w:val="single" w:color="auto" w:sz="4" w:space="0"/>
            </w:tcBorders>
            <w:vAlign w:val="center"/>
          </w:tcPr>
          <w:p>
            <w:pPr>
              <w:spacing w:line="480" w:lineRule="atLeast"/>
              <w:ind w:firstLine="0" w:firstLineChars="0"/>
              <w:jc w:val="left"/>
              <w:rPr>
                <w:bCs/>
                <w:iCs/>
                <w:color w:val="000000"/>
              </w:rPr>
            </w:pPr>
            <w:r>
              <w:rPr>
                <w:bCs/>
                <w:iCs/>
                <w:color w:val="000000"/>
              </w:rPr>
              <w:t>202</w:t>
            </w:r>
            <w:r>
              <w:rPr>
                <w:rFonts w:hint="eastAsia"/>
                <w:bCs/>
                <w:iCs/>
                <w:color w:val="000000"/>
              </w:rPr>
              <w:t>5</w:t>
            </w:r>
            <w:r>
              <w:rPr>
                <w:bCs/>
                <w:iCs/>
                <w:color w:val="000000"/>
              </w:rPr>
              <w:t>年</w:t>
            </w:r>
            <w:r>
              <w:rPr>
                <w:rFonts w:hint="eastAsia"/>
                <w:bCs/>
                <w:iCs/>
                <w:color w:val="000000"/>
              </w:rPr>
              <w:t>8</w:t>
            </w:r>
            <w:r>
              <w:rPr>
                <w:bCs/>
                <w:iCs/>
                <w:color w:val="000000"/>
              </w:rPr>
              <w:t>月</w:t>
            </w:r>
            <w:r>
              <w:rPr>
                <w:rFonts w:hint="eastAsia"/>
                <w:bCs/>
                <w:iCs/>
                <w:color w:val="000000"/>
              </w:rPr>
              <w:t>29</w:t>
            </w:r>
            <w:r>
              <w:rPr>
                <w:bCs/>
                <w:iCs/>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Cs/>
                <w:iCs/>
                <w:color w:val="000000"/>
              </w:rPr>
            </w:pPr>
            <w:r>
              <w:rPr>
                <w:bCs/>
                <w:iCs/>
                <w:color w:val="000000"/>
              </w:rPr>
              <w:t>地点</w:t>
            </w:r>
          </w:p>
        </w:tc>
        <w:tc>
          <w:tcPr>
            <w:tcW w:w="6614" w:type="dxa"/>
            <w:tcBorders>
              <w:top w:val="single" w:color="auto" w:sz="4" w:space="0"/>
              <w:left w:val="single" w:color="auto" w:sz="4" w:space="0"/>
              <w:bottom w:val="single" w:color="auto" w:sz="4" w:space="0"/>
              <w:right w:val="single" w:color="auto" w:sz="4" w:space="0"/>
            </w:tcBorders>
            <w:vAlign w:val="center"/>
          </w:tcPr>
          <w:p>
            <w:pPr>
              <w:spacing w:line="480" w:lineRule="atLeast"/>
              <w:ind w:firstLine="0" w:firstLineChars="0"/>
              <w:jc w:val="left"/>
              <w:rPr>
                <w:bCs/>
                <w:iCs/>
                <w:color w:val="000000"/>
              </w:rPr>
            </w:pPr>
            <w:r>
              <w:rPr>
                <w:bCs/>
                <w:iCs/>
                <w:color w:val="000000"/>
              </w:rPr>
              <w:t>广州慧智微电子股份有限公司上海办公室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Cs/>
                <w:iCs/>
                <w:color w:val="000000"/>
              </w:rPr>
            </w:pPr>
            <w:r>
              <w:rPr>
                <w:bCs/>
                <w:iCs/>
                <w:color w:val="000000"/>
              </w:rPr>
              <w:t>上市公司接待人员姓名</w:t>
            </w:r>
          </w:p>
        </w:tc>
        <w:tc>
          <w:tcPr>
            <w:tcW w:w="6614" w:type="dxa"/>
            <w:tcBorders>
              <w:top w:val="single" w:color="auto" w:sz="4" w:space="0"/>
              <w:left w:val="single" w:color="auto" w:sz="4" w:space="0"/>
              <w:bottom w:val="single" w:color="auto" w:sz="4" w:space="0"/>
              <w:right w:val="single" w:color="auto" w:sz="4" w:space="0"/>
            </w:tcBorders>
            <w:vAlign w:val="center"/>
          </w:tcPr>
          <w:p>
            <w:pPr>
              <w:spacing w:line="480" w:lineRule="atLeast"/>
              <w:ind w:firstLine="0" w:firstLineChars="0"/>
              <w:jc w:val="left"/>
              <w:rPr>
                <w:bCs/>
                <w:iCs/>
                <w:color w:val="000000"/>
              </w:rPr>
            </w:pPr>
            <w:r>
              <w:rPr>
                <w:bCs/>
                <w:iCs/>
                <w:color w:val="000000"/>
              </w:rPr>
              <w:t>财务总监兼董事会秘书：徐斌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trPr>
        <w:tc>
          <w:tcPr>
            <w:tcW w:w="190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Cs/>
                <w:iCs/>
                <w:color w:val="000000"/>
              </w:rPr>
            </w:pPr>
            <w:r>
              <w:rPr>
                <w:bCs/>
                <w:iCs/>
                <w:color w:val="000000"/>
              </w:rPr>
              <w:t>投资者关系活动主要内容介绍</w:t>
            </w:r>
          </w:p>
          <w:p>
            <w:pPr>
              <w:ind w:firstLine="0" w:firstLineChars="0"/>
              <w:jc w:val="center"/>
              <w:rPr>
                <w:bCs/>
                <w:iCs/>
                <w:color w:val="000000"/>
              </w:rPr>
            </w:pPr>
          </w:p>
        </w:tc>
        <w:tc>
          <w:tcPr>
            <w:tcW w:w="6614" w:type="dxa"/>
            <w:tcBorders>
              <w:top w:val="single" w:color="auto" w:sz="4" w:space="0"/>
              <w:left w:val="single" w:color="auto" w:sz="4" w:space="0"/>
              <w:bottom w:val="single" w:color="auto" w:sz="4" w:space="0"/>
              <w:right w:val="single" w:color="auto" w:sz="4" w:space="0"/>
            </w:tcBorders>
          </w:tcPr>
          <w:p>
            <w:pPr>
              <w:spacing w:line="480" w:lineRule="atLeast"/>
              <w:ind w:firstLine="0" w:firstLineChars="0"/>
              <w:rPr>
                <w:b/>
                <w:iCs/>
                <w:color w:val="000000"/>
              </w:rPr>
            </w:pPr>
            <w:r>
              <w:rPr>
                <w:b/>
                <w:iCs/>
                <w:color w:val="000000"/>
              </w:rPr>
              <w:t>一、202</w:t>
            </w:r>
            <w:r>
              <w:rPr>
                <w:rFonts w:hint="eastAsia"/>
                <w:b/>
                <w:iCs/>
                <w:color w:val="000000"/>
              </w:rPr>
              <w:t>5</w:t>
            </w:r>
            <w:r>
              <w:rPr>
                <w:b/>
                <w:iCs/>
                <w:color w:val="000000"/>
              </w:rPr>
              <w:t>年</w:t>
            </w:r>
            <w:r>
              <w:rPr>
                <w:rFonts w:hint="eastAsia"/>
                <w:b/>
                <w:iCs/>
                <w:color w:val="000000"/>
              </w:rPr>
              <w:t>半年度及2025年二季度经营</w:t>
            </w:r>
            <w:r>
              <w:rPr>
                <w:b/>
                <w:iCs/>
                <w:color w:val="000000"/>
              </w:rPr>
              <w:t>情况介绍</w:t>
            </w:r>
          </w:p>
          <w:p>
            <w:pPr>
              <w:pStyle w:val="35"/>
              <w:spacing w:line="480" w:lineRule="atLeast"/>
              <w:ind w:firstLine="0" w:firstLineChars="0"/>
              <w:rPr>
                <w:b/>
                <w:iCs/>
                <w:color w:val="000000"/>
              </w:rPr>
            </w:pPr>
            <w:r>
              <w:rPr>
                <w:rFonts w:hint="eastAsia"/>
                <w:b/>
                <w:iCs/>
                <w:color w:val="000000"/>
              </w:rPr>
              <w:t>1、主要业绩情况</w:t>
            </w:r>
          </w:p>
          <w:p>
            <w:pPr>
              <w:pStyle w:val="35"/>
              <w:spacing w:line="480" w:lineRule="atLeast"/>
              <w:ind w:firstLine="480"/>
              <w:rPr>
                <w:bCs/>
                <w:iCs/>
                <w:color w:val="000000"/>
              </w:rPr>
            </w:pPr>
            <w:r>
              <w:rPr>
                <w:rFonts w:hint="eastAsia"/>
                <w:bCs/>
                <w:iCs/>
                <w:color w:val="000000"/>
              </w:rPr>
              <w:t>2025年上半年，公司实现营业收入3.55亿元，同比增长40.0%；毛利率为8.54%，同比提升4.15个百分点；期间费用为1.46亿元，同比下降23.5%；归母净利润亏损6,528万元，同比亏损收窄64.4%；扣非归母净利润亏损1.37亿元，同比亏损收窄31.5%。</w:t>
            </w:r>
          </w:p>
          <w:p>
            <w:pPr>
              <w:pStyle w:val="35"/>
              <w:spacing w:line="480" w:lineRule="atLeast"/>
              <w:ind w:firstLine="480"/>
              <w:rPr>
                <w:bCs/>
                <w:iCs/>
                <w:color w:val="000000"/>
              </w:rPr>
            </w:pPr>
            <w:r>
              <w:rPr>
                <w:rFonts w:hint="eastAsia"/>
                <w:bCs/>
                <w:iCs/>
                <w:color w:val="000000"/>
              </w:rPr>
              <w:t>2025年二季度实现营业收入2.18亿元，同比增长46.6%，环比增长59.0%；毛利率为5.82%，同比提升3.96个百分点，环比下降7.04个百分点；期间费用为8,003万元，同比下降21.8%，环比增长20.9%；归母净利润亏损6,885万元，同比亏损收窄32.7%，环比由盈转亏；扣非归母净利润亏损7,668万元，同比亏损收窄28.6%，环比亏损扩大26.4%。</w:t>
            </w:r>
          </w:p>
          <w:p>
            <w:pPr>
              <w:pStyle w:val="35"/>
              <w:spacing w:line="480" w:lineRule="atLeast"/>
              <w:ind w:firstLine="0" w:firstLineChars="0"/>
              <w:rPr>
                <w:b/>
                <w:iCs/>
                <w:color w:val="000000"/>
              </w:rPr>
            </w:pPr>
            <w:r>
              <w:rPr>
                <w:rFonts w:hint="eastAsia"/>
                <w:b/>
                <w:iCs/>
                <w:color w:val="000000"/>
              </w:rPr>
              <w:t>2、新增客户及产品进展</w:t>
            </w:r>
          </w:p>
          <w:p>
            <w:pPr>
              <w:pStyle w:val="35"/>
              <w:spacing w:line="480" w:lineRule="atLeast"/>
              <w:ind w:firstLine="480"/>
              <w:rPr>
                <w:bCs/>
                <w:iCs/>
                <w:color w:val="000000"/>
              </w:rPr>
            </w:pPr>
            <w:r>
              <w:rPr>
                <w:rFonts w:hint="eastAsia"/>
                <w:bCs/>
                <w:iCs/>
                <w:color w:val="000000"/>
              </w:rPr>
              <w:t>（1）2025年上半年，公司5G MMMB产品在海外安卓客户持续稳定出货，同时公司L-PAMiF产品也已经在该客户出货，未来预计有更多的项目陆续量产；</w:t>
            </w:r>
          </w:p>
          <w:p>
            <w:pPr>
              <w:pStyle w:val="35"/>
              <w:spacing w:line="480" w:lineRule="atLeast"/>
              <w:ind w:firstLine="480"/>
              <w:rPr>
                <w:bCs/>
                <w:iCs/>
                <w:color w:val="000000"/>
              </w:rPr>
            </w:pPr>
            <w:r>
              <w:rPr>
                <w:rFonts w:hint="eastAsia"/>
                <w:bCs/>
                <w:iCs/>
                <w:color w:val="000000"/>
              </w:rPr>
              <w:t>（2）公司Phase8L产品在国内手机品牌客户的高端旗舰机型规模量产，是国内最早具备Phase8L方案量产能力的公司。</w:t>
            </w:r>
          </w:p>
          <w:p>
            <w:pPr>
              <w:spacing w:line="480" w:lineRule="atLeast"/>
              <w:ind w:firstLine="0" w:firstLineChars="0"/>
              <w:rPr>
                <w:b/>
                <w:iCs/>
                <w:color w:val="000000"/>
              </w:rPr>
            </w:pPr>
            <w:r>
              <w:rPr>
                <w:b/>
                <w:iCs/>
                <w:color w:val="000000"/>
              </w:rPr>
              <w:t>二、交流的主要问题及回复</w:t>
            </w:r>
          </w:p>
          <w:p>
            <w:pPr>
              <w:pStyle w:val="34"/>
              <w:spacing w:before="156" w:after="156"/>
              <w:ind w:firstLine="0" w:firstLineChars="0"/>
              <w:rPr>
                <w:b/>
                <w:szCs w:val="24"/>
              </w:rPr>
            </w:pPr>
            <w:r>
              <w:rPr>
                <w:rFonts w:hint="eastAsia"/>
                <w:b/>
                <w:szCs w:val="24"/>
              </w:rPr>
              <w:t>1、公司二季度营收主要增长点是哪些方面？</w:t>
            </w:r>
          </w:p>
          <w:p>
            <w:pPr>
              <w:spacing w:line="480" w:lineRule="atLeast"/>
              <w:ind w:firstLine="480"/>
              <w:rPr>
                <w:bCs/>
              </w:rPr>
            </w:pPr>
            <w:r>
              <w:rPr>
                <w:rFonts w:hint="eastAsia"/>
                <w:bCs/>
              </w:rPr>
              <w:t>2025年二季度，公司营业收入同比增长46.6%，环比增长59.0%。一方面，公司在海外安卓客户持续稳定出货；另一方面，公司Phase8L全集成L-PAMiD产品在国内手机品牌客户的高端旗舰机型规模量产，为公司带来了显著的增量收入。</w:t>
            </w:r>
          </w:p>
          <w:p>
            <w:pPr>
              <w:pStyle w:val="34"/>
              <w:spacing w:before="156" w:after="156"/>
              <w:ind w:firstLine="0" w:firstLineChars="0"/>
              <w:rPr>
                <w:b/>
                <w:szCs w:val="24"/>
              </w:rPr>
            </w:pPr>
            <w:r>
              <w:rPr>
                <w:rFonts w:hint="eastAsia"/>
                <w:b/>
                <w:szCs w:val="24"/>
              </w:rPr>
              <w:t>2、当前海外安卓客户对公司营收贡献情况，未来增长空间如何？</w:t>
            </w:r>
          </w:p>
          <w:p>
            <w:pPr>
              <w:pStyle w:val="34"/>
              <w:spacing w:before="156" w:after="156"/>
              <w:ind w:firstLine="480"/>
              <w:rPr>
                <w:bCs/>
                <w:szCs w:val="24"/>
              </w:rPr>
            </w:pPr>
            <w:r>
              <w:rPr>
                <w:rFonts w:hint="eastAsia"/>
                <w:bCs/>
                <w:szCs w:val="24"/>
              </w:rPr>
              <w:t>自2021年以来，公司经过持续努力，进入了海外安卓客户自研体系并成功取得项目订单。今年上半年，公司对该客户出货以5G MMMB产品为主。下半年5G L-PAMiF产品已经在该客户出货，给公司带来新的增量收入。</w:t>
            </w:r>
          </w:p>
          <w:p>
            <w:pPr>
              <w:pStyle w:val="34"/>
              <w:spacing w:before="156" w:after="156"/>
              <w:ind w:firstLine="0" w:firstLineChars="0"/>
              <w:rPr>
                <w:b/>
                <w:szCs w:val="24"/>
              </w:rPr>
            </w:pPr>
            <w:r>
              <w:rPr>
                <w:rFonts w:hint="eastAsia"/>
                <w:b/>
                <w:szCs w:val="24"/>
              </w:rPr>
              <w:t>3、公司在海外安卓客户导入的5G L-PAMiF产品有何优势？</w:t>
            </w:r>
          </w:p>
          <w:p>
            <w:pPr>
              <w:pStyle w:val="34"/>
              <w:spacing w:before="156" w:after="156"/>
              <w:ind w:firstLine="480"/>
              <w:rPr>
                <w:bCs/>
                <w:szCs w:val="24"/>
              </w:rPr>
            </w:pPr>
            <w:r>
              <w:rPr>
                <w:rFonts w:hint="eastAsia"/>
                <w:bCs/>
                <w:szCs w:val="24"/>
              </w:rPr>
              <w:t>自2019年公司推出5G L-PAMiF产品以来，已经在多家客户规模出货。同时，相比国内友商，公司</w:t>
            </w:r>
            <w:r>
              <w:rPr>
                <w:bCs/>
                <w:szCs w:val="24"/>
              </w:rPr>
              <w:t>5G L-PAMiF</w:t>
            </w:r>
            <w:r>
              <w:rPr>
                <w:rFonts w:hint="eastAsia"/>
                <w:bCs/>
                <w:szCs w:val="24"/>
              </w:rPr>
              <w:t>产品领先迭代，在性能和成本上形成了明显优势，因此具备了较强的市场竞争力。</w:t>
            </w:r>
          </w:p>
          <w:p>
            <w:pPr>
              <w:pStyle w:val="34"/>
              <w:spacing w:before="156" w:after="156"/>
              <w:ind w:firstLine="0" w:firstLineChars="0"/>
              <w:rPr>
                <w:b/>
                <w:szCs w:val="24"/>
              </w:rPr>
            </w:pPr>
            <w:r>
              <w:rPr>
                <w:rFonts w:hint="eastAsia"/>
                <w:b/>
                <w:szCs w:val="24"/>
              </w:rPr>
              <w:t>4、公司未来研发重点有哪些？</w:t>
            </w:r>
          </w:p>
          <w:p>
            <w:pPr>
              <w:pStyle w:val="34"/>
              <w:spacing w:before="156" w:after="156"/>
              <w:ind w:firstLine="480"/>
              <w:rPr>
                <w:bCs/>
                <w:szCs w:val="24"/>
              </w:rPr>
            </w:pPr>
            <w:r>
              <w:rPr>
                <w:rFonts w:hint="eastAsia"/>
                <w:bCs/>
                <w:szCs w:val="24"/>
              </w:rPr>
              <w:t>公司将持续投入资源，加深在射频前端领域的技术储备，加速产品迭代升级以匹配市场需求，夯实核心竞争力。在L-PAMiD产品方面，公司不断优化Phase 8L全集成方案产品的性能，同时前瞻性探索研发下一代L-PAMiD方案；在L-PAMiF产品方面，公司通过持续迭代升级，在增强性能同时提升性价比，保持市场竞争优势。</w:t>
            </w:r>
          </w:p>
          <w:p>
            <w:pPr>
              <w:pStyle w:val="34"/>
              <w:numPr>
                <w:ilvl w:val="255"/>
                <w:numId w:val="0"/>
              </w:numPr>
              <w:spacing w:before="156" w:after="156"/>
              <w:rPr>
                <w:b/>
                <w:szCs w:val="24"/>
              </w:rPr>
            </w:pPr>
            <w:r>
              <w:rPr>
                <w:rFonts w:hint="eastAsia"/>
                <w:b/>
                <w:szCs w:val="24"/>
              </w:rPr>
              <w:t>5、目前国内产商和美系厂商在客户端的竞争情况如何？</w:t>
            </w:r>
          </w:p>
          <w:p>
            <w:pPr>
              <w:pStyle w:val="34"/>
              <w:spacing w:before="156" w:after="156"/>
              <w:ind w:firstLine="480"/>
              <w:rPr>
                <w:szCs w:val="21"/>
              </w:rPr>
            </w:pPr>
            <w:r>
              <w:rPr>
                <w:rFonts w:hint="eastAsia"/>
                <w:szCs w:val="21"/>
              </w:rPr>
              <w:t>随着国际行业竞争格局的动态演变，部分国际射频前端厂商战略性收缩国内市场布局，同时国内厂商在高端产品上的突破也意味着高端产品国产化替代的前景明朗，逐步打破国际厂商在高端产品的垄断。</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Cs/>
                <w:iCs/>
                <w:color w:val="000000"/>
              </w:rPr>
            </w:pPr>
            <w:r>
              <w:rPr>
                <w:bCs/>
                <w:iCs/>
                <w:color w:val="000000"/>
              </w:rPr>
              <w:t>附件清单（如有）</w:t>
            </w:r>
          </w:p>
        </w:tc>
        <w:tc>
          <w:tcPr>
            <w:tcW w:w="6614" w:type="dxa"/>
            <w:tcBorders>
              <w:top w:val="single" w:color="auto" w:sz="4" w:space="0"/>
              <w:left w:val="single" w:color="auto" w:sz="4" w:space="0"/>
              <w:bottom w:val="single" w:color="auto" w:sz="4" w:space="0"/>
              <w:right w:val="single" w:color="auto" w:sz="4" w:space="0"/>
            </w:tcBorders>
            <w:vAlign w:val="center"/>
          </w:tcPr>
          <w:p>
            <w:pPr>
              <w:spacing w:line="480" w:lineRule="atLeast"/>
              <w:ind w:firstLine="0" w:firstLineChars="0"/>
              <w:jc w:val="left"/>
              <w:rPr>
                <w:bCs/>
                <w:iCs/>
                <w:color w:val="000000"/>
              </w:rPr>
            </w:pPr>
            <w:r>
              <w:rPr>
                <w:bCs/>
                <w:iCs/>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90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Cs/>
                <w:iCs/>
                <w:color w:val="000000"/>
              </w:rPr>
            </w:pPr>
            <w:r>
              <w:rPr>
                <w:bCs/>
                <w:iCs/>
                <w:color w:val="000000"/>
              </w:rPr>
              <w:t>关于本次活动是否涉及应当披露重大信息的说明</w:t>
            </w:r>
          </w:p>
        </w:tc>
        <w:tc>
          <w:tcPr>
            <w:tcW w:w="6614" w:type="dxa"/>
            <w:tcBorders>
              <w:top w:val="single" w:color="auto" w:sz="4" w:space="0"/>
              <w:left w:val="single" w:color="auto" w:sz="4" w:space="0"/>
              <w:bottom w:val="single" w:color="auto" w:sz="4" w:space="0"/>
              <w:right w:val="single" w:color="auto" w:sz="4" w:space="0"/>
            </w:tcBorders>
            <w:vAlign w:val="center"/>
          </w:tcPr>
          <w:p>
            <w:pPr>
              <w:spacing w:line="480" w:lineRule="atLeast"/>
              <w:ind w:firstLine="0" w:firstLineChars="0"/>
              <w:jc w:val="left"/>
              <w:rPr>
                <w:bCs/>
                <w:iCs/>
                <w:color w:val="000000"/>
              </w:rPr>
            </w:pPr>
            <w:r>
              <w:rPr>
                <w:bCs/>
                <w:iCs/>
                <w:color w:val="000000"/>
              </w:rPr>
              <w:t>本次活动不涉及应当披露重大信息。</w:t>
            </w:r>
          </w:p>
        </w:tc>
      </w:tr>
    </w:tbl>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737" w:footer="68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1E2CC6"/>
    <w:multiLevelType w:val="multilevel"/>
    <w:tmpl w:val="211E2CC6"/>
    <w:lvl w:ilvl="0" w:tentative="0">
      <w:start w:val="1"/>
      <w:numFmt w:val="chineseCountingThousand"/>
      <w:pStyle w:val="2"/>
      <w:suff w:val="nothing"/>
      <w:lvlText w:val="第%1节"/>
      <w:lvlJc w:val="left"/>
      <w:pPr>
        <w:ind w:left="0" w:firstLine="0"/>
      </w:pPr>
      <w:rPr>
        <w:rFonts w:hint="eastAsia" w:ascii="黑体" w:hAnsi="黑体" w:eastAsia="黑体"/>
        <w:b w:val="0"/>
        <w:i w:val="0"/>
        <w:sz w:val="32"/>
      </w:rPr>
    </w:lvl>
    <w:lvl w:ilvl="1" w:tentative="0">
      <w:start w:val="1"/>
      <w:numFmt w:val="koreanDigital2"/>
      <w:pStyle w:val="4"/>
      <w:suff w:val="nothing"/>
      <w:lvlText w:val="%2、"/>
      <w:lvlJc w:val="left"/>
      <w:pPr>
        <w:ind w:left="0" w:firstLine="0"/>
      </w:pPr>
      <w:rPr>
        <w:rFonts w:hint="default" w:ascii="Times New Roman" w:hAnsi="Times New Roman" w:cs="Times New Roman"/>
        <w:b w:val="0"/>
        <w:i w:val="0"/>
        <w:sz w:val="28"/>
      </w:rPr>
    </w:lvl>
    <w:lvl w:ilvl="2" w:tentative="0">
      <w:start w:val="1"/>
      <w:numFmt w:val="koreanDigital2"/>
      <w:pStyle w:val="5"/>
      <w:suff w:val="nothing"/>
      <w:lvlText w:val="（%3）"/>
      <w:lvlJc w:val="left"/>
      <w:pPr>
        <w:ind w:left="0" w:firstLine="0"/>
      </w:pPr>
      <w:rPr>
        <w:rFonts w:hint="default" w:ascii="Times New Roman" w:hAnsi="Times New Roman" w:cs="Times New Roman"/>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
      <w:suff w:val="nothing"/>
      <w:lvlText w:val="%4、"/>
      <w:lvlJc w:val="left"/>
      <w:pPr>
        <w:ind w:left="0" w:firstLine="0"/>
      </w:pPr>
      <w:rPr>
        <w:rFonts w:hint="default" w:ascii="Times New Roman" w:hAnsi="Times New Roman" w:cs="Times New Roman"/>
        <w:b/>
        <w:i w:val="0"/>
        <w:sz w:val="24"/>
      </w:rPr>
    </w:lvl>
    <w:lvl w:ilvl="4" w:tentative="0">
      <w:start w:val="1"/>
      <w:numFmt w:val="decimal"/>
      <w:pStyle w:val="7"/>
      <w:suff w:val="nothing"/>
      <w:lvlText w:val="（%5）"/>
      <w:lvlJc w:val="left"/>
      <w:pPr>
        <w:ind w:left="0" w:firstLine="0"/>
      </w:pPr>
      <w:rPr>
        <w:rFonts w:hint="default" w:ascii="Times New Roman" w:hAnsi="Times New Roman" w:cs="Times New Roman"/>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5" w:tentative="0">
      <w:start w:val="1"/>
      <w:numFmt w:val="decimal"/>
      <w:pStyle w:val="8"/>
      <w:suff w:val="nothing"/>
      <w:lvlText w:val="%6）"/>
      <w:lvlJc w:val="left"/>
      <w:pPr>
        <w:ind w:left="0" w:firstLine="0"/>
      </w:pPr>
      <w:rPr>
        <w:rFonts w:hint="default" w:ascii="Times New Roman" w:hAnsi="Times New Roman" w:cs="Times New Roman"/>
        <w:b w:val="0"/>
        <w:i w:val="0"/>
        <w:sz w:val="24"/>
        <w:u w:val="none"/>
      </w:rPr>
    </w:lvl>
    <w:lvl w:ilvl="6" w:tentative="0">
      <w:start w:val="1"/>
      <w:numFmt w:val="decimalEnclosedCircle"/>
      <w:pStyle w:val="9"/>
      <w:suff w:val="nothing"/>
      <w:lvlText w:val="%7"/>
      <w:lvlJc w:val="left"/>
      <w:pPr>
        <w:ind w:left="0" w:firstLine="0"/>
      </w:pPr>
      <w:rPr>
        <w:rFonts w:hint="default" w:ascii="Times New Roman" w:hAnsi="Times New Roman" w:cs="Times New Roman"/>
        <w:b w:val="0"/>
        <w:i w:val="0"/>
        <w:sz w:val="24"/>
        <w:lang w:val="en-US"/>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2NzBjZjY1N2M2ZDhiZTU1ZjM1ODczNDhiOWJkOTQifQ=="/>
  </w:docVars>
  <w:rsids>
    <w:rsidRoot w:val="002963FE"/>
    <w:rsid w:val="0000167D"/>
    <w:rsid w:val="00003434"/>
    <w:rsid w:val="00022B7C"/>
    <w:rsid w:val="00026015"/>
    <w:rsid w:val="00027259"/>
    <w:rsid w:val="000339DC"/>
    <w:rsid w:val="00051CCD"/>
    <w:rsid w:val="0005388C"/>
    <w:rsid w:val="00065F0D"/>
    <w:rsid w:val="000865B1"/>
    <w:rsid w:val="000876C2"/>
    <w:rsid w:val="00087737"/>
    <w:rsid w:val="000D1E57"/>
    <w:rsid w:val="001139B6"/>
    <w:rsid w:val="0012543D"/>
    <w:rsid w:val="0015691C"/>
    <w:rsid w:val="00167C0C"/>
    <w:rsid w:val="00180C6C"/>
    <w:rsid w:val="0018582C"/>
    <w:rsid w:val="001954EA"/>
    <w:rsid w:val="001C724B"/>
    <w:rsid w:val="001D0865"/>
    <w:rsid w:val="001E7710"/>
    <w:rsid w:val="00221BF8"/>
    <w:rsid w:val="00227AC2"/>
    <w:rsid w:val="00227ADB"/>
    <w:rsid w:val="0024611F"/>
    <w:rsid w:val="00247CBB"/>
    <w:rsid w:val="00252422"/>
    <w:rsid w:val="002756B6"/>
    <w:rsid w:val="00285407"/>
    <w:rsid w:val="00290F09"/>
    <w:rsid w:val="002963FE"/>
    <w:rsid w:val="002B3BDE"/>
    <w:rsid w:val="002B4578"/>
    <w:rsid w:val="002B55F2"/>
    <w:rsid w:val="00301862"/>
    <w:rsid w:val="0031037B"/>
    <w:rsid w:val="00317D5E"/>
    <w:rsid w:val="003310D8"/>
    <w:rsid w:val="003E2E84"/>
    <w:rsid w:val="003F3957"/>
    <w:rsid w:val="00417016"/>
    <w:rsid w:val="0042117C"/>
    <w:rsid w:val="00452299"/>
    <w:rsid w:val="0047324E"/>
    <w:rsid w:val="00476251"/>
    <w:rsid w:val="004846AD"/>
    <w:rsid w:val="0048582B"/>
    <w:rsid w:val="004A09A3"/>
    <w:rsid w:val="004A6B81"/>
    <w:rsid w:val="004B1074"/>
    <w:rsid w:val="004D53FD"/>
    <w:rsid w:val="00521287"/>
    <w:rsid w:val="00546DA6"/>
    <w:rsid w:val="00556977"/>
    <w:rsid w:val="00561621"/>
    <w:rsid w:val="005E6F03"/>
    <w:rsid w:val="00614719"/>
    <w:rsid w:val="00653806"/>
    <w:rsid w:val="00655546"/>
    <w:rsid w:val="006B2612"/>
    <w:rsid w:val="006B77DE"/>
    <w:rsid w:val="006C2415"/>
    <w:rsid w:val="006C4D1E"/>
    <w:rsid w:val="00704E46"/>
    <w:rsid w:val="007270B2"/>
    <w:rsid w:val="00734BE6"/>
    <w:rsid w:val="007351BF"/>
    <w:rsid w:val="00750E14"/>
    <w:rsid w:val="0076144B"/>
    <w:rsid w:val="00763AD2"/>
    <w:rsid w:val="007650DC"/>
    <w:rsid w:val="0077125A"/>
    <w:rsid w:val="00797315"/>
    <w:rsid w:val="007C4587"/>
    <w:rsid w:val="007D460F"/>
    <w:rsid w:val="007D4B02"/>
    <w:rsid w:val="007E1548"/>
    <w:rsid w:val="00832144"/>
    <w:rsid w:val="00837B2D"/>
    <w:rsid w:val="008511E7"/>
    <w:rsid w:val="0088215C"/>
    <w:rsid w:val="008852C9"/>
    <w:rsid w:val="00887733"/>
    <w:rsid w:val="008B3400"/>
    <w:rsid w:val="008D361D"/>
    <w:rsid w:val="008D52FF"/>
    <w:rsid w:val="008E4294"/>
    <w:rsid w:val="008E5B35"/>
    <w:rsid w:val="008F3795"/>
    <w:rsid w:val="0090347D"/>
    <w:rsid w:val="00933041"/>
    <w:rsid w:val="00934D41"/>
    <w:rsid w:val="0097755C"/>
    <w:rsid w:val="00A0143C"/>
    <w:rsid w:val="00A0229E"/>
    <w:rsid w:val="00A10F3E"/>
    <w:rsid w:val="00A21B70"/>
    <w:rsid w:val="00A30ABC"/>
    <w:rsid w:val="00A3142C"/>
    <w:rsid w:val="00A36504"/>
    <w:rsid w:val="00A61C39"/>
    <w:rsid w:val="00A730E8"/>
    <w:rsid w:val="00A92919"/>
    <w:rsid w:val="00AC56DD"/>
    <w:rsid w:val="00AC7233"/>
    <w:rsid w:val="00AD0821"/>
    <w:rsid w:val="00AD2345"/>
    <w:rsid w:val="00AF2045"/>
    <w:rsid w:val="00B0525B"/>
    <w:rsid w:val="00B12D8B"/>
    <w:rsid w:val="00B16710"/>
    <w:rsid w:val="00B17931"/>
    <w:rsid w:val="00B37FBE"/>
    <w:rsid w:val="00B44AB4"/>
    <w:rsid w:val="00B45C73"/>
    <w:rsid w:val="00BB5D25"/>
    <w:rsid w:val="00BD304D"/>
    <w:rsid w:val="00BF34F0"/>
    <w:rsid w:val="00C1198B"/>
    <w:rsid w:val="00C42CFC"/>
    <w:rsid w:val="00C52D2F"/>
    <w:rsid w:val="00C65FC9"/>
    <w:rsid w:val="00C80DC6"/>
    <w:rsid w:val="00C942B2"/>
    <w:rsid w:val="00C97EBD"/>
    <w:rsid w:val="00CA2638"/>
    <w:rsid w:val="00CB5F81"/>
    <w:rsid w:val="00CB7EC9"/>
    <w:rsid w:val="00CC6882"/>
    <w:rsid w:val="00CD2A92"/>
    <w:rsid w:val="00D0340A"/>
    <w:rsid w:val="00D23D83"/>
    <w:rsid w:val="00D276FC"/>
    <w:rsid w:val="00D66C99"/>
    <w:rsid w:val="00D8030D"/>
    <w:rsid w:val="00DA0CEA"/>
    <w:rsid w:val="00DB35E2"/>
    <w:rsid w:val="00DC5D00"/>
    <w:rsid w:val="00DC6A40"/>
    <w:rsid w:val="00DE04B2"/>
    <w:rsid w:val="00DE3BAC"/>
    <w:rsid w:val="00DF4C34"/>
    <w:rsid w:val="00E12FB9"/>
    <w:rsid w:val="00E3023D"/>
    <w:rsid w:val="00E3283D"/>
    <w:rsid w:val="00E3386A"/>
    <w:rsid w:val="00E41636"/>
    <w:rsid w:val="00E55047"/>
    <w:rsid w:val="00E80272"/>
    <w:rsid w:val="00EA14F1"/>
    <w:rsid w:val="00ED3BDA"/>
    <w:rsid w:val="00EE0117"/>
    <w:rsid w:val="00EF4C6C"/>
    <w:rsid w:val="00F0203F"/>
    <w:rsid w:val="00F03CE5"/>
    <w:rsid w:val="00F05EF2"/>
    <w:rsid w:val="00F1454F"/>
    <w:rsid w:val="00F22007"/>
    <w:rsid w:val="00F22152"/>
    <w:rsid w:val="00F810F3"/>
    <w:rsid w:val="00F957A5"/>
    <w:rsid w:val="00FA36D7"/>
    <w:rsid w:val="00FB4CD3"/>
    <w:rsid w:val="00FD666B"/>
    <w:rsid w:val="00FE3A01"/>
    <w:rsid w:val="02B92D50"/>
    <w:rsid w:val="05640F3F"/>
    <w:rsid w:val="07D068F2"/>
    <w:rsid w:val="0A174812"/>
    <w:rsid w:val="10890381"/>
    <w:rsid w:val="19343BCB"/>
    <w:rsid w:val="219775FD"/>
    <w:rsid w:val="22C30335"/>
    <w:rsid w:val="23993B8F"/>
    <w:rsid w:val="32255E38"/>
    <w:rsid w:val="3AFA3584"/>
    <w:rsid w:val="3C124C24"/>
    <w:rsid w:val="48115A30"/>
    <w:rsid w:val="489A279D"/>
    <w:rsid w:val="49D870B4"/>
    <w:rsid w:val="4E6107BB"/>
    <w:rsid w:val="54954BE7"/>
    <w:rsid w:val="59465F65"/>
    <w:rsid w:val="5B08458F"/>
    <w:rsid w:val="66A8423E"/>
    <w:rsid w:val="69783EC9"/>
    <w:rsid w:val="6F2436A8"/>
    <w:rsid w:val="71692EAD"/>
    <w:rsid w:val="77337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2"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next w:val="3"/>
    <w:link w:val="21"/>
    <w:qFormat/>
    <w:uiPriority w:val="1"/>
    <w:pPr>
      <w:keepNext/>
      <w:keepLines/>
      <w:pageBreakBefore/>
      <w:numPr>
        <w:ilvl w:val="0"/>
        <w:numId w:val="1"/>
      </w:numPr>
      <w:spacing w:before="50" w:beforeLines="50" w:after="50" w:afterLines="50" w:line="360" w:lineRule="auto"/>
      <w:jc w:val="center"/>
      <w:outlineLvl w:val="0"/>
    </w:pPr>
    <w:rPr>
      <w:rFonts w:ascii="Times New Roman" w:hAnsi="Times New Roman" w:eastAsia="黑体" w:cs="Times New Roman"/>
      <w:bCs/>
      <w:sz w:val="32"/>
      <w:szCs w:val="44"/>
      <w:lang w:val="en-US" w:eastAsia="zh-CN" w:bidi="ar-SA"/>
    </w:rPr>
  </w:style>
  <w:style w:type="paragraph" w:styleId="4">
    <w:name w:val="heading 2"/>
    <w:next w:val="3"/>
    <w:link w:val="22"/>
    <w:qFormat/>
    <w:uiPriority w:val="1"/>
    <w:pPr>
      <w:keepNext/>
      <w:keepLines/>
      <w:numPr>
        <w:ilvl w:val="1"/>
        <w:numId w:val="1"/>
      </w:numPr>
      <w:spacing w:before="50" w:beforeLines="50" w:after="50" w:afterLines="50" w:line="360" w:lineRule="auto"/>
      <w:jc w:val="both"/>
      <w:outlineLvl w:val="1"/>
    </w:pPr>
    <w:rPr>
      <w:rFonts w:ascii="Times New Roman" w:hAnsi="Times New Roman" w:eastAsia="黑体" w:cs="Times New Roman"/>
      <w:bCs/>
      <w:kern w:val="2"/>
      <w:sz w:val="28"/>
      <w:szCs w:val="32"/>
      <w:lang w:val="en-US" w:eastAsia="zh-CN" w:bidi="ar-SA"/>
    </w:rPr>
  </w:style>
  <w:style w:type="paragraph" w:styleId="5">
    <w:name w:val="heading 3"/>
    <w:next w:val="3"/>
    <w:link w:val="23"/>
    <w:qFormat/>
    <w:uiPriority w:val="1"/>
    <w:pPr>
      <w:keepNext/>
      <w:keepLines/>
      <w:numPr>
        <w:ilvl w:val="2"/>
        <w:numId w:val="1"/>
      </w:numPr>
      <w:snapToGrid w:val="0"/>
      <w:spacing w:before="50" w:beforeLines="50" w:after="50" w:afterLines="50" w:line="360" w:lineRule="auto"/>
      <w:jc w:val="both"/>
      <w:outlineLvl w:val="2"/>
    </w:pPr>
    <w:rPr>
      <w:rFonts w:ascii="Times New Roman" w:hAnsi="Times New Roman" w:eastAsia="黑体" w:cs="Times New Roman"/>
      <w:bCs/>
      <w:color w:val="000000"/>
      <w:sz w:val="24"/>
      <w:szCs w:val="24"/>
      <w:lang w:val="en-US" w:eastAsia="ar-SA" w:bidi="ar-SA"/>
    </w:rPr>
  </w:style>
  <w:style w:type="paragraph" w:styleId="6">
    <w:name w:val="heading 4"/>
    <w:next w:val="3"/>
    <w:link w:val="24"/>
    <w:qFormat/>
    <w:uiPriority w:val="1"/>
    <w:pPr>
      <w:keepNext/>
      <w:keepLines/>
      <w:numPr>
        <w:ilvl w:val="3"/>
        <w:numId w:val="1"/>
      </w:numPr>
      <w:spacing w:before="50" w:beforeLines="50" w:after="50" w:afterLines="50" w:line="360" w:lineRule="auto"/>
      <w:jc w:val="both"/>
      <w:outlineLvl w:val="3"/>
    </w:pPr>
    <w:rPr>
      <w:rFonts w:ascii="Times New Roman" w:hAnsi="Times New Roman" w:eastAsia="宋体" w:cs="Times New Roman"/>
      <w:b/>
      <w:bCs/>
      <w:kern w:val="2"/>
      <w:sz w:val="24"/>
      <w:szCs w:val="28"/>
      <w:lang w:val="en-US" w:eastAsia="zh-CN" w:bidi="ar-SA"/>
    </w:rPr>
  </w:style>
  <w:style w:type="paragraph" w:styleId="7">
    <w:name w:val="heading 5"/>
    <w:next w:val="3"/>
    <w:link w:val="25"/>
    <w:qFormat/>
    <w:uiPriority w:val="1"/>
    <w:pPr>
      <w:keepNext/>
      <w:keepLines/>
      <w:numPr>
        <w:ilvl w:val="4"/>
        <w:numId w:val="1"/>
      </w:numPr>
      <w:spacing w:before="50" w:beforeLines="50" w:after="50" w:afterLines="50" w:line="360" w:lineRule="auto"/>
      <w:outlineLvl w:val="4"/>
    </w:pPr>
    <w:rPr>
      <w:rFonts w:ascii="Times New Roman" w:hAnsi="Times New Roman" w:eastAsia="宋体" w:cs="Times New Roman"/>
      <w:bCs/>
      <w:kern w:val="2"/>
      <w:sz w:val="24"/>
      <w:szCs w:val="28"/>
      <w:lang w:val="en-US" w:eastAsia="zh-CN" w:bidi="ar-SA"/>
    </w:rPr>
  </w:style>
  <w:style w:type="paragraph" w:styleId="8">
    <w:name w:val="heading 6"/>
    <w:next w:val="3"/>
    <w:link w:val="26"/>
    <w:qFormat/>
    <w:uiPriority w:val="1"/>
    <w:pPr>
      <w:numPr>
        <w:ilvl w:val="5"/>
        <w:numId w:val="1"/>
      </w:numPr>
      <w:spacing w:before="50" w:beforeLines="50" w:after="50" w:afterLines="50" w:line="360" w:lineRule="auto"/>
      <w:ind w:firstLine="200" w:firstLineChars="200"/>
      <w:jc w:val="both"/>
      <w:outlineLvl w:val="5"/>
    </w:pPr>
    <w:rPr>
      <w:rFonts w:ascii="Times New Roman" w:hAnsi="Times New Roman" w:eastAsia="宋体" w:cs="Times New Roman"/>
      <w:bCs/>
      <w:kern w:val="2"/>
      <w:sz w:val="24"/>
      <w:szCs w:val="24"/>
      <w:lang w:val="en-US" w:eastAsia="zh-CN" w:bidi="ar-SA"/>
    </w:rPr>
  </w:style>
  <w:style w:type="paragraph" w:styleId="9">
    <w:name w:val="heading 7"/>
    <w:next w:val="3"/>
    <w:link w:val="27"/>
    <w:unhideWhenUsed/>
    <w:qFormat/>
    <w:uiPriority w:val="2"/>
    <w:pPr>
      <w:keepNext/>
      <w:keepLines/>
      <w:numPr>
        <w:ilvl w:val="6"/>
        <w:numId w:val="1"/>
      </w:numPr>
      <w:spacing w:before="50" w:beforeLines="50" w:after="50" w:afterLines="50" w:line="360" w:lineRule="auto"/>
      <w:outlineLvl w:val="6"/>
    </w:pPr>
    <w:rPr>
      <w:rFonts w:ascii="Times New Roman" w:hAnsi="Times New Roman" w:eastAsia="宋体" w:cs="Times New Roman"/>
      <w:bCs/>
      <w:kern w:val="2"/>
      <w:sz w:val="24"/>
      <w:szCs w:val="24"/>
      <w:lang w:val="en-US" w:eastAsia="zh-CN" w:bidi="ar-SA"/>
    </w:rPr>
  </w:style>
  <w:style w:type="character" w:default="1" w:styleId="19">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Normal Indent"/>
    <w:qFormat/>
    <w:uiPriority w:val="0"/>
    <w:pPr>
      <w:spacing w:before="50" w:beforeLines="50" w:line="360" w:lineRule="auto"/>
      <w:ind w:firstLine="200" w:firstLineChars="200"/>
      <w:jc w:val="both"/>
    </w:pPr>
    <w:rPr>
      <w:rFonts w:ascii="Times New Roman" w:hAnsi="Times New Roman" w:eastAsia="宋体" w:cs="Times New Roman"/>
      <w:kern w:val="2"/>
      <w:sz w:val="24"/>
      <w:szCs w:val="23"/>
      <w:lang w:val="en-US" w:eastAsia="zh-CN" w:bidi="ar-SA"/>
    </w:rPr>
  </w:style>
  <w:style w:type="paragraph" w:styleId="10">
    <w:name w:val="annotation text"/>
    <w:basedOn w:val="1"/>
    <w:link w:val="36"/>
    <w:semiHidden/>
    <w:unhideWhenUsed/>
    <w:qFormat/>
    <w:uiPriority w:val="99"/>
    <w:pPr>
      <w:jc w:val="left"/>
    </w:pPr>
  </w:style>
  <w:style w:type="paragraph" w:styleId="11">
    <w:name w:val="toc 3"/>
    <w:basedOn w:val="1"/>
    <w:next w:val="1"/>
    <w:unhideWhenUsed/>
    <w:qFormat/>
    <w:uiPriority w:val="39"/>
    <w:pPr>
      <w:ind w:left="840" w:leftChars="400"/>
    </w:pPr>
    <w:rPr>
      <w:rFonts w:eastAsia="黑体"/>
    </w:rPr>
  </w:style>
  <w:style w:type="paragraph" w:styleId="12">
    <w:name w:val="Balloon Text"/>
    <w:basedOn w:val="1"/>
    <w:link w:val="38"/>
    <w:semiHidden/>
    <w:unhideWhenUsed/>
    <w:qFormat/>
    <w:uiPriority w:val="99"/>
    <w:pPr>
      <w:spacing w:line="240" w:lineRule="auto"/>
    </w:pPr>
    <w:rPr>
      <w:sz w:val="18"/>
      <w:szCs w:val="18"/>
    </w:rPr>
  </w:style>
  <w:style w:type="paragraph" w:styleId="13">
    <w:name w:val="footer"/>
    <w:basedOn w:val="1"/>
    <w:link w:val="32"/>
    <w:qFormat/>
    <w:uiPriority w:val="0"/>
    <w:pPr>
      <w:tabs>
        <w:tab w:val="center" w:pos="4153"/>
        <w:tab w:val="right" w:pos="8306"/>
      </w:tabs>
      <w:snapToGrid w:val="0"/>
      <w:jc w:val="left"/>
    </w:pPr>
    <w:rPr>
      <w:sz w:val="18"/>
    </w:rPr>
  </w:style>
  <w:style w:type="paragraph" w:styleId="14">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rPr>
      <w:rFonts w:eastAsia="黑体"/>
    </w:rPr>
  </w:style>
  <w:style w:type="paragraph" w:styleId="16">
    <w:name w:val="toc 2"/>
    <w:basedOn w:val="1"/>
    <w:next w:val="1"/>
    <w:unhideWhenUsed/>
    <w:qFormat/>
    <w:uiPriority w:val="39"/>
    <w:pPr>
      <w:ind w:left="420" w:leftChars="200"/>
    </w:pPr>
    <w:rPr>
      <w:rFonts w:eastAsia="黑体"/>
    </w:rPr>
  </w:style>
  <w:style w:type="paragraph" w:styleId="17">
    <w:name w:val="annotation subject"/>
    <w:basedOn w:val="10"/>
    <w:next w:val="10"/>
    <w:link w:val="37"/>
    <w:semiHidden/>
    <w:unhideWhenUsed/>
    <w:qFormat/>
    <w:uiPriority w:val="99"/>
    <w:rPr>
      <w:b/>
      <w:bCs/>
    </w:rPr>
  </w:style>
  <w:style w:type="character" w:styleId="20">
    <w:name w:val="annotation reference"/>
    <w:basedOn w:val="19"/>
    <w:semiHidden/>
    <w:unhideWhenUsed/>
    <w:qFormat/>
    <w:uiPriority w:val="99"/>
    <w:rPr>
      <w:sz w:val="21"/>
      <w:szCs w:val="21"/>
    </w:rPr>
  </w:style>
  <w:style w:type="character" w:customStyle="1" w:styleId="21">
    <w:name w:val="标题 1 字符"/>
    <w:basedOn w:val="19"/>
    <w:link w:val="2"/>
    <w:qFormat/>
    <w:uiPriority w:val="1"/>
    <w:rPr>
      <w:rFonts w:ascii="Times New Roman" w:hAnsi="Times New Roman" w:eastAsia="黑体" w:cs="Times New Roman"/>
      <w:bCs/>
      <w:kern w:val="0"/>
      <w:sz w:val="32"/>
      <w:szCs w:val="44"/>
    </w:rPr>
  </w:style>
  <w:style w:type="character" w:customStyle="1" w:styleId="22">
    <w:name w:val="标题 2 字符"/>
    <w:basedOn w:val="19"/>
    <w:link w:val="4"/>
    <w:qFormat/>
    <w:uiPriority w:val="1"/>
    <w:rPr>
      <w:rFonts w:ascii="Times New Roman" w:hAnsi="Times New Roman" w:eastAsia="黑体" w:cs="Times New Roman"/>
      <w:bCs/>
      <w:sz w:val="28"/>
      <w:szCs w:val="32"/>
    </w:rPr>
  </w:style>
  <w:style w:type="character" w:customStyle="1" w:styleId="23">
    <w:name w:val="标题 3 字符"/>
    <w:basedOn w:val="19"/>
    <w:link w:val="5"/>
    <w:qFormat/>
    <w:uiPriority w:val="1"/>
    <w:rPr>
      <w:rFonts w:ascii="Times New Roman" w:hAnsi="Times New Roman" w:eastAsia="黑体" w:cs="Times New Roman"/>
      <w:bCs/>
      <w:color w:val="000000"/>
      <w:kern w:val="0"/>
      <w:sz w:val="24"/>
      <w:szCs w:val="24"/>
      <w:lang w:eastAsia="ar-SA"/>
    </w:rPr>
  </w:style>
  <w:style w:type="character" w:customStyle="1" w:styleId="24">
    <w:name w:val="标题 4 字符"/>
    <w:basedOn w:val="19"/>
    <w:link w:val="6"/>
    <w:qFormat/>
    <w:uiPriority w:val="1"/>
    <w:rPr>
      <w:rFonts w:ascii="Times New Roman" w:hAnsi="Times New Roman" w:eastAsia="宋体" w:cs="Times New Roman"/>
      <w:b/>
      <w:bCs/>
      <w:sz w:val="24"/>
      <w:szCs w:val="28"/>
    </w:rPr>
  </w:style>
  <w:style w:type="character" w:customStyle="1" w:styleId="25">
    <w:name w:val="标题 5 字符"/>
    <w:basedOn w:val="19"/>
    <w:link w:val="7"/>
    <w:qFormat/>
    <w:uiPriority w:val="1"/>
    <w:rPr>
      <w:rFonts w:ascii="Times New Roman" w:hAnsi="Times New Roman" w:eastAsia="宋体" w:cs="Times New Roman"/>
      <w:bCs/>
      <w:sz w:val="24"/>
      <w:szCs w:val="28"/>
    </w:rPr>
  </w:style>
  <w:style w:type="character" w:customStyle="1" w:styleId="26">
    <w:name w:val="标题 6 字符"/>
    <w:basedOn w:val="19"/>
    <w:link w:val="8"/>
    <w:qFormat/>
    <w:uiPriority w:val="1"/>
    <w:rPr>
      <w:rFonts w:ascii="Times New Roman" w:hAnsi="Times New Roman" w:eastAsia="宋体" w:cs="Times New Roman"/>
      <w:bCs/>
      <w:sz w:val="24"/>
      <w:szCs w:val="24"/>
    </w:rPr>
  </w:style>
  <w:style w:type="character" w:customStyle="1" w:styleId="27">
    <w:name w:val="标题 7 字符"/>
    <w:basedOn w:val="19"/>
    <w:link w:val="9"/>
    <w:qFormat/>
    <w:uiPriority w:val="2"/>
    <w:rPr>
      <w:rFonts w:ascii="Times New Roman" w:hAnsi="Times New Roman" w:eastAsia="宋体" w:cs="Times New Roman"/>
      <w:bCs/>
      <w:sz w:val="24"/>
      <w:szCs w:val="24"/>
    </w:rPr>
  </w:style>
  <w:style w:type="paragraph" w:customStyle="1" w:styleId="28">
    <w:name w:val="表格后说明"/>
    <w:next w:val="3"/>
    <w:qFormat/>
    <w:uiPriority w:val="3"/>
    <w:pPr>
      <w:jc w:val="both"/>
    </w:pPr>
    <w:rPr>
      <w:rFonts w:ascii="Times New Roman" w:hAnsi="Times New Roman" w:eastAsia="宋体" w:cs="Times New Roman"/>
      <w:kern w:val="2"/>
      <w:sz w:val="21"/>
      <w:szCs w:val="24"/>
      <w:lang w:val="en-US" w:eastAsia="zh-CN" w:bidi="ar-SA"/>
    </w:rPr>
  </w:style>
  <w:style w:type="paragraph" w:customStyle="1" w:styleId="29">
    <w:name w:val="表格前单位"/>
    <w:next w:val="3"/>
    <w:qFormat/>
    <w:uiPriority w:val="2"/>
    <w:pPr>
      <w:keepNext/>
      <w:jc w:val="right"/>
    </w:pPr>
    <w:rPr>
      <w:rFonts w:ascii="Times New Roman" w:hAnsi="Times New Roman" w:eastAsia="宋体" w:cs="Times New Roman"/>
      <w:kern w:val="2"/>
      <w:sz w:val="21"/>
      <w:szCs w:val="24"/>
      <w:lang w:val="en-US" w:eastAsia="zh-CN" w:bidi="ar-SA"/>
    </w:rPr>
  </w:style>
  <w:style w:type="table" w:customStyle="1" w:styleId="30">
    <w:name w:val="报告表格"/>
    <w:basedOn w:val="18"/>
    <w:qFormat/>
    <w:uiPriority w:val="99"/>
    <w:rPr>
      <w:sz w:val="18"/>
    </w:rPr>
  </w:style>
  <w:style w:type="paragraph" w:customStyle="1" w:styleId="31">
    <w:name w:val="TOC 标题1"/>
    <w:basedOn w:val="2"/>
    <w:next w:val="1"/>
    <w:unhideWhenUsed/>
    <w:qFormat/>
    <w:uiPriority w:val="39"/>
    <w:pPr>
      <w:pageBreakBefore w:val="0"/>
      <w:numPr>
        <w:numId w:val="0"/>
      </w:numPr>
      <w:snapToGrid w:val="0"/>
      <w:spacing w:before="240" w:beforeLines="0" w:after="0" w:afterLines="0" w:line="259" w:lineRule="auto"/>
      <w:outlineLvl w:val="9"/>
    </w:pPr>
    <w:rPr>
      <w:bCs w:val="0"/>
      <w:szCs w:val="32"/>
    </w:rPr>
  </w:style>
  <w:style w:type="character" w:customStyle="1" w:styleId="32">
    <w:name w:val="页脚 字符"/>
    <w:basedOn w:val="19"/>
    <w:link w:val="13"/>
    <w:qFormat/>
    <w:uiPriority w:val="0"/>
    <w:rPr>
      <w:rFonts w:ascii="Times New Roman" w:hAnsi="Times New Roman" w:eastAsia="宋体" w:cs="Times New Roman"/>
      <w:sz w:val="18"/>
      <w:szCs w:val="24"/>
    </w:rPr>
  </w:style>
  <w:style w:type="character" w:customStyle="1" w:styleId="33">
    <w:name w:val="页眉 字符"/>
    <w:basedOn w:val="19"/>
    <w:link w:val="14"/>
    <w:qFormat/>
    <w:uiPriority w:val="0"/>
    <w:rPr>
      <w:rFonts w:ascii="Times New Roman" w:hAnsi="Times New Roman" w:eastAsia="宋体" w:cs="Times New Roman"/>
      <w:sz w:val="18"/>
      <w:szCs w:val="24"/>
    </w:rPr>
  </w:style>
  <w:style w:type="paragraph" w:customStyle="1" w:styleId="34">
    <w:name w:val="005正文"/>
    <w:basedOn w:val="1"/>
    <w:qFormat/>
    <w:uiPriority w:val="0"/>
    <w:pPr>
      <w:spacing w:before="50" w:beforeLines="50" w:after="50" w:afterLines="50"/>
    </w:pPr>
    <w:rPr>
      <w:szCs w:val="22"/>
    </w:rPr>
  </w:style>
  <w:style w:type="paragraph" w:styleId="35">
    <w:name w:val="List Paragraph"/>
    <w:basedOn w:val="1"/>
    <w:unhideWhenUsed/>
    <w:qFormat/>
    <w:uiPriority w:val="99"/>
    <w:pPr>
      <w:ind w:firstLine="420"/>
    </w:pPr>
  </w:style>
  <w:style w:type="character" w:customStyle="1" w:styleId="36">
    <w:name w:val="批注文字 字符"/>
    <w:basedOn w:val="19"/>
    <w:link w:val="10"/>
    <w:semiHidden/>
    <w:qFormat/>
    <w:uiPriority w:val="99"/>
    <w:rPr>
      <w:rFonts w:ascii="Times New Roman" w:hAnsi="Times New Roman" w:eastAsia="宋体" w:cs="Times New Roman"/>
      <w:sz w:val="24"/>
      <w:szCs w:val="24"/>
    </w:rPr>
  </w:style>
  <w:style w:type="character" w:customStyle="1" w:styleId="37">
    <w:name w:val="批注主题 字符"/>
    <w:basedOn w:val="36"/>
    <w:link w:val="17"/>
    <w:semiHidden/>
    <w:qFormat/>
    <w:uiPriority w:val="99"/>
    <w:rPr>
      <w:rFonts w:ascii="Times New Roman" w:hAnsi="Times New Roman" w:eastAsia="宋体" w:cs="Times New Roman"/>
      <w:b/>
      <w:bCs/>
      <w:sz w:val="24"/>
      <w:szCs w:val="24"/>
    </w:rPr>
  </w:style>
  <w:style w:type="character" w:customStyle="1" w:styleId="38">
    <w:name w:val="批注框文本 字符"/>
    <w:basedOn w:val="19"/>
    <w:link w:val="12"/>
    <w:semiHidden/>
    <w:qFormat/>
    <w:uiPriority w:val="99"/>
    <w:rPr>
      <w:rFonts w:ascii="Times New Roman" w:hAnsi="Times New Roman" w:eastAsia="宋体" w:cs="Times New Roman"/>
      <w:sz w:val="18"/>
      <w:szCs w:val="18"/>
    </w:rPr>
  </w:style>
  <w:style w:type="paragraph" w:customStyle="1" w:styleId="39">
    <w:name w:val="修订1"/>
    <w:hidden/>
    <w:unhideWhenUsed/>
    <w:qFormat/>
    <w:uiPriority w:val="99"/>
    <w:rPr>
      <w:rFonts w:ascii="Times New Roman" w:hAnsi="Times New Roman" w:eastAsia="宋体" w:cs="Times New Roman"/>
      <w:kern w:val="2"/>
      <w:sz w:val="24"/>
      <w:szCs w:val="24"/>
      <w:lang w:val="en-US" w:eastAsia="zh-CN" w:bidi="ar-SA"/>
    </w:rPr>
  </w:style>
  <w:style w:type="character" w:customStyle="1" w:styleId="40">
    <w:name w:val="markedcontent"/>
    <w:basedOn w:val="19"/>
    <w:qFormat/>
    <w:uiPriority w:val="0"/>
  </w:style>
  <w:style w:type="paragraph" w:customStyle="1" w:styleId="41">
    <w:name w:val="修订2"/>
    <w:hidden/>
    <w:unhideWhenUsed/>
    <w:qFormat/>
    <w:uiPriority w:val="99"/>
    <w:rPr>
      <w:rFonts w:ascii="Times New Roman" w:hAnsi="Times New Roman" w:eastAsia="宋体" w:cs="Times New Roman"/>
      <w:kern w:val="2"/>
      <w:sz w:val="24"/>
      <w:szCs w:val="24"/>
      <w:lang w:val="en-US" w:eastAsia="zh-CN" w:bidi="ar-SA"/>
    </w:rPr>
  </w:style>
  <w:style w:type="paragraph" w:customStyle="1" w:styleId="42">
    <w:name w:val="修订3"/>
    <w:hidden/>
    <w:unhideWhenUsed/>
    <w:qFormat/>
    <w:uiPriority w:val="99"/>
    <w:rPr>
      <w:rFonts w:ascii="Times New Roman" w:hAnsi="Times New Roman" w:eastAsia="宋体" w:cs="Times New Roman"/>
      <w:kern w:val="2"/>
      <w:sz w:val="24"/>
      <w:szCs w:val="24"/>
      <w:lang w:val="en-US" w:eastAsia="zh-CN" w:bidi="ar-SA"/>
    </w:rPr>
  </w:style>
  <w:style w:type="paragraph" w:customStyle="1" w:styleId="43">
    <w:name w:val="修订4"/>
    <w:hidden/>
    <w:unhideWhenUsed/>
    <w:qFormat/>
    <w:uiPriority w:val="99"/>
    <w:rPr>
      <w:rFonts w:ascii="Times New Roman" w:hAnsi="Times New Roman" w:eastAsia="宋体" w:cs="Times New Roman"/>
      <w:kern w:val="2"/>
      <w:sz w:val="24"/>
      <w:szCs w:val="24"/>
      <w:lang w:val="en-US" w:eastAsia="zh-CN" w:bidi="ar-SA"/>
    </w:rPr>
  </w:style>
  <w:style w:type="paragraph" w:customStyle="1" w:styleId="44">
    <w:name w:val="修订5"/>
    <w:hidden/>
    <w:unhideWhenUsed/>
    <w:qFormat/>
    <w:uiPriority w:val="99"/>
    <w:rPr>
      <w:rFonts w:ascii="Times New Roman" w:hAnsi="Times New Roman" w:eastAsia="宋体" w:cs="Times New Roman"/>
      <w:kern w:val="2"/>
      <w:sz w:val="24"/>
      <w:szCs w:val="24"/>
      <w:lang w:val="en-US" w:eastAsia="zh-CN" w:bidi="ar-SA"/>
    </w:rPr>
  </w:style>
  <w:style w:type="paragraph" w:customStyle="1" w:styleId="45">
    <w:name w:val="修订6"/>
    <w:hidden/>
    <w:unhideWhenUsed/>
    <w:qFormat/>
    <w:uiPriority w:val="99"/>
    <w:rPr>
      <w:rFonts w:ascii="Times New Roman" w:hAnsi="Times New Roman" w:eastAsia="宋体" w:cs="Times New Roman"/>
      <w:kern w:val="2"/>
      <w:sz w:val="24"/>
      <w:szCs w:val="24"/>
      <w:lang w:val="en-US" w:eastAsia="zh-CN" w:bidi="ar-SA"/>
    </w:rPr>
  </w:style>
  <w:style w:type="paragraph" w:customStyle="1" w:styleId="46">
    <w:name w:val="Revision"/>
    <w:hidden/>
    <w:unhideWhenUsed/>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B47DF-0BC6-429D-8DCE-A7BF45721BAB}">
  <ds:schemaRefs/>
</ds:datastoreItem>
</file>

<file path=docProps/app.xml><?xml version="1.0" encoding="utf-8"?>
<Properties xmlns="http://schemas.openxmlformats.org/officeDocument/2006/extended-properties" xmlns:vt="http://schemas.openxmlformats.org/officeDocument/2006/docPropsVTypes">
  <Template>Normal</Template>
  <Pages>3</Pages>
  <Words>255</Words>
  <Characters>1459</Characters>
  <Lines>12</Lines>
  <Paragraphs>3</Paragraphs>
  <TotalTime>3</TotalTime>
  <ScaleCrop>false</ScaleCrop>
  <LinksUpToDate>false</LinksUpToDate>
  <CharactersWithSpaces>1711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2025-09-02T02:24:00Z</dcterms:created>
  <dc:creator>yatine Peng</dc:creator>
  <cp:lastModifiedBy>杜希贤</cp:lastModifiedBy>
  <dcterms:modified xsi:type="dcterms:W3CDTF">2025-09-02T07:51:48Z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23C5D71317F4403A80EFA3D07372DA77_13</vt:lpwstr>
  </property>
  <property fmtid="{D5CDD505-2E9C-101B-9397-08002B2CF9AE}" pid="4" name="KSOTemplateDocerSaveRecord">
    <vt:lpwstr>eyJoZGlkIjoiNGQ2OTc2ZDMzNWRiNzVlMzNiYjBiZGYxZjk4YzQ3NTIiLCJ1c2VySWQiOiIzNDk5NTQxNDIifQ==</vt:lpwstr>
  </property>
</Properties>
</file>