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1386F">
      <w:pPr>
        <w:autoSpaceDE w:val="0"/>
        <w:autoSpaceDN w:val="0"/>
        <w:spacing w:line="580" w:lineRule="exact"/>
        <w:ind w:left="120" w:firstLine="241" w:firstLineChars="100"/>
        <w:rPr>
          <w:rFonts w:ascii="宋体" w:hAnsi="宋体" w:eastAsia="宋体" w:cs="宋体"/>
          <w:sz w:val="24"/>
          <w:lang w:val="zh-CN" w:bidi="zh-CN"/>
        </w:rPr>
      </w:pPr>
      <w:r>
        <w:rPr>
          <w:rFonts w:ascii="宋体" w:hAnsi="宋体" w:eastAsia="宋体" w:cs="宋体"/>
          <w:b/>
          <w:bCs/>
          <w:sz w:val="24"/>
          <w:lang w:val="zh-CN" w:bidi="zh-CN"/>
        </w:rPr>
        <w:t>证券代码</w:t>
      </w:r>
      <w:r>
        <w:rPr>
          <w:rFonts w:hint="eastAsia" w:ascii="宋体" w:hAnsi="宋体" w:eastAsia="宋体" w:cs="宋体"/>
          <w:b/>
          <w:bCs/>
          <w:sz w:val="24"/>
          <w:lang w:val="zh-CN" w:bidi="zh-CN"/>
        </w:rPr>
        <w:t>：</w:t>
      </w:r>
      <w:r>
        <w:rPr>
          <w:rFonts w:ascii="Times New Roman" w:hAnsi="Times New Roman" w:eastAsia="宋体" w:cs="Times New Roman"/>
          <w:b/>
          <w:bCs/>
          <w:sz w:val="24"/>
          <w:lang w:val="zh-CN" w:bidi="zh-CN"/>
        </w:rPr>
        <w:t>6</w:t>
      </w:r>
      <w:r>
        <w:rPr>
          <w:rFonts w:ascii="Times New Roman" w:hAnsi="Times New Roman" w:eastAsia="宋体" w:cs="Times New Roman"/>
          <w:b/>
          <w:bCs/>
          <w:sz w:val="24"/>
          <w:lang w:bidi="zh-CN"/>
        </w:rPr>
        <w:t xml:space="preserve">88425  </w:t>
      </w:r>
      <w:r>
        <w:rPr>
          <w:rFonts w:hint="eastAsia" w:ascii="宋体" w:hAnsi="宋体" w:eastAsia="宋体" w:cs="宋体"/>
          <w:b/>
          <w:bCs/>
          <w:sz w:val="24"/>
          <w:lang w:bidi="zh-CN"/>
        </w:rPr>
        <w:t xml:space="preserve"> </w:t>
      </w:r>
      <w:r>
        <w:rPr>
          <w:rFonts w:hint="eastAsia" w:ascii="宋体" w:hAnsi="宋体" w:eastAsia="宋体" w:cs="宋体"/>
          <w:sz w:val="24"/>
          <w:lang w:bidi="zh-CN"/>
        </w:rPr>
        <w:t xml:space="preserve">                             </w:t>
      </w:r>
      <w:r>
        <w:rPr>
          <w:rFonts w:ascii="宋体" w:hAnsi="宋体" w:eastAsia="宋体" w:cs="宋体"/>
          <w:b/>
          <w:bCs/>
          <w:sz w:val="24"/>
          <w:lang w:val="zh-CN" w:bidi="zh-CN"/>
        </w:rPr>
        <w:t>证券简称：</w:t>
      </w:r>
      <w:r>
        <w:rPr>
          <w:rFonts w:hint="eastAsia" w:ascii="宋体" w:hAnsi="宋体" w:eastAsia="宋体" w:cs="宋体"/>
          <w:b/>
          <w:bCs/>
          <w:sz w:val="24"/>
          <w:lang w:bidi="zh-CN"/>
        </w:rPr>
        <w:t>铁建重工</w:t>
      </w:r>
      <w:r>
        <w:rPr>
          <w:rFonts w:ascii="宋体" w:hAnsi="宋体" w:eastAsia="宋体" w:cs="宋体"/>
          <w:sz w:val="24"/>
          <w:lang w:val="zh-CN" w:bidi="zh-CN"/>
        </w:rPr>
        <w:t xml:space="preserve"> </w:t>
      </w:r>
    </w:p>
    <w:p w14:paraId="3DF29769">
      <w:pPr>
        <w:autoSpaceDE w:val="0"/>
        <w:autoSpaceDN w:val="0"/>
        <w:spacing w:line="580" w:lineRule="exact"/>
        <w:jc w:val="center"/>
        <w:rPr>
          <w:rFonts w:ascii="Microsoft JhengHei" w:hAnsi="宋体" w:eastAsia="Microsoft JhengHei" w:cs="宋体"/>
          <w:b/>
          <w:kern w:val="0"/>
          <w:sz w:val="24"/>
          <w:szCs w:val="22"/>
          <w:lang w:val="zh-CN" w:bidi="zh-CN"/>
        </w:rPr>
      </w:pPr>
      <w:r>
        <w:rPr>
          <w:rFonts w:hint="eastAsia" w:ascii="方正小标宋简体" w:hAnsi="方正小标宋简体" w:eastAsia="方正小标宋简体" w:cs="方正小标宋简体"/>
          <w:bCs/>
          <w:kern w:val="0"/>
          <w:sz w:val="36"/>
          <w:szCs w:val="36"/>
          <w:lang w:bidi="zh-CN"/>
        </w:rPr>
        <w:t>中国铁建重工集团</w:t>
      </w:r>
      <w:r>
        <w:rPr>
          <w:rFonts w:hint="eastAsia" w:ascii="方正小标宋简体" w:hAnsi="方正小标宋简体" w:eastAsia="方正小标宋简体" w:cs="方正小标宋简体"/>
          <w:bCs/>
          <w:kern w:val="0"/>
          <w:sz w:val="36"/>
          <w:szCs w:val="36"/>
          <w:lang w:val="zh-CN" w:bidi="zh-CN"/>
        </w:rPr>
        <w:t>股份有限公司投资者关系活动记录表</w:t>
      </w:r>
    </w:p>
    <w:p w14:paraId="27B7783A">
      <w:pPr>
        <w:autoSpaceDE w:val="0"/>
        <w:autoSpaceDN w:val="0"/>
        <w:spacing w:line="580" w:lineRule="exact"/>
        <w:ind w:left="2"/>
        <w:jc w:val="right"/>
        <w:rPr>
          <w:rFonts w:ascii="宋体" w:hAnsi="宋体" w:eastAsia="宋体" w:cs="宋体"/>
          <w:sz w:val="24"/>
          <w:lang w:val="zh-CN" w:bidi="zh-CN"/>
        </w:rPr>
      </w:pPr>
      <w:r>
        <w:rPr>
          <w:rFonts w:ascii="宋体" w:hAnsi="宋体" w:eastAsia="宋体" w:cs="宋体"/>
          <w:sz w:val="24"/>
          <w:lang w:val="zh-CN" w:bidi="zh-CN"/>
        </w:rPr>
        <w:t xml:space="preserve">                                </w:t>
      </w:r>
      <w:r>
        <w:rPr>
          <w:rFonts w:ascii="宋体" w:hAnsi="宋体" w:eastAsia="宋体" w:cs="宋体"/>
          <w:b/>
          <w:bCs/>
          <w:sz w:val="24"/>
          <w:lang w:val="zh-CN" w:bidi="zh-CN"/>
        </w:rPr>
        <w:t xml:space="preserve"> 编号：</w:t>
      </w:r>
      <w:r>
        <w:rPr>
          <w:rFonts w:hint="eastAsia" w:ascii="宋体" w:hAnsi="宋体" w:eastAsia="宋体" w:cs="宋体"/>
          <w:b/>
          <w:bCs/>
          <w:sz w:val="24"/>
          <w:lang w:val="zh-CN" w:bidi="zh-CN"/>
        </w:rPr>
        <w:t>2025-00</w:t>
      </w:r>
      <w:r>
        <w:rPr>
          <w:rFonts w:hint="eastAsia" w:ascii="宋体" w:hAnsi="宋体" w:eastAsia="宋体" w:cs="宋体"/>
          <w:b/>
          <w:bCs/>
          <w:sz w:val="24"/>
          <w:lang w:bidi="zh-CN"/>
        </w:rPr>
        <w:t>2</w:t>
      </w:r>
      <w:r>
        <w:rPr>
          <w:rFonts w:ascii="宋体" w:hAnsi="宋体" w:eastAsia="宋体" w:cs="宋体"/>
          <w:b/>
          <w:bCs/>
          <w:sz w:val="24"/>
          <w:lang w:val="zh-CN" w:bidi="zh-CN"/>
        </w:rPr>
        <w:t xml:space="preserve">     </w:t>
      </w:r>
      <w:r>
        <w:rPr>
          <w:rFonts w:ascii="宋体" w:hAnsi="宋体" w:eastAsia="宋体" w:cs="宋体"/>
          <w:sz w:val="24"/>
          <w:lang w:val="zh-CN" w:bidi="zh-CN"/>
        </w:rPr>
        <w:t xml:space="preserve">                 </w:t>
      </w:r>
    </w:p>
    <w:tbl>
      <w:tblPr>
        <w:tblStyle w:val="12"/>
        <w:tblW w:w="86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5"/>
        <w:gridCol w:w="7052"/>
      </w:tblGrid>
      <w:tr w14:paraId="19299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0" w:hRule="atLeast"/>
          <w:jc w:val="center"/>
        </w:trPr>
        <w:tc>
          <w:tcPr>
            <w:tcW w:w="1645" w:type="dxa"/>
            <w:vAlign w:val="center"/>
          </w:tcPr>
          <w:p w14:paraId="01124CB0">
            <w:pPr>
              <w:autoSpaceDE w:val="0"/>
              <w:autoSpaceDN w:val="0"/>
              <w:spacing w:before="91" w:line="261" w:lineRule="auto"/>
              <w:ind w:left="107" w:right="96"/>
              <w:jc w:val="center"/>
              <w:rPr>
                <w:rFonts w:ascii="Microsoft JhengHei" w:hAnsi="宋体" w:eastAsia="宋体" w:cs="宋体"/>
                <w:b/>
                <w:sz w:val="24"/>
                <w:szCs w:val="22"/>
                <w:lang w:val="zh-CN" w:bidi="zh-CN"/>
              </w:rPr>
            </w:pPr>
            <w:r>
              <w:rPr>
                <w:rFonts w:hint="eastAsia" w:ascii="方正小标宋简体" w:hAnsi="方正小标宋简体" w:eastAsia="方正小标宋简体" w:cs="方正小标宋简体"/>
                <w:bCs/>
                <w:sz w:val="24"/>
                <w:lang w:val="zh-CN" w:bidi="zh-CN"/>
              </w:rPr>
              <w:t>投资者关系活动类别</w:t>
            </w:r>
          </w:p>
        </w:tc>
        <w:tc>
          <w:tcPr>
            <w:tcW w:w="7052" w:type="dxa"/>
          </w:tcPr>
          <w:p w14:paraId="5E0D7312">
            <w:pPr>
              <w:autoSpaceDE w:val="0"/>
              <w:autoSpaceDN w:val="0"/>
              <w:spacing w:before="170"/>
              <w:ind w:firstLine="480" w:firstLineChars="200"/>
              <w:rPr>
                <w:rFonts w:ascii="宋体" w:hAnsi="宋体" w:eastAsia="宋体" w:cs="宋体"/>
                <w:sz w:val="24"/>
                <w:szCs w:val="22"/>
                <w:lang w:val="zh-CN" w:bidi="zh-CN"/>
              </w:rPr>
            </w:pPr>
            <w:r>
              <w:rPr>
                <w:rFonts w:hint="eastAsia" w:ascii="宋体" w:hAnsi="宋体" w:eastAsia="宋体" w:cs="宋体"/>
                <w:sz w:val="24"/>
                <w:szCs w:val="22"/>
                <w:lang w:val="zh-CN" w:bidi="zh-CN"/>
              </w:rPr>
              <w:sym w:font="Wingdings 2" w:char="00A3"/>
            </w:r>
            <w:r>
              <w:rPr>
                <w:rFonts w:hint="eastAsia" w:ascii="宋体" w:hAnsi="宋体" w:eastAsia="宋体" w:cs="宋体"/>
                <w:sz w:val="24"/>
                <w:szCs w:val="22"/>
                <w:lang w:val="zh-CN" w:bidi="zh-CN"/>
              </w:rPr>
              <w:t>特定对象调研</w:t>
            </w:r>
            <w:r>
              <w:rPr>
                <w:rFonts w:hint="eastAsia" w:ascii="宋体" w:hAnsi="宋体" w:eastAsia="宋体" w:cs="宋体"/>
                <w:b/>
                <w:bCs/>
                <w:sz w:val="24"/>
                <w:szCs w:val="22"/>
                <w:lang w:val="zh-CN" w:bidi="zh-CN"/>
              </w:rPr>
              <w:t xml:space="preserve"> </w:t>
            </w:r>
            <w:r>
              <w:rPr>
                <w:rFonts w:hint="eastAsia" w:ascii="宋体" w:hAnsi="宋体" w:eastAsia="宋体" w:cs="宋体"/>
                <w:sz w:val="24"/>
                <w:szCs w:val="22"/>
                <w:lang w:val="zh-CN" w:bidi="zh-CN"/>
              </w:rPr>
              <w:t xml:space="preserve">     </w:t>
            </w:r>
            <w:r>
              <w:rPr>
                <w:rFonts w:hint="eastAsia" w:ascii="宋体" w:hAnsi="宋体" w:eastAsia="宋体" w:cs="宋体"/>
                <w:sz w:val="24"/>
                <w:szCs w:val="22"/>
                <w:lang w:bidi="zh-CN"/>
              </w:rPr>
              <w:t xml:space="preserve">  </w:t>
            </w:r>
            <w:r>
              <w:rPr>
                <w:rFonts w:hint="eastAsia" w:ascii="宋体" w:hAnsi="宋体" w:eastAsia="宋体" w:cs="宋体"/>
                <w:sz w:val="24"/>
                <w:szCs w:val="22"/>
                <w:lang w:val="zh-CN" w:bidi="zh-CN"/>
              </w:rPr>
              <w:t xml:space="preserve">□分析师会议 </w:t>
            </w:r>
          </w:p>
          <w:p w14:paraId="57CA6D77">
            <w:pPr>
              <w:autoSpaceDE w:val="0"/>
              <w:autoSpaceDN w:val="0"/>
              <w:spacing w:before="172"/>
              <w:ind w:firstLine="480" w:firstLineChars="200"/>
              <w:rPr>
                <w:rFonts w:ascii="宋体" w:hAnsi="宋体" w:eastAsia="宋体" w:cs="宋体"/>
                <w:sz w:val="24"/>
                <w:szCs w:val="22"/>
                <w:lang w:val="zh-CN" w:bidi="zh-CN"/>
              </w:rPr>
            </w:pPr>
            <w:r>
              <w:rPr>
                <w:rFonts w:hint="eastAsia" w:ascii="宋体" w:hAnsi="宋体" w:eastAsia="宋体" w:cs="宋体"/>
                <w:sz w:val="24"/>
                <w:szCs w:val="22"/>
                <w:lang w:val="zh-CN" w:bidi="zh-CN"/>
              </w:rPr>
              <w:sym w:font="Wingdings 2" w:char="00A3"/>
            </w:r>
            <w:r>
              <w:rPr>
                <w:rFonts w:hint="eastAsia" w:ascii="宋体" w:hAnsi="宋体" w:eastAsia="宋体" w:cs="宋体"/>
                <w:sz w:val="24"/>
                <w:szCs w:val="22"/>
                <w:lang w:val="zh-CN" w:bidi="zh-CN"/>
              </w:rPr>
              <w:t xml:space="preserve">媒体采访            ☑业绩说明会 </w:t>
            </w:r>
          </w:p>
          <w:p w14:paraId="6AB0CA9D">
            <w:pPr>
              <w:autoSpaceDE w:val="0"/>
              <w:autoSpaceDN w:val="0"/>
              <w:spacing w:before="173"/>
              <w:ind w:firstLine="480" w:firstLineChars="200"/>
              <w:rPr>
                <w:rFonts w:ascii="宋体" w:hAnsi="宋体" w:eastAsia="宋体" w:cs="宋体"/>
                <w:sz w:val="24"/>
                <w:szCs w:val="22"/>
                <w:lang w:val="zh-CN" w:bidi="zh-CN"/>
              </w:rPr>
            </w:pPr>
            <w:r>
              <w:rPr>
                <w:rFonts w:hint="eastAsia" w:ascii="宋体" w:hAnsi="宋体" w:eastAsia="宋体" w:cs="宋体"/>
                <w:sz w:val="24"/>
                <w:szCs w:val="22"/>
                <w:lang w:val="zh-CN" w:bidi="zh-CN"/>
              </w:rPr>
              <w:t xml:space="preserve">□新闻发布会 </w:t>
            </w:r>
            <w:r>
              <w:rPr>
                <w:rFonts w:hint="eastAsia" w:ascii="宋体" w:hAnsi="宋体" w:eastAsia="宋体" w:cs="宋体"/>
                <w:sz w:val="24"/>
                <w:szCs w:val="22"/>
                <w:lang w:bidi="zh-CN"/>
              </w:rPr>
              <w:t xml:space="preserve">         </w:t>
            </w:r>
            <w:r>
              <w:rPr>
                <w:rFonts w:hint="eastAsia" w:ascii="宋体" w:hAnsi="宋体" w:eastAsia="宋体" w:cs="宋体"/>
                <w:sz w:val="24"/>
                <w:szCs w:val="22"/>
                <w:lang w:val="zh-CN" w:bidi="zh-CN"/>
              </w:rPr>
              <w:t xml:space="preserve">□路演活动 </w:t>
            </w:r>
          </w:p>
          <w:p w14:paraId="1BA43DE8">
            <w:pPr>
              <w:tabs>
                <w:tab w:val="left" w:pos="3154"/>
              </w:tabs>
              <w:autoSpaceDE w:val="0"/>
              <w:autoSpaceDN w:val="0"/>
              <w:spacing w:before="173"/>
              <w:ind w:firstLine="480" w:firstLineChars="200"/>
              <w:rPr>
                <w:rFonts w:ascii="宋体" w:hAnsi="宋体" w:eastAsia="宋体" w:cs="宋体"/>
                <w:sz w:val="24"/>
                <w:szCs w:val="22"/>
                <w:lang w:val="zh-CN" w:bidi="zh-CN"/>
              </w:rPr>
            </w:pPr>
            <w:r>
              <w:rPr>
                <w:rFonts w:hint="eastAsia" w:ascii="宋体" w:hAnsi="宋体" w:eastAsia="宋体" w:cs="宋体"/>
                <w:sz w:val="24"/>
                <w:szCs w:val="22"/>
                <w:lang w:val="zh-CN" w:bidi="zh-CN"/>
              </w:rPr>
              <w:t>☑现场交流</w:t>
            </w:r>
            <w:r>
              <w:rPr>
                <w:rFonts w:hint="eastAsia" w:ascii="宋体" w:hAnsi="宋体" w:eastAsia="宋体" w:cs="宋体"/>
                <w:sz w:val="24"/>
                <w:szCs w:val="22"/>
                <w:lang w:bidi="zh-CN"/>
              </w:rPr>
              <w:t xml:space="preserve">            </w:t>
            </w:r>
            <w:r>
              <w:rPr>
                <w:rFonts w:hint="eastAsia" w:ascii="宋体" w:hAnsi="宋体" w:eastAsia="宋体" w:cs="宋体"/>
                <w:sz w:val="24"/>
                <w:szCs w:val="22"/>
                <w:lang w:val="zh-CN" w:bidi="zh-CN"/>
              </w:rPr>
              <w:t>□电话会议</w:t>
            </w:r>
          </w:p>
          <w:p w14:paraId="45997CA2">
            <w:pPr>
              <w:tabs>
                <w:tab w:val="left" w:pos="3154"/>
              </w:tabs>
              <w:autoSpaceDE w:val="0"/>
              <w:autoSpaceDN w:val="0"/>
              <w:spacing w:before="173"/>
              <w:ind w:firstLine="480" w:firstLineChars="200"/>
              <w:rPr>
                <w:rFonts w:ascii="宋体" w:hAnsi="宋体" w:eastAsia="宋体" w:cs="宋体"/>
                <w:sz w:val="24"/>
                <w:szCs w:val="22"/>
                <w:lang w:val="zh-CN" w:bidi="zh-CN"/>
              </w:rPr>
            </w:pPr>
            <w:r>
              <w:rPr>
                <w:rFonts w:hint="eastAsia" w:ascii="宋体" w:hAnsi="宋体" w:eastAsia="宋体" w:cs="宋体"/>
                <w:sz w:val="24"/>
                <w:szCs w:val="22"/>
                <w:lang w:val="zh-CN" w:bidi="zh-CN"/>
              </w:rPr>
              <w:t>□投资策略会</w:t>
            </w:r>
            <w:r>
              <w:rPr>
                <w:rFonts w:hint="eastAsia" w:ascii="宋体" w:hAnsi="宋体" w:eastAsia="宋体" w:cs="宋体"/>
                <w:sz w:val="24"/>
                <w:szCs w:val="22"/>
                <w:lang w:bidi="zh-CN"/>
              </w:rPr>
              <w:t xml:space="preserve">          </w:t>
            </w:r>
            <w:r>
              <w:rPr>
                <w:rFonts w:hint="eastAsia" w:ascii="宋体" w:hAnsi="宋体" w:eastAsia="宋体" w:cs="宋体"/>
                <w:sz w:val="24"/>
                <w:szCs w:val="22"/>
                <w:lang w:val="zh-CN" w:bidi="zh-CN"/>
              </w:rPr>
              <w:t xml:space="preserve">□其他  </w:t>
            </w:r>
            <w:r>
              <w:rPr>
                <w:rFonts w:hint="eastAsia" w:ascii="宋体" w:hAnsi="宋体" w:eastAsia="宋体" w:cs="宋体"/>
                <w:sz w:val="24"/>
                <w:szCs w:val="22"/>
                <w:lang w:bidi="zh-CN"/>
              </w:rPr>
              <w:t xml:space="preserve">     </w:t>
            </w:r>
          </w:p>
        </w:tc>
      </w:tr>
      <w:tr w14:paraId="2F0AD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9" w:hRule="atLeast"/>
          <w:jc w:val="center"/>
        </w:trPr>
        <w:tc>
          <w:tcPr>
            <w:tcW w:w="1645" w:type="dxa"/>
            <w:vAlign w:val="center"/>
          </w:tcPr>
          <w:p w14:paraId="17D94A64">
            <w:pPr>
              <w:autoSpaceDE w:val="0"/>
              <w:autoSpaceDN w:val="0"/>
              <w:spacing w:before="91" w:line="261" w:lineRule="auto"/>
              <w:ind w:left="107" w:right="96"/>
              <w:jc w:val="center"/>
              <w:rPr>
                <w:rFonts w:ascii="Microsoft JhengHei" w:hAnsi="宋体" w:eastAsia="Microsoft JhengHei" w:cs="宋体"/>
                <w:b/>
                <w:sz w:val="24"/>
                <w:szCs w:val="22"/>
                <w:lang w:val="zh-CN" w:bidi="zh-CN"/>
              </w:rPr>
            </w:pPr>
            <w:r>
              <w:rPr>
                <w:rFonts w:hint="eastAsia" w:ascii="方正小标宋简体" w:hAnsi="方正小标宋简体" w:eastAsia="方正小标宋简体" w:cs="方正小标宋简体"/>
                <w:bCs/>
                <w:sz w:val="24"/>
                <w:lang w:val="zh-CN" w:bidi="zh-CN"/>
              </w:rPr>
              <w:t>参与单位名称及人员姓名</w:t>
            </w:r>
          </w:p>
        </w:tc>
        <w:tc>
          <w:tcPr>
            <w:tcW w:w="7052" w:type="dxa"/>
            <w:vAlign w:val="center"/>
          </w:tcPr>
          <w:p w14:paraId="19928B0D">
            <w:pPr>
              <w:autoSpaceDE w:val="0"/>
              <w:autoSpaceDN w:val="0"/>
              <w:spacing w:line="480" w:lineRule="exact"/>
              <w:rPr>
                <w:rFonts w:ascii="宋体" w:hAnsi="宋体" w:eastAsia="宋体" w:cs="宋体"/>
                <w:sz w:val="24"/>
                <w:szCs w:val="22"/>
                <w:lang w:bidi="zh-CN"/>
              </w:rPr>
            </w:pPr>
            <w:r>
              <w:rPr>
                <w:rFonts w:hint="eastAsia" w:ascii="宋体" w:hAnsi="宋体" w:eastAsia="宋体" w:cs="宋体"/>
                <w:sz w:val="24"/>
                <w:szCs w:val="22"/>
                <w:lang w:bidi="zh-CN"/>
              </w:rPr>
              <w:t>中金公司、财信基金、江山创投、华洲投资、立春投资、三泽创投、凯荣投资、众为资本、鸿通投资、财信人寿、玖玥泉私募、润辉启泰、长投控股、长财私募、兴威投资、融信私募、信荣投资、甲骨文私募、潇湘资本、中信建投、中信证券、财信证券、华源证券、广发证券、国联证券、国泰海通证券、湘财证券等机构</w:t>
            </w:r>
          </w:p>
        </w:tc>
      </w:tr>
      <w:tr w14:paraId="5F93A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5" w:hRule="atLeast"/>
          <w:jc w:val="center"/>
        </w:trPr>
        <w:tc>
          <w:tcPr>
            <w:tcW w:w="1645" w:type="dxa"/>
            <w:vAlign w:val="center"/>
          </w:tcPr>
          <w:p w14:paraId="70ADD919">
            <w:pPr>
              <w:autoSpaceDE w:val="0"/>
              <w:autoSpaceDN w:val="0"/>
              <w:spacing w:before="91" w:line="261" w:lineRule="auto"/>
              <w:ind w:left="107" w:right="96"/>
              <w:jc w:val="center"/>
              <w:rPr>
                <w:rFonts w:ascii="Times New Roman" w:hAnsi="Times New Roman" w:eastAsia="Microsoft JhengHei" w:cs="Times New Roman"/>
                <w:b/>
                <w:sz w:val="24"/>
                <w:szCs w:val="22"/>
                <w:lang w:val="zh-CN" w:bidi="zh-CN"/>
              </w:rPr>
            </w:pPr>
            <w:r>
              <w:rPr>
                <w:rFonts w:ascii="方正小标宋简体" w:hAnsi="方正小标宋简体" w:eastAsia="方正小标宋简体" w:cs="方正小标宋简体"/>
                <w:bCs/>
                <w:sz w:val="24"/>
                <w:lang w:val="zh-CN" w:bidi="zh-CN"/>
              </w:rPr>
              <w:t>时  间</w:t>
            </w:r>
          </w:p>
        </w:tc>
        <w:tc>
          <w:tcPr>
            <w:tcW w:w="7052" w:type="dxa"/>
            <w:vAlign w:val="center"/>
          </w:tcPr>
          <w:p w14:paraId="4AEEE4E0">
            <w:pPr>
              <w:autoSpaceDE w:val="0"/>
              <w:autoSpaceDN w:val="0"/>
              <w:spacing w:before="170" w:line="289" w:lineRule="exact"/>
              <w:rPr>
                <w:rFonts w:ascii="Times New Roman" w:hAnsi="Times New Roman" w:eastAsia="宋体" w:cs="Times New Roman"/>
                <w:sz w:val="24"/>
                <w:szCs w:val="22"/>
                <w:lang w:bidi="zh-CN"/>
              </w:rPr>
            </w:pPr>
            <w:r>
              <w:rPr>
                <w:rFonts w:ascii="Times New Roman" w:hAnsi="Times New Roman" w:eastAsia="宋体" w:cs="Times New Roman"/>
                <w:sz w:val="24"/>
                <w:szCs w:val="22"/>
                <w:lang w:bidi="zh-CN"/>
              </w:rPr>
              <w:t>202</w:t>
            </w:r>
            <w:r>
              <w:rPr>
                <w:rFonts w:hint="eastAsia" w:ascii="Times New Roman" w:hAnsi="Times New Roman" w:eastAsia="宋体" w:cs="Times New Roman"/>
                <w:sz w:val="24"/>
                <w:szCs w:val="22"/>
                <w:lang w:bidi="zh-CN"/>
              </w:rPr>
              <w:t>5</w:t>
            </w:r>
            <w:r>
              <w:rPr>
                <w:rFonts w:ascii="Times New Roman" w:hAnsi="Times New Roman" w:eastAsia="宋体" w:cs="Times New Roman"/>
                <w:sz w:val="24"/>
                <w:szCs w:val="22"/>
                <w:lang w:bidi="zh-CN"/>
              </w:rPr>
              <w:t>年</w:t>
            </w:r>
            <w:r>
              <w:rPr>
                <w:rFonts w:hint="eastAsia" w:ascii="Times New Roman" w:hAnsi="Times New Roman" w:eastAsia="宋体" w:cs="Times New Roman"/>
                <w:sz w:val="24"/>
                <w:szCs w:val="22"/>
                <w:lang w:bidi="zh-CN"/>
              </w:rPr>
              <w:t>9</w:t>
            </w:r>
            <w:r>
              <w:rPr>
                <w:rFonts w:ascii="Times New Roman" w:hAnsi="Times New Roman" w:eastAsia="宋体" w:cs="Times New Roman"/>
                <w:sz w:val="24"/>
                <w:szCs w:val="22"/>
                <w:lang w:bidi="zh-CN"/>
              </w:rPr>
              <w:t>月</w:t>
            </w:r>
            <w:r>
              <w:rPr>
                <w:rFonts w:hint="eastAsia" w:ascii="Times New Roman" w:hAnsi="Times New Roman" w:eastAsia="宋体" w:cs="Times New Roman"/>
                <w:sz w:val="24"/>
                <w:szCs w:val="22"/>
                <w:lang w:bidi="zh-CN"/>
              </w:rPr>
              <w:t>2</w:t>
            </w:r>
            <w:r>
              <w:rPr>
                <w:rFonts w:ascii="Times New Roman" w:hAnsi="Times New Roman" w:eastAsia="宋体" w:cs="Times New Roman"/>
                <w:sz w:val="24"/>
                <w:szCs w:val="22"/>
                <w:lang w:bidi="zh-CN"/>
              </w:rPr>
              <w:t>日</w:t>
            </w:r>
          </w:p>
        </w:tc>
      </w:tr>
      <w:tr w14:paraId="18133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6" w:hRule="atLeast"/>
          <w:jc w:val="center"/>
        </w:trPr>
        <w:tc>
          <w:tcPr>
            <w:tcW w:w="1645" w:type="dxa"/>
            <w:vAlign w:val="center"/>
          </w:tcPr>
          <w:p w14:paraId="4C4155F8">
            <w:pPr>
              <w:autoSpaceDE w:val="0"/>
              <w:autoSpaceDN w:val="0"/>
              <w:spacing w:before="91" w:line="261" w:lineRule="auto"/>
              <w:ind w:left="107" w:right="96"/>
              <w:jc w:val="center"/>
              <w:rPr>
                <w:rFonts w:ascii="Microsoft JhengHei" w:hAnsi="宋体" w:eastAsia="Microsoft JhengHei" w:cs="宋体"/>
                <w:b/>
                <w:sz w:val="24"/>
                <w:szCs w:val="22"/>
                <w:lang w:val="zh-CN" w:bidi="zh-CN"/>
              </w:rPr>
            </w:pPr>
            <w:r>
              <w:rPr>
                <w:rFonts w:hint="eastAsia" w:ascii="方正小标宋简体" w:hAnsi="方正小标宋简体" w:eastAsia="方正小标宋简体" w:cs="方正小标宋简体"/>
                <w:bCs/>
                <w:sz w:val="24"/>
                <w:lang w:val="zh-CN" w:bidi="zh-CN"/>
              </w:rPr>
              <w:t>地  点</w:t>
            </w:r>
          </w:p>
        </w:tc>
        <w:tc>
          <w:tcPr>
            <w:tcW w:w="7052" w:type="dxa"/>
            <w:vAlign w:val="center"/>
          </w:tcPr>
          <w:p w14:paraId="73B6227A">
            <w:pPr>
              <w:autoSpaceDE w:val="0"/>
              <w:autoSpaceDN w:val="0"/>
              <w:spacing w:before="173" w:line="289" w:lineRule="exact"/>
              <w:rPr>
                <w:rFonts w:ascii="Calibri" w:hAnsi="Calibri" w:eastAsia="宋体" w:cs="Times New Roman"/>
                <w:spacing w:val="-6"/>
                <w:sz w:val="24"/>
              </w:rPr>
            </w:pPr>
            <w:r>
              <w:rPr>
                <w:rFonts w:hint="eastAsia" w:ascii="Times New Roman" w:hAnsi="Times New Roman" w:eastAsia="宋体" w:cs="Times New Roman"/>
                <w:spacing w:val="-6"/>
                <w:sz w:val="24"/>
              </w:rPr>
              <w:t>湖南省长沙市湘江基金小镇13栋5楼大会议厅</w:t>
            </w:r>
          </w:p>
        </w:tc>
      </w:tr>
      <w:tr w14:paraId="5E753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jc w:val="center"/>
        </w:trPr>
        <w:tc>
          <w:tcPr>
            <w:tcW w:w="1645" w:type="dxa"/>
            <w:vAlign w:val="center"/>
          </w:tcPr>
          <w:p w14:paraId="49DDAA14">
            <w:pPr>
              <w:autoSpaceDE w:val="0"/>
              <w:autoSpaceDN w:val="0"/>
              <w:spacing w:before="91" w:line="261" w:lineRule="auto"/>
              <w:ind w:left="107" w:right="96"/>
              <w:jc w:val="center"/>
              <w:rPr>
                <w:rFonts w:ascii="Microsoft JhengHei" w:hAnsi="宋体" w:eastAsia="Microsoft JhengHei" w:cs="宋体"/>
                <w:b/>
                <w:sz w:val="24"/>
                <w:szCs w:val="22"/>
                <w:lang w:val="zh-CN" w:bidi="zh-CN"/>
              </w:rPr>
            </w:pPr>
            <w:r>
              <w:rPr>
                <w:rFonts w:hint="eastAsia" w:ascii="方正小标宋简体" w:hAnsi="方正小标宋简体" w:eastAsia="方正小标宋简体" w:cs="方正小标宋简体"/>
                <w:bCs/>
                <w:sz w:val="24"/>
                <w:lang w:val="zh-CN" w:bidi="zh-CN"/>
              </w:rPr>
              <w:t>上市公司接待人员姓名</w:t>
            </w:r>
          </w:p>
        </w:tc>
        <w:tc>
          <w:tcPr>
            <w:tcW w:w="7052" w:type="dxa"/>
            <w:vAlign w:val="center"/>
          </w:tcPr>
          <w:p w14:paraId="321584D3">
            <w:pPr>
              <w:autoSpaceDE w:val="0"/>
              <w:autoSpaceDN w:val="0"/>
              <w:spacing w:line="480" w:lineRule="exact"/>
              <w:jc w:val="left"/>
              <w:rPr>
                <w:rFonts w:ascii="宋体" w:hAnsi="宋体" w:eastAsia="宋体" w:cs="宋体"/>
                <w:sz w:val="24"/>
                <w:szCs w:val="22"/>
                <w:lang w:bidi="zh-CN"/>
              </w:rPr>
            </w:pPr>
          </w:p>
          <w:p w14:paraId="50F91A74">
            <w:pPr>
              <w:autoSpaceDE w:val="0"/>
              <w:autoSpaceDN w:val="0"/>
              <w:spacing w:line="480" w:lineRule="exact"/>
              <w:jc w:val="left"/>
              <w:rPr>
                <w:rFonts w:ascii="宋体" w:hAnsi="宋体" w:eastAsia="宋体" w:cs="宋体"/>
                <w:sz w:val="24"/>
                <w:szCs w:val="22"/>
                <w:lang w:bidi="zh-CN"/>
              </w:rPr>
            </w:pPr>
            <w:r>
              <w:rPr>
                <w:rFonts w:hint="eastAsia" w:ascii="宋体" w:hAnsi="宋体" w:eastAsia="宋体" w:cs="宋体"/>
                <w:sz w:val="24"/>
                <w:szCs w:val="22"/>
                <w:lang w:bidi="zh-CN"/>
              </w:rPr>
              <w:t>董事长：赵晖</w:t>
            </w:r>
          </w:p>
          <w:p w14:paraId="63750880">
            <w:pPr>
              <w:pStyle w:val="2"/>
              <w:spacing w:after="0"/>
              <w:ind w:firstLine="0" w:firstLineChars="0"/>
              <w:rPr>
                <w:rFonts w:ascii="宋体" w:hAnsi="宋体" w:eastAsia="宋体" w:cs="宋体"/>
                <w:sz w:val="24"/>
                <w:szCs w:val="22"/>
                <w:lang w:bidi="zh-CN"/>
              </w:rPr>
            </w:pPr>
            <w:r>
              <w:rPr>
                <w:rFonts w:hint="eastAsia" w:ascii="宋体" w:hAnsi="宋体" w:eastAsia="宋体" w:cs="宋体"/>
                <w:sz w:val="24"/>
                <w:szCs w:val="22"/>
                <w:lang w:bidi="zh-CN"/>
              </w:rPr>
              <w:t>总会计师、总法律顾问：陈培荣</w:t>
            </w:r>
          </w:p>
          <w:p w14:paraId="1552846A">
            <w:pPr>
              <w:pStyle w:val="2"/>
              <w:spacing w:after="0"/>
              <w:ind w:firstLine="0" w:firstLineChars="0"/>
              <w:rPr>
                <w:rFonts w:ascii="宋体" w:hAnsi="宋体" w:eastAsia="宋体" w:cs="宋体"/>
                <w:sz w:val="24"/>
                <w:szCs w:val="22"/>
                <w:lang w:bidi="zh-CN"/>
              </w:rPr>
            </w:pPr>
            <w:r>
              <w:rPr>
                <w:rFonts w:hint="eastAsia" w:ascii="宋体" w:hAnsi="宋体" w:eastAsia="宋体" w:cs="宋体"/>
                <w:sz w:val="24"/>
                <w:szCs w:val="22"/>
                <w:lang w:bidi="zh-CN"/>
              </w:rPr>
              <w:t>董事会秘书：李刚</w:t>
            </w:r>
          </w:p>
          <w:p w14:paraId="087F91BE">
            <w:pPr>
              <w:pStyle w:val="2"/>
              <w:ind w:firstLine="0" w:firstLineChars="0"/>
              <w:rPr>
                <w:lang w:bidi="zh-CN"/>
              </w:rPr>
            </w:pPr>
          </w:p>
          <w:p w14:paraId="707C0843">
            <w:pPr>
              <w:pStyle w:val="2"/>
              <w:ind w:firstLine="0" w:firstLineChars="0"/>
              <w:rPr>
                <w:lang w:bidi="zh-CN"/>
              </w:rPr>
            </w:pPr>
          </w:p>
        </w:tc>
      </w:tr>
      <w:tr w14:paraId="683DA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5" w:hRule="atLeast"/>
          <w:jc w:val="center"/>
        </w:trPr>
        <w:tc>
          <w:tcPr>
            <w:tcW w:w="1645" w:type="dxa"/>
          </w:tcPr>
          <w:p w14:paraId="1ACFD87D">
            <w:pPr>
              <w:autoSpaceDE w:val="0"/>
              <w:autoSpaceDN w:val="0"/>
              <w:rPr>
                <w:rFonts w:ascii="宋体" w:hAnsi="宋体" w:eastAsia="宋体" w:cs="宋体"/>
                <w:sz w:val="24"/>
                <w:szCs w:val="22"/>
                <w:lang w:val="zh-CN" w:bidi="zh-CN"/>
              </w:rPr>
            </w:pPr>
          </w:p>
          <w:p w14:paraId="6461D66E">
            <w:pPr>
              <w:autoSpaceDE w:val="0"/>
              <w:autoSpaceDN w:val="0"/>
              <w:rPr>
                <w:rFonts w:ascii="宋体" w:hAnsi="宋体" w:eastAsia="宋体" w:cs="宋体"/>
                <w:sz w:val="24"/>
                <w:szCs w:val="22"/>
                <w:lang w:val="zh-CN" w:bidi="zh-CN"/>
              </w:rPr>
            </w:pPr>
          </w:p>
          <w:p w14:paraId="4217C75A">
            <w:pPr>
              <w:autoSpaceDE w:val="0"/>
              <w:autoSpaceDN w:val="0"/>
              <w:rPr>
                <w:rFonts w:ascii="宋体" w:hAnsi="宋体" w:eastAsia="宋体" w:cs="宋体"/>
                <w:sz w:val="24"/>
                <w:szCs w:val="22"/>
                <w:lang w:val="zh-CN" w:bidi="zh-CN"/>
              </w:rPr>
            </w:pPr>
          </w:p>
          <w:p w14:paraId="150A77E7">
            <w:pPr>
              <w:autoSpaceDE w:val="0"/>
              <w:autoSpaceDN w:val="0"/>
              <w:rPr>
                <w:rFonts w:ascii="宋体" w:hAnsi="宋体" w:eastAsia="宋体" w:cs="宋体"/>
                <w:sz w:val="24"/>
                <w:szCs w:val="22"/>
                <w:lang w:val="zh-CN" w:bidi="zh-CN"/>
              </w:rPr>
            </w:pPr>
          </w:p>
          <w:p w14:paraId="4E69ACBE">
            <w:pPr>
              <w:autoSpaceDE w:val="0"/>
              <w:autoSpaceDN w:val="0"/>
              <w:rPr>
                <w:rFonts w:ascii="宋体" w:hAnsi="宋体" w:eastAsia="宋体" w:cs="宋体"/>
                <w:sz w:val="24"/>
                <w:szCs w:val="22"/>
                <w:lang w:val="zh-CN" w:bidi="zh-CN"/>
              </w:rPr>
            </w:pPr>
          </w:p>
          <w:p w14:paraId="79DB3838">
            <w:pPr>
              <w:autoSpaceDE w:val="0"/>
              <w:autoSpaceDN w:val="0"/>
              <w:rPr>
                <w:rFonts w:ascii="宋体" w:hAnsi="宋体" w:eastAsia="宋体" w:cs="宋体"/>
                <w:sz w:val="24"/>
                <w:szCs w:val="22"/>
                <w:lang w:val="zh-CN" w:bidi="zh-CN"/>
              </w:rPr>
            </w:pPr>
          </w:p>
          <w:p w14:paraId="360394E5">
            <w:pPr>
              <w:autoSpaceDE w:val="0"/>
              <w:autoSpaceDN w:val="0"/>
              <w:rPr>
                <w:rFonts w:ascii="宋体" w:hAnsi="宋体" w:eastAsia="宋体" w:cs="宋体"/>
                <w:sz w:val="24"/>
                <w:szCs w:val="22"/>
                <w:lang w:val="zh-CN" w:bidi="zh-CN"/>
              </w:rPr>
            </w:pPr>
          </w:p>
          <w:p w14:paraId="2DC657F1">
            <w:pPr>
              <w:autoSpaceDE w:val="0"/>
              <w:autoSpaceDN w:val="0"/>
              <w:rPr>
                <w:rFonts w:ascii="宋体" w:hAnsi="宋体" w:eastAsia="宋体" w:cs="宋体"/>
                <w:sz w:val="24"/>
                <w:szCs w:val="22"/>
                <w:lang w:val="zh-CN" w:bidi="zh-CN"/>
              </w:rPr>
            </w:pPr>
          </w:p>
          <w:p w14:paraId="6C53268B">
            <w:pPr>
              <w:autoSpaceDE w:val="0"/>
              <w:autoSpaceDN w:val="0"/>
              <w:rPr>
                <w:rFonts w:ascii="宋体" w:hAnsi="宋体" w:eastAsia="宋体" w:cs="宋体"/>
                <w:sz w:val="24"/>
                <w:szCs w:val="22"/>
                <w:lang w:val="zh-CN" w:bidi="zh-CN"/>
              </w:rPr>
            </w:pPr>
          </w:p>
          <w:p w14:paraId="4D31B216">
            <w:pPr>
              <w:autoSpaceDE w:val="0"/>
              <w:autoSpaceDN w:val="0"/>
              <w:rPr>
                <w:rFonts w:ascii="宋体" w:hAnsi="宋体" w:eastAsia="宋体" w:cs="宋体"/>
                <w:sz w:val="24"/>
                <w:szCs w:val="22"/>
                <w:lang w:val="zh-CN" w:bidi="zh-CN"/>
              </w:rPr>
            </w:pPr>
          </w:p>
          <w:p w14:paraId="2360E4BD">
            <w:pPr>
              <w:autoSpaceDE w:val="0"/>
              <w:autoSpaceDN w:val="0"/>
              <w:rPr>
                <w:rFonts w:ascii="宋体" w:hAnsi="宋体" w:eastAsia="宋体" w:cs="宋体"/>
                <w:sz w:val="24"/>
                <w:szCs w:val="22"/>
                <w:lang w:val="zh-CN" w:bidi="zh-CN"/>
              </w:rPr>
            </w:pPr>
          </w:p>
          <w:p w14:paraId="231B65D7">
            <w:pPr>
              <w:autoSpaceDE w:val="0"/>
              <w:autoSpaceDN w:val="0"/>
              <w:rPr>
                <w:rFonts w:ascii="宋体" w:hAnsi="宋体" w:eastAsia="宋体" w:cs="宋体"/>
                <w:sz w:val="24"/>
                <w:szCs w:val="22"/>
                <w:lang w:val="zh-CN" w:bidi="zh-CN"/>
              </w:rPr>
            </w:pPr>
          </w:p>
          <w:p w14:paraId="3B9F6490">
            <w:pPr>
              <w:autoSpaceDE w:val="0"/>
              <w:autoSpaceDN w:val="0"/>
              <w:rPr>
                <w:rFonts w:ascii="宋体" w:hAnsi="宋体" w:eastAsia="宋体" w:cs="宋体"/>
                <w:sz w:val="24"/>
                <w:szCs w:val="22"/>
                <w:lang w:val="zh-CN" w:bidi="zh-CN"/>
              </w:rPr>
            </w:pPr>
          </w:p>
          <w:p w14:paraId="2892DDC8">
            <w:pPr>
              <w:autoSpaceDE w:val="0"/>
              <w:autoSpaceDN w:val="0"/>
              <w:rPr>
                <w:rFonts w:ascii="宋体" w:hAnsi="宋体" w:eastAsia="宋体" w:cs="宋体"/>
                <w:sz w:val="24"/>
                <w:szCs w:val="22"/>
                <w:lang w:val="zh-CN" w:bidi="zh-CN"/>
              </w:rPr>
            </w:pPr>
          </w:p>
          <w:p w14:paraId="5C4A9010">
            <w:pPr>
              <w:autoSpaceDE w:val="0"/>
              <w:autoSpaceDN w:val="0"/>
              <w:rPr>
                <w:rFonts w:ascii="宋体" w:hAnsi="宋体" w:eastAsia="宋体" w:cs="宋体"/>
                <w:sz w:val="24"/>
                <w:szCs w:val="22"/>
                <w:lang w:val="zh-CN" w:bidi="zh-CN"/>
              </w:rPr>
            </w:pPr>
          </w:p>
          <w:p w14:paraId="2336F4C6">
            <w:pPr>
              <w:autoSpaceDE w:val="0"/>
              <w:autoSpaceDN w:val="0"/>
              <w:rPr>
                <w:rFonts w:ascii="宋体" w:hAnsi="宋体" w:eastAsia="宋体" w:cs="宋体"/>
                <w:sz w:val="24"/>
                <w:szCs w:val="22"/>
                <w:lang w:val="zh-CN" w:bidi="zh-CN"/>
              </w:rPr>
            </w:pPr>
          </w:p>
          <w:p w14:paraId="212A5979">
            <w:pPr>
              <w:autoSpaceDE w:val="0"/>
              <w:autoSpaceDN w:val="0"/>
              <w:rPr>
                <w:rFonts w:ascii="宋体" w:hAnsi="宋体" w:eastAsia="宋体" w:cs="宋体"/>
                <w:sz w:val="24"/>
                <w:szCs w:val="22"/>
                <w:lang w:val="zh-CN" w:bidi="zh-CN"/>
              </w:rPr>
            </w:pPr>
          </w:p>
          <w:p w14:paraId="6517FCDB">
            <w:pPr>
              <w:autoSpaceDE w:val="0"/>
              <w:autoSpaceDN w:val="0"/>
              <w:rPr>
                <w:rFonts w:ascii="宋体" w:hAnsi="宋体" w:eastAsia="宋体" w:cs="宋体"/>
                <w:sz w:val="24"/>
                <w:szCs w:val="22"/>
                <w:lang w:val="zh-CN" w:bidi="zh-CN"/>
              </w:rPr>
            </w:pPr>
          </w:p>
          <w:p w14:paraId="7F67367D">
            <w:pPr>
              <w:autoSpaceDE w:val="0"/>
              <w:autoSpaceDN w:val="0"/>
              <w:rPr>
                <w:rFonts w:ascii="宋体" w:hAnsi="宋体" w:eastAsia="宋体" w:cs="宋体"/>
                <w:sz w:val="24"/>
                <w:szCs w:val="22"/>
                <w:lang w:val="zh-CN" w:bidi="zh-CN"/>
              </w:rPr>
            </w:pPr>
          </w:p>
          <w:p w14:paraId="77237C00">
            <w:pPr>
              <w:autoSpaceDE w:val="0"/>
              <w:autoSpaceDN w:val="0"/>
              <w:rPr>
                <w:rFonts w:ascii="宋体" w:hAnsi="宋体" w:eastAsia="宋体" w:cs="宋体"/>
                <w:sz w:val="24"/>
                <w:szCs w:val="22"/>
                <w:lang w:val="zh-CN" w:bidi="zh-CN"/>
              </w:rPr>
            </w:pPr>
          </w:p>
          <w:p w14:paraId="2EB75E19">
            <w:pPr>
              <w:autoSpaceDE w:val="0"/>
              <w:autoSpaceDN w:val="0"/>
              <w:spacing w:before="91" w:line="261" w:lineRule="auto"/>
              <w:ind w:left="107" w:right="96"/>
              <w:jc w:val="center"/>
              <w:rPr>
                <w:rFonts w:ascii="Microsoft JhengHei" w:hAnsi="宋体" w:eastAsia="Microsoft JhengHei" w:cs="宋体"/>
                <w:b/>
                <w:sz w:val="24"/>
                <w:szCs w:val="22"/>
                <w:lang w:val="zh-CN" w:bidi="zh-CN"/>
              </w:rPr>
            </w:pPr>
            <w:r>
              <w:rPr>
                <w:rFonts w:hint="eastAsia" w:ascii="方正小标宋简体" w:hAnsi="方正小标宋简体" w:eastAsia="方正小标宋简体" w:cs="方正小标宋简体"/>
                <w:bCs/>
                <w:sz w:val="24"/>
                <w:lang w:val="zh-CN" w:bidi="zh-CN"/>
              </w:rPr>
              <w:t>投资者关系活动主要内容介绍</w:t>
            </w:r>
          </w:p>
        </w:tc>
        <w:tc>
          <w:tcPr>
            <w:tcW w:w="7052" w:type="dxa"/>
          </w:tcPr>
          <w:p w14:paraId="3018146B">
            <w:pPr>
              <w:widowControl/>
              <w:numPr>
                <w:ilvl w:val="255"/>
                <w:numId w:val="0"/>
              </w:num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2025年9月2日，公司参与了由上海证券交易所、中国证券监督管理委员会湖南监管局、中共湖南省委金融委员会办公室等机构联合举办的“湖南省科创板上市公司2025年中报集体业绩说明会”活动，就公司2025年半年度的经营成果及财务指标的具体情况与投资者进行了互动交流，主要内容</w:t>
            </w:r>
            <w:r>
              <w:rPr>
                <w:rFonts w:ascii="Times New Roman" w:hAnsi="Times New Roman" w:eastAsia="宋体" w:cs="Times New Roman"/>
                <w:sz w:val="24"/>
              </w:rPr>
              <w:t>如下：</w:t>
            </w:r>
          </w:p>
          <w:p w14:paraId="7BF633D8">
            <w:pPr>
              <w:widowControl/>
              <w:numPr>
                <w:ilvl w:val="255"/>
                <w:numId w:val="0"/>
              </w:numPr>
              <w:spacing w:line="360" w:lineRule="auto"/>
              <w:ind w:firstLine="482" w:firstLineChars="200"/>
              <w:rPr>
                <w:rFonts w:ascii="Times New Roman" w:hAnsi="Times New Roman" w:eastAsia="宋体" w:cs="Times New Roman"/>
                <w:b/>
                <w:bCs/>
                <w:sz w:val="24"/>
                <w:szCs w:val="22"/>
                <w:lang w:bidi="zh-CN"/>
              </w:rPr>
            </w:pPr>
            <w:r>
              <w:rPr>
                <w:rFonts w:hint="eastAsia" w:ascii="Times New Roman" w:hAnsi="Times New Roman" w:eastAsia="宋体" w:cs="Times New Roman"/>
                <w:b/>
                <w:bCs/>
                <w:sz w:val="24"/>
                <w:szCs w:val="22"/>
                <w:lang w:bidi="zh-CN"/>
              </w:rPr>
              <w:t>一、公司</w:t>
            </w:r>
            <w:r>
              <w:rPr>
                <w:rFonts w:ascii="Times New Roman" w:hAnsi="Times New Roman" w:eastAsia="宋体" w:cs="Times New Roman"/>
                <w:b/>
                <w:bCs/>
                <w:sz w:val="24"/>
                <w:szCs w:val="22"/>
                <w:lang w:bidi="zh-CN"/>
              </w:rPr>
              <w:t>202</w:t>
            </w:r>
            <w:r>
              <w:rPr>
                <w:rFonts w:hint="eastAsia" w:ascii="Times New Roman" w:hAnsi="Times New Roman" w:eastAsia="宋体" w:cs="Times New Roman"/>
                <w:b/>
                <w:bCs/>
                <w:sz w:val="24"/>
                <w:szCs w:val="22"/>
                <w:lang w:bidi="zh-CN"/>
              </w:rPr>
              <w:t>5</w:t>
            </w:r>
            <w:r>
              <w:rPr>
                <w:rFonts w:ascii="Times New Roman" w:hAnsi="Times New Roman" w:eastAsia="宋体" w:cs="Times New Roman"/>
                <w:b/>
                <w:bCs/>
                <w:sz w:val="24"/>
                <w:szCs w:val="22"/>
                <w:lang w:bidi="zh-CN"/>
              </w:rPr>
              <w:t>年</w:t>
            </w:r>
            <w:r>
              <w:rPr>
                <w:rFonts w:hint="eastAsia" w:ascii="Times New Roman" w:hAnsi="Times New Roman" w:eastAsia="宋体" w:cs="Times New Roman"/>
                <w:b/>
                <w:bCs/>
                <w:sz w:val="24"/>
                <w:szCs w:val="22"/>
                <w:lang w:bidi="zh-CN"/>
              </w:rPr>
              <w:t>1-6月主要经营数据</w:t>
            </w:r>
          </w:p>
          <w:p w14:paraId="354A2270">
            <w:pPr>
              <w:widowControl/>
              <w:numPr>
                <w:ilvl w:val="255"/>
                <w:numId w:val="0"/>
              </w:numPr>
              <w:spacing w:line="360" w:lineRule="auto"/>
              <w:ind w:firstLine="480" w:firstLineChars="200"/>
              <w:rPr>
                <w:rFonts w:ascii="Times New Roman" w:hAnsi="Times New Roman" w:eastAsia="宋体" w:cs="Times New Roman"/>
                <w:sz w:val="24"/>
                <w:szCs w:val="22"/>
                <w:lang w:bidi="zh-CN"/>
              </w:rPr>
            </w:pPr>
            <w:r>
              <w:rPr>
                <w:rFonts w:hint="default" w:ascii="Times New Roman" w:hAnsi="Times New Roman" w:eastAsia="宋体" w:cs="Times New Roman"/>
                <w:sz w:val="24"/>
                <w:szCs w:val="22"/>
                <w:lang w:bidi="zh-CN"/>
              </w:rPr>
              <w:t>答：报告期内，公司新签合同/中标额77.27亿元，同比增长3.15%；其中轨道交通设备板块新签合同/中标额23.55亿元，同比增长58.62%，实现了较好的增长态势；二季度新签合同/中标45.89亿元，同比增长12.42%，彰显持续发展动能。</w:t>
            </w:r>
          </w:p>
          <w:p w14:paraId="3FF5EDD4">
            <w:pPr>
              <w:widowControl/>
              <w:numPr>
                <w:ilvl w:val="255"/>
                <w:numId w:val="0"/>
              </w:numPr>
              <w:spacing w:line="360" w:lineRule="auto"/>
              <w:ind w:firstLine="480" w:firstLineChars="200"/>
              <w:rPr>
                <w:rFonts w:ascii="Times New Roman" w:hAnsi="Times New Roman" w:eastAsia="宋体" w:cs="Times New Roman"/>
                <w:sz w:val="24"/>
                <w:szCs w:val="22"/>
                <w:lang w:bidi="zh-CN"/>
              </w:rPr>
            </w:pPr>
            <w:r>
              <w:rPr>
                <w:rFonts w:hint="eastAsia" w:ascii="Times New Roman" w:hAnsi="Times New Roman" w:eastAsia="宋体" w:cs="Times New Roman"/>
                <w:sz w:val="24"/>
                <w:szCs w:val="22"/>
                <w:lang w:bidi="zh-CN"/>
              </w:rPr>
              <w:t>重点项目方面，隧道掘进机板块，超大直径敞开式TBM“江汉武当号”等盾构机服务引江补汉工程，助力国家水网主骨架建设，成功下线国家重点科研项目-千米竖井掘进机“钢铁脊梁号”；特种专业装备板块，服务国家能源安全保障战略，为国家能源综采项目如袁大滩煤矿、陶忽图煤矿和枫香岭矿等重点工程提供先进智能化掘锚装备，提升行业整体效能和安全性，推动煤炭和矿山产业向安全、绿色、高效发展转型；轨道交通设备板块，助力渝黔高铁顺利开通，为邵阳至永州、上海至南通等铁路项目提供高速道岔、弹条扣件等设备，服务国家干线铁路建设。</w:t>
            </w:r>
          </w:p>
          <w:p w14:paraId="6DF491F0">
            <w:pPr>
              <w:pStyle w:val="2"/>
              <w:ind w:firstLine="210"/>
              <w:rPr>
                <w:rFonts w:ascii="Times New Roman" w:hAnsi="Times New Roman" w:cs="Times New Roman"/>
              </w:rPr>
            </w:pPr>
          </w:p>
          <w:p w14:paraId="0F2F7EE2">
            <w:pPr>
              <w:widowControl/>
              <w:numPr>
                <w:ilvl w:val="255"/>
                <w:numId w:val="0"/>
              </w:numPr>
              <w:spacing w:line="360" w:lineRule="auto"/>
              <w:ind w:firstLine="482" w:firstLineChars="200"/>
              <w:rPr>
                <w:rFonts w:ascii="Times New Roman" w:hAnsi="Times New Roman" w:eastAsia="宋体" w:cs="Times New Roman"/>
                <w:b/>
                <w:bCs/>
                <w:sz w:val="24"/>
                <w:szCs w:val="22"/>
                <w:lang w:bidi="zh-CN"/>
              </w:rPr>
            </w:pPr>
            <w:r>
              <w:rPr>
                <w:rFonts w:hint="eastAsia" w:ascii="Times New Roman" w:hAnsi="Times New Roman" w:eastAsia="宋体" w:cs="Times New Roman"/>
                <w:b/>
                <w:bCs/>
                <w:sz w:val="24"/>
                <w:szCs w:val="22"/>
                <w:lang w:bidi="zh-CN"/>
              </w:rPr>
              <w:t>二、公司2025年1-6月主要财务指标</w:t>
            </w:r>
          </w:p>
          <w:p w14:paraId="7425170C">
            <w:pPr>
              <w:widowControl/>
              <w:numPr>
                <w:ilvl w:val="255"/>
                <w:numId w:val="0"/>
              </w:numPr>
              <w:spacing w:line="360" w:lineRule="auto"/>
              <w:ind w:firstLine="480" w:firstLineChars="200"/>
              <w:rPr>
                <w:rFonts w:ascii="Times New Roman" w:hAnsi="Times New Roman" w:eastAsia="宋体" w:cs="Times New Roman"/>
                <w:sz w:val="24"/>
                <w:szCs w:val="22"/>
                <w:lang w:bidi="zh-CN"/>
              </w:rPr>
            </w:pPr>
            <w:r>
              <w:rPr>
                <w:rFonts w:hint="eastAsia" w:ascii="Times New Roman" w:hAnsi="Times New Roman" w:eastAsia="宋体" w:cs="Times New Roman"/>
                <w:sz w:val="24"/>
                <w:szCs w:val="22"/>
                <w:lang w:bidi="zh-CN"/>
              </w:rPr>
              <w:t>答：报告期内，公司实现营业收入48.37亿元，同比增长0.71%； 其中二季度实现营业收入24.81亿元，同比增长3.03%；实现归母净利润7.35亿元，同比增长1.73%；扣非归母净利润6.94亿元，同比增长4.83%；其中二季度实现归母净利润4.03亿元，同比增长13.84%；扣非归母净利润3.79亿元，同比增长9.66%。</w:t>
            </w:r>
          </w:p>
          <w:p w14:paraId="78C9781B">
            <w:pPr>
              <w:pStyle w:val="2"/>
              <w:ind w:firstLine="210"/>
              <w:rPr>
                <w:rFonts w:ascii="Times New Roman" w:hAnsi="Times New Roman" w:cs="Times New Roman"/>
              </w:rPr>
            </w:pPr>
          </w:p>
          <w:p w14:paraId="73814C7B">
            <w:pPr>
              <w:pStyle w:val="2"/>
              <w:ind w:firstLine="482" w:firstLineChars="200"/>
              <w:rPr>
                <w:rFonts w:ascii="Times New Roman" w:hAnsi="Times New Roman" w:cs="Times New Roman"/>
                <w:b/>
                <w:bCs/>
              </w:rPr>
            </w:pPr>
            <w:r>
              <w:rPr>
                <w:rFonts w:hint="eastAsia" w:ascii="Times New Roman" w:hAnsi="Times New Roman" w:eastAsia="宋体" w:cs="Times New Roman"/>
                <w:b/>
                <w:bCs/>
                <w:sz w:val="24"/>
                <w:szCs w:val="22"/>
                <w:lang w:bidi="zh-CN"/>
              </w:rPr>
              <w:t>三、公司海外市场拓展情况</w:t>
            </w:r>
          </w:p>
          <w:p w14:paraId="08DA4F81">
            <w:pPr>
              <w:widowControl/>
              <w:numPr>
                <w:ilvl w:val="255"/>
                <w:numId w:val="0"/>
              </w:numPr>
              <w:spacing w:line="360" w:lineRule="auto"/>
              <w:ind w:firstLine="480" w:firstLineChars="200"/>
              <w:rPr>
                <w:rFonts w:ascii="Times New Roman" w:hAnsi="Times New Roman" w:eastAsia="宋体" w:cs="Times New Roman"/>
                <w:sz w:val="24"/>
                <w:szCs w:val="22"/>
                <w:lang w:bidi="zh-CN"/>
              </w:rPr>
            </w:pPr>
            <w:r>
              <w:rPr>
                <w:rFonts w:hint="eastAsia" w:ascii="Times New Roman" w:hAnsi="Times New Roman" w:eastAsia="宋体" w:cs="Times New Roman"/>
                <w:sz w:val="24"/>
                <w:szCs w:val="22"/>
                <w:lang w:bidi="zh-CN"/>
              </w:rPr>
              <w:t>答：报告期内，公司海外业务新签合同/中标额18.39亿元，保持了稳健的节奏。2021年上市以来，公司海外新签合同额由2021年7.7亿元，增长至2024年的30.68亿元，年均复合增长率接近60%。</w:t>
            </w:r>
            <w:bookmarkStart w:id="0" w:name="_GoBack"/>
            <w:bookmarkEnd w:id="0"/>
          </w:p>
          <w:p w14:paraId="7B1B0F47">
            <w:pPr>
              <w:widowControl/>
              <w:numPr>
                <w:ilvl w:val="255"/>
                <w:numId w:val="0"/>
              </w:numPr>
              <w:spacing w:line="360" w:lineRule="auto"/>
              <w:ind w:firstLine="480" w:firstLineChars="200"/>
              <w:rPr>
                <w:rFonts w:ascii="Times New Roman" w:hAnsi="Times New Roman" w:eastAsia="宋体" w:cs="Times New Roman"/>
                <w:sz w:val="24"/>
                <w:szCs w:val="22"/>
                <w:lang w:bidi="zh-CN"/>
              </w:rPr>
            </w:pPr>
            <w:r>
              <w:rPr>
                <w:rFonts w:hint="eastAsia" w:ascii="Times New Roman" w:hAnsi="Times New Roman" w:eastAsia="宋体" w:cs="Times New Roman"/>
                <w:sz w:val="24"/>
                <w:szCs w:val="22"/>
                <w:lang w:bidi="zh-CN"/>
              </w:rPr>
              <w:t>报告期内，公司实现海外营业收入15.61亿元，同比增长181%；海外收入占公司主营业务收入比重达到32%，较上年同期增加20.80个百分点，规模和占比均创历史新高。上半年海外营收规模已超出去年全年海外营收总额1.5亿元。</w:t>
            </w:r>
          </w:p>
          <w:p w14:paraId="3BD246B4">
            <w:pPr>
              <w:widowControl/>
              <w:numPr>
                <w:ilvl w:val="255"/>
                <w:numId w:val="0"/>
              </w:numPr>
              <w:spacing w:line="360" w:lineRule="auto"/>
              <w:ind w:firstLine="480" w:firstLineChars="200"/>
              <w:rPr>
                <w:rFonts w:ascii="Times New Roman" w:hAnsi="Times New Roman" w:eastAsia="宋体" w:cs="Times New Roman"/>
                <w:sz w:val="24"/>
                <w:szCs w:val="22"/>
                <w:lang w:bidi="zh-CN"/>
              </w:rPr>
            </w:pPr>
            <w:r>
              <w:rPr>
                <w:rFonts w:hint="default" w:ascii="Times New Roman" w:hAnsi="Times New Roman" w:eastAsia="宋体" w:cs="Times New Roman"/>
                <w:sz w:val="24"/>
                <w:szCs w:val="22"/>
                <w:lang w:bidi="zh-CN"/>
              </w:rPr>
              <w:t>海外业务增长主要得益于公司“海外优先”战略的落地、属地化经营的纵深推进和全球基建需求的升级。公司持续完善全球销售服务网络，在阿联酋、意大利等国设立中心仓库，打造了欧洲、南亚、东南亚、东北亚四个业务支撑点并布局12个区域经营部，提高市场响应能力与服务效率，推动海外业务可持续、高质量发展。</w:t>
            </w:r>
          </w:p>
          <w:p w14:paraId="2975050B">
            <w:pPr>
              <w:pStyle w:val="2"/>
              <w:ind w:firstLine="210"/>
              <w:rPr>
                <w:rFonts w:ascii="Times New Roman" w:hAnsi="Times New Roman" w:cs="Times New Roman"/>
              </w:rPr>
            </w:pPr>
          </w:p>
          <w:p w14:paraId="206AAB86">
            <w:pPr>
              <w:pStyle w:val="2"/>
              <w:numPr>
                <w:ilvl w:val="0"/>
                <w:numId w:val="1"/>
              </w:numPr>
              <w:ind w:firstLine="482" w:firstLineChars="200"/>
              <w:rPr>
                <w:rFonts w:ascii="Times New Roman" w:hAnsi="Times New Roman" w:eastAsia="宋体" w:cs="Times New Roman"/>
                <w:b/>
                <w:bCs/>
                <w:sz w:val="24"/>
                <w:szCs w:val="22"/>
                <w:lang w:bidi="zh-CN"/>
              </w:rPr>
            </w:pPr>
            <w:r>
              <w:rPr>
                <w:rFonts w:hint="eastAsia" w:ascii="Times New Roman" w:hAnsi="Times New Roman" w:eastAsia="宋体" w:cs="Times New Roman"/>
                <w:b/>
                <w:bCs/>
                <w:sz w:val="24"/>
                <w:szCs w:val="22"/>
                <w:lang w:bidi="zh-CN"/>
              </w:rPr>
              <w:t>公司2025年上半年毛利率和净利率情况</w:t>
            </w:r>
          </w:p>
          <w:p w14:paraId="0235A591">
            <w:pPr>
              <w:pStyle w:val="2"/>
              <w:spacing w:after="0" w:line="360" w:lineRule="auto"/>
              <w:ind w:firstLine="480" w:firstLineChars="200"/>
              <w:rPr>
                <w:rFonts w:ascii="Times New Roman" w:hAnsi="Times New Roman" w:eastAsia="宋体" w:cs="Times New Roman"/>
                <w:sz w:val="24"/>
                <w:szCs w:val="22"/>
                <w:lang w:bidi="zh-CN"/>
              </w:rPr>
            </w:pPr>
            <w:r>
              <w:rPr>
                <w:rFonts w:hint="default" w:ascii="Times New Roman" w:hAnsi="Times New Roman" w:eastAsia="宋体" w:cs="Times New Roman"/>
                <w:sz w:val="24"/>
                <w:szCs w:val="22"/>
                <w:lang w:bidi="zh-CN"/>
              </w:rPr>
              <w:t>答：报告期内，公司主营业务毛利率为29.98%，较上年同期下降0.32个百分点，略有下降。毛利率是多种因素的综合反映，受产品结构、市场竞争等多种因素影响，如本报告期内，公司毛利率较高的掘进机租赁业务收入有所下降，导致主营业务毛利率稍有波动。</w:t>
            </w:r>
          </w:p>
          <w:p w14:paraId="2A827ED2">
            <w:pPr>
              <w:pStyle w:val="2"/>
              <w:spacing w:after="0" w:line="360" w:lineRule="auto"/>
              <w:ind w:firstLine="480" w:firstLineChars="200"/>
              <w:rPr>
                <w:rFonts w:ascii="Times New Roman" w:hAnsi="Times New Roman" w:eastAsia="宋体" w:cs="Times New Roman"/>
                <w:sz w:val="24"/>
                <w:szCs w:val="22"/>
                <w:lang w:bidi="zh-CN"/>
              </w:rPr>
            </w:pPr>
            <w:r>
              <w:rPr>
                <w:rFonts w:hint="default" w:ascii="Times New Roman" w:hAnsi="Times New Roman" w:eastAsia="宋体" w:cs="Times New Roman"/>
                <w:sz w:val="24"/>
                <w:szCs w:val="22"/>
                <w:lang w:bidi="zh-CN"/>
              </w:rPr>
              <w:t>报告期内，公司净利润率为15.2%，较上年同期提升0.15个百分点。主要是期间费用同比下降。本期公司持续加强对费用的预算管控，开展降本增效，提升管理效率，销售费用同比下降5.74%，管理费用同比下降7.89%。银行借款减少，利息支出减少，受外币汇率变动影响，汇兑收益增加，财务费用同比下降96.49%。</w:t>
            </w:r>
          </w:p>
          <w:p w14:paraId="20180951">
            <w:pPr>
              <w:pStyle w:val="2"/>
              <w:spacing w:after="0" w:line="360" w:lineRule="auto"/>
              <w:ind w:firstLine="480" w:firstLineChars="200"/>
              <w:rPr>
                <w:rFonts w:ascii="Times New Roman" w:hAnsi="Times New Roman" w:eastAsia="宋体" w:cs="Times New Roman"/>
                <w:sz w:val="24"/>
                <w:szCs w:val="22"/>
                <w:lang w:bidi="zh-CN"/>
              </w:rPr>
            </w:pPr>
          </w:p>
          <w:p w14:paraId="5746ED4A">
            <w:pPr>
              <w:pStyle w:val="2"/>
              <w:numPr>
                <w:ilvl w:val="0"/>
                <w:numId w:val="1"/>
              </w:numPr>
              <w:ind w:firstLine="482" w:firstLineChars="200"/>
              <w:rPr>
                <w:rFonts w:ascii="Times New Roman" w:hAnsi="Times New Roman" w:eastAsia="宋体" w:cs="Times New Roman"/>
                <w:b/>
                <w:bCs/>
                <w:sz w:val="24"/>
                <w:szCs w:val="22"/>
                <w:lang w:bidi="zh-CN"/>
              </w:rPr>
            </w:pPr>
            <w:r>
              <w:rPr>
                <w:rFonts w:hint="eastAsia" w:ascii="Times New Roman" w:hAnsi="Times New Roman" w:eastAsia="宋体" w:cs="Times New Roman"/>
                <w:b/>
                <w:bCs/>
                <w:sz w:val="24"/>
                <w:szCs w:val="22"/>
                <w:lang w:bidi="zh-CN"/>
              </w:rPr>
              <w:t>2025年上半年隧道掘进机市场情况</w:t>
            </w:r>
          </w:p>
          <w:p w14:paraId="4FFF532D">
            <w:pPr>
              <w:pStyle w:val="2"/>
              <w:spacing w:after="0" w:line="360" w:lineRule="auto"/>
              <w:ind w:firstLine="480" w:firstLineChars="200"/>
              <w:rPr>
                <w:rFonts w:ascii="Times New Roman" w:hAnsi="Times New Roman" w:eastAsia="宋体" w:cs="Times New Roman"/>
                <w:sz w:val="24"/>
                <w:szCs w:val="22"/>
                <w:lang w:bidi="zh-CN"/>
              </w:rPr>
            </w:pPr>
            <w:r>
              <w:rPr>
                <w:rFonts w:hint="default" w:ascii="Times New Roman" w:hAnsi="Times New Roman" w:eastAsia="宋体" w:cs="Times New Roman"/>
                <w:sz w:val="24"/>
                <w:szCs w:val="22"/>
                <w:lang w:bidi="zh-CN"/>
              </w:rPr>
              <w:t>答：2025年上半年，我国隧道掘进机市场总体保持稳健发展，市场需求从传统的城市轨道交通领域，向水利水电、矿山、市政等多个新兴领域加速拓展，应用场景日益丰富。</w:t>
            </w:r>
          </w:p>
          <w:p w14:paraId="0E970187">
            <w:pPr>
              <w:pStyle w:val="2"/>
              <w:spacing w:after="0" w:line="360" w:lineRule="auto"/>
              <w:ind w:firstLine="480" w:firstLineChars="200"/>
              <w:rPr>
                <w:rFonts w:ascii="Times New Roman" w:hAnsi="Times New Roman" w:eastAsia="宋体" w:cs="Times New Roman"/>
                <w:sz w:val="24"/>
                <w:szCs w:val="22"/>
                <w:lang w:bidi="zh-CN"/>
              </w:rPr>
            </w:pPr>
            <w:r>
              <w:rPr>
                <w:rFonts w:hint="default" w:ascii="Times New Roman" w:hAnsi="Times New Roman" w:eastAsia="宋体" w:cs="Times New Roman"/>
                <w:sz w:val="24"/>
                <w:szCs w:val="22"/>
                <w:lang w:bidi="zh-CN"/>
              </w:rPr>
              <w:t>铁路市场投资稳中有进，机械化施工要求提升。据国铁集团数据，上半年全国铁路完成固定资产投资3,559亿元，同比增长5.5%。今年以来，宜涪高铁、长赣铁路、温福高铁等项目取得积极进展。国铁集团在今年5月份发布了《铁路隧道全工序机械化设计施工技术规程》，明确了铁路隧道施工全工序机械化配套的设计要求，为专业的隧道施工装备带来了新的市场机遇。</w:t>
            </w:r>
          </w:p>
          <w:p w14:paraId="08CD01CA">
            <w:pPr>
              <w:pStyle w:val="2"/>
              <w:spacing w:after="0" w:line="360" w:lineRule="auto"/>
              <w:ind w:firstLine="480" w:firstLineChars="200"/>
              <w:rPr>
                <w:rFonts w:ascii="Times New Roman" w:hAnsi="Times New Roman" w:eastAsia="宋体" w:cs="Times New Roman"/>
                <w:sz w:val="24"/>
                <w:szCs w:val="22"/>
                <w:lang w:bidi="zh-CN"/>
              </w:rPr>
            </w:pPr>
            <w:r>
              <w:rPr>
                <w:rFonts w:hint="default" w:ascii="Times New Roman" w:hAnsi="Times New Roman" w:eastAsia="宋体" w:cs="Times New Roman"/>
                <w:sz w:val="24"/>
                <w:szCs w:val="22"/>
                <w:lang w:bidi="zh-CN"/>
              </w:rPr>
              <w:t>矿山领域成为增长亮点，投资增速显著。采矿业固定资产投资2021年至2024年连续四年增长。上半年，采矿业固定资产投资继续保持增长，其中与公司产品紧密相关的煤炭开采和洗选业、有色金属矿采选业固定资产投资分别增长14.4%和46.2%。预计未来矿山装备市场存在一定的增量空间。</w:t>
            </w:r>
          </w:p>
          <w:p w14:paraId="170B35D3">
            <w:pPr>
              <w:pStyle w:val="2"/>
              <w:spacing w:after="0" w:line="360" w:lineRule="auto"/>
              <w:ind w:firstLine="480" w:firstLineChars="200"/>
              <w:rPr>
                <w:rFonts w:ascii="Times New Roman" w:hAnsi="Times New Roman" w:eastAsia="宋体" w:cs="Times New Roman"/>
                <w:sz w:val="24"/>
                <w:szCs w:val="22"/>
                <w:lang w:bidi="zh-CN"/>
              </w:rPr>
            </w:pPr>
            <w:r>
              <w:rPr>
                <w:rFonts w:hint="default" w:ascii="Times New Roman" w:hAnsi="Times New Roman" w:eastAsia="宋体" w:cs="Times New Roman"/>
                <w:sz w:val="24"/>
                <w:szCs w:val="22"/>
                <w:lang w:bidi="zh-CN"/>
              </w:rPr>
              <w:t>水利水电建设投资强劲，国家水网工程带来机遇。根据水利部数据，上半年全国完成水利建设投资5,329亿元，实施各类水利项目3.44万个，新开工项目1.88万个。后续，预计国家水网工程体系建设将有序推进。重点工程有：南水北调后续工程，如中线引江补汉工程、西线先期实施工程、东线后续工程前期工作；环北部湾水资源配置，引江济淮二期等国家水网骨干输排水通道。</w:t>
            </w:r>
          </w:p>
          <w:p w14:paraId="34ABC618">
            <w:pPr>
              <w:pStyle w:val="2"/>
              <w:spacing w:after="0" w:line="360" w:lineRule="auto"/>
              <w:ind w:firstLine="480" w:firstLineChars="200"/>
              <w:rPr>
                <w:rFonts w:ascii="Times New Roman" w:hAnsi="Times New Roman" w:eastAsia="宋体" w:cs="Times New Roman"/>
                <w:sz w:val="24"/>
                <w:szCs w:val="22"/>
                <w:lang w:bidi="zh-CN"/>
              </w:rPr>
            </w:pPr>
            <w:r>
              <w:rPr>
                <w:rFonts w:hint="default" w:ascii="Times New Roman" w:hAnsi="Times New Roman" w:eastAsia="宋体" w:cs="Times New Roman"/>
                <w:sz w:val="24"/>
                <w:szCs w:val="22"/>
                <w:lang w:bidi="zh-CN"/>
              </w:rPr>
              <w:t>总体来说，公司掘进机产品的下游应用已经形成了多领域协同发展的良好格局。除了传统的轨交市场外，在水利、矿山等新兴领域的占比不断提升。</w:t>
            </w:r>
          </w:p>
          <w:p w14:paraId="7CF30DF4">
            <w:pPr>
              <w:pStyle w:val="2"/>
              <w:spacing w:after="0" w:line="360" w:lineRule="auto"/>
              <w:ind w:firstLine="480" w:firstLineChars="200"/>
              <w:rPr>
                <w:rFonts w:ascii="Times New Roman" w:hAnsi="Times New Roman" w:eastAsia="宋体" w:cs="Times New Roman"/>
                <w:sz w:val="24"/>
                <w:szCs w:val="22"/>
                <w:lang w:bidi="zh-CN"/>
              </w:rPr>
            </w:pPr>
          </w:p>
          <w:p w14:paraId="3575E457">
            <w:pPr>
              <w:pStyle w:val="2"/>
              <w:numPr>
                <w:ilvl w:val="0"/>
                <w:numId w:val="1"/>
              </w:numPr>
              <w:ind w:firstLine="482" w:firstLineChars="200"/>
              <w:rPr>
                <w:rFonts w:ascii="Times New Roman" w:hAnsi="Times New Roman" w:eastAsia="宋体" w:cs="Times New Roman"/>
                <w:b/>
                <w:bCs/>
                <w:sz w:val="24"/>
                <w:szCs w:val="22"/>
                <w:lang w:bidi="zh-CN"/>
              </w:rPr>
            </w:pPr>
            <w:r>
              <w:rPr>
                <w:rFonts w:hint="eastAsia" w:ascii="Times New Roman" w:hAnsi="Times New Roman" w:eastAsia="宋体" w:cs="Times New Roman"/>
                <w:b/>
                <w:bCs/>
                <w:sz w:val="24"/>
                <w:szCs w:val="22"/>
                <w:lang w:bidi="zh-CN"/>
              </w:rPr>
              <w:t>公司市值管理制度落实情况</w:t>
            </w:r>
          </w:p>
          <w:p w14:paraId="653C0BCC">
            <w:pPr>
              <w:pStyle w:val="2"/>
              <w:spacing w:after="0" w:line="360" w:lineRule="auto"/>
              <w:ind w:firstLine="480" w:firstLineChars="200"/>
              <w:rPr>
                <w:rFonts w:ascii="宋体" w:hAnsi="宋体" w:eastAsia="宋体" w:cs="宋体"/>
                <w:sz w:val="24"/>
                <w:szCs w:val="22"/>
                <w:lang w:bidi="zh-CN"/>
              </w:rPr>
            </w:pPr>
            <w:r>
              <w:rPr>
                <w:rFonts w:hint="default" w:ascii="Times New Roman" w:hAnsi="Times New Roman" w:eastAsia="宋体" w:cs="Times New Roman"/>
                <w:sz w:val="24"/>
                <w:szCs w:val="22"/>
                <w:lang w:bidi="zh-CN"/>
              </w:rPr>
              <w:t>铁建重工高度重视市值管理，做好价值创造与价值传递工作。落实中国证监会、国务院国资委最新要求，制定《中国铁建重工集团股份有限公司市值管理制度》，构建贯穿全流程的市值管理体系框架。加强投关管理，精准传递价值。通过多元化渠道与资本市场保持密切沟通，上半年召开3场业绩说明会，与150余名分析师、投资经理深度交流。赴北京、深圳等多地开展路演，积极参与券商策略会。注重股东回报，践行长期主义。坚持稳定、持续的现金分红政策，上市以来分红比例始终超过30%。2024年度派发现金红利4.53亿元（含税），占归母净利润的30.06%。累计现金分红总额已超过20亿元。强化信息披露，严守合规底线。持续提升定期报告透明度，加强日常信披的针对性和有效性。主动披露有利于投资者做出价值判断和投资决策的信息。积极传递公司发展战略和业务，研究制定《中国铁建重工集团股份有限公司2025年“提质增效重回报”行动方案》，对半年度实施效果进行评估并披露执行情况。</w:t>
            </w:r>
          </w:p>
        </w:tc>
      </w:tr>
    </w:tbl>
    <w:p w14:paraId="3EF69B61"/>
    <w:sectPr>
      <w:footerReference r:id="rId3" w:type="default"/>
      <w:pgSz w:w="11910" w:h="16840"/>
      <w:pgMar w:top="1420" w:right="156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小标宋">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方正小标宋简体">
    <w:panose1 w:val="02000000000000000000"/>
    <w:charset w:val="86"/>
    <w:family w:val="script"/>
    <w:pitch w:val="default"/>
    <w:sig w:usb0="A00002BF" w:usb1="184F6CFA" w:usb2="00000012"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2131599"/>
    </w:sdtPr>
    <w:sdtContent>
      <w:p w14:paraId="1F179AC1">
        <w:pPr>
          <w:pStyle w:val="9"/>
          <w:jc w:val="center"/>
        </w:pPr>
        <w:r>
          <w:fldChar w:fldCharType="begin"/>
        </w:r>
        <w:r>
          <w:instrText xml:space="preserve">PAGE   \* MERGEFORMAT</w:instrText>
        </w:r>
        <w:r>
          <w:fldChar w:fldCharType="separate"/>
        </w:r>
        <w:r>
          <w:rPr>
            <w:lang w:val="zh-CN"/>
          </w:rPr>
          <w:t>4</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043607"/>
    <w:multiLevelType w:val="singleLevel"/>
    <w:tmpl w:val="F704360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0YWY5YWNiNDE5NmI3YTYwMGE1ZGJhY2M2ODQ0MjMifQ=="/>
  </w:docVars>
  <w:rsids>
    <w:rsidRoot w:val="22C02D9E"/>
    <w:rsid w:val="00026E7B"/>
    <w:rsid w:val="00040079"/>
    <w:rsid w:val="00075A04"/>
    <w:rsid w:val="00075DE5"/>
    <w:rsid w:val="000A3529"/>
    <w:rsid w:val="000A45B1"/>
    <w:rsid w:val="000D59AA"/>
    <w:rsid w:val="001226EE"/>
    <w:rsid w:val="00134447"/>
    <w:rsid w:val="00137EE3"/>
    <w:rsid w:val="001511BF"/>
    <w:rsid w:val="00152957"/>
    <w:rsid w:val="001908C2"/>
    <w:rsid w:val="001B61C8"/>
    <w:rsid w:val="00220C2E"/>
    <w:rsid w:val="00221C46"/>
    <w:rsid w:val="002368E5"/>
    <w:rsid w:val="0024101C"/>
    <w:rsid w:val="00241FA5"/>
    <w:rsid w:val="00256DE1"/>
    <w:rsid w:val="00273ADD"/>
    <w:rsid w:val="0027536A"/>
    <w:rsid w:val="00282FAC"/>
    <w:rsid w:val="0029568A"/>
    <w:rsid w:val="002978E0"/>
    <w:rsid w:val="002A5633"/>
    <w:rsid w:val="002B6EC4"/>
    <w:rsid w:val="002C62BE"/>
    <w:rsid w:val="002C7590"/>
    <w:rsid w:val="002D5B9E"/>
    <w:rsid w:val="002E449C"/>
    <w:rsid w:val="002E6C89"/>
    <w:rsid w:val="00315A81"/>
    <w:rsid w:val="00334215"/>
    <w:rsid w:val="00344384"/>
    <w:rsid w:val="00347455"/>
    <w:rsid w:val="00350B8F"/>
    <w:rsid w:val="0036611B"/>
    <w:rsid w:val="0036654A"/>
    <w:rsid w:val="00381341"/>
    <w:rsid w:val="003818D5"/>
    <w:rsid w:val="003818DA"/>
    <w:rsid w:val="00385C3F"/>
    <w:rsid w:val="003869D7"/>
    <w:rsid w:val="003A396E"/>
    <w:rsid w:val="003B4FD2"/>
    <w:rsid w:val="003B5A70"/>
    <w:rsid w:val="003C68E6"/>
    <w:rsid w:val="003E1D04"/>
    <w:rsid w:val="003F12BB"/>
    <w:rsid w:val="004127AC"/>
    <w:rsid w:val="0043571C"/>
    <w:rsid w:val="00435BB3"/>
    <w:rsid w:val="004670BD"/>
    <w:rsid w:val="00475083"/>
    <w:rsid w:val="00477C91"/>
    <w:rsid w:val="0048474A"/>
    <w:rsid w:val="004B66E1"/>
    <w:rsid w:val="004D6CB1"/>
    <w:rsid w:val="004F0A06"/>
    <w:rsid w:val="00500F4A"/>
    <w:rsid w:val="00506AF5"/>
    <w:rsid w:val="005145BC"/>
    <w:rsid w:val="00524BC5"/>
    <w:rsid w:val="00540072"/>
    <w:rsid w:val="00546675"/>
    <w:rsid w:val="0055094F"/>
    <w:rsid w:val="00577374"/>
    <w:rsid w:val="00581DE1"/>
    <w:rsid w:val="00587B4D"/>
    <w:rsid w:val="00593F52"/>
    <w:rsid w:val="00595B2E"/>
    <w:rsid w:val="00595F5D"/>
    <w:rsid w:val="005B3801"/>
    <w:rsid w:val="005C5323"/>
    <w:rsid w:val="005E586A"/>
    <w:rsid w:val="00601807"/>
    <w:rsid w:val="00602295"/>
    <w:rsid w:val="00603072"/>
    <w:rsid w:val="006062A2"/>
    <w:rsid w:val="00610649"/>
    <w:rsid w:val="00630A4E"/>
    <w:rsid w:val="0064680F"/>
    <w:rsid w:val="00646EEE"/>
    <w:rsid w:val="0065377B"/>
    <w:rsid w:val="006560B1"/>
    <w:rsid w:val="00673E5C"/>
    <w:rsid w:val="00674A83"/>
    <w:rsid w:val="00674CC3"/>
    <w:rsid w:val="006C2A5A"/>
    <w:rsid w:val="006C6402"/>
    <w:rsid w:val="006E2DBC"/>
    <w:rsid w:val="00715195"/>
    <w:rsid w:val="00725083"/>
    <w:rsid w:val="007266D9"/>
    <w:rsid w:val="00741281"/>
    <w:rsid w:val="00743D5B"/>
    <w:rsid w:val="00762B31"/>
    <w:rsid w:val="00781FF8"/>
    <w:rsid w:val="00792182"/>
    <w:rsid w:val="00792BDC"/>
    <w:rsid w:val="007B322D"/>
    <w:rsid w:val="007B33FF"/>
    <w:rsid w:val="007C64ED"/>
    <w:rsid w:val="007E700C"/>
    <w:rsid w:val="008002B5"/>
    <w:rsid w:val="00810140"/>
    <w:rsid w:val="00812B40"/>
    <w:rsid w:val="00820108"/>
    <w:rsid w:val="00820B48"/>
    <w:rsid w:val="00834DB4"/>
    <w:rsid w:val="00837526"/>
    <w:rsid w:val="0085007E"/>
    <w:rsid w:val="0085219E"/>
    <w:rsid w:val="008646D0"/>
    <w:rsid w:val="00867EE1"/>
    <w:rsid w:val="00877B9F"/>
    <w:rsid w:val="0088533F"/>
    <w:rsid w:val="0089036B"/>
    <w:rsid w:val="008B295A"/>
    <w:rsid w:val="008C5F4C"/>
    <w:rsid w:val="008F63E3"/>
    <w:rsid w:val="009037B7"/>
    <w:rsid w:val="009235B8"/>
    <w:rsid w:val="00931B59"/>
    <w:rsid w:val="0095195F"/>
    <w:rsid w:val="009711A6"/>
    <w:rsid w:val="0098548B"/>
    <w:rsid w:val="009941DF"/>
    <w:rsid w:val="009A68AD"/>
    <w:rsid w:val="009A6BF8"/>
    <w:rsid w:val="009C01A3"/>
    <w:rsid w:val="009E5A95"/>
    <w:rsid w:val="00A122C1"/>
    <w:rsid w:val="00A20F81"/>
    <w:rsid w:val="00A42B88"/>
    <w:rsid w:val="00A75D55"/>
    <w:rsid w:val="00A8273C"/>
    <w:rsid w:val="00A82BF8"/>
    <w:rsid w:val="00A84930"/>
    <w:rsid w:val="00A977D7"/>
    <w:rsid w:val="00AB146D"/>
    <w:rsid w:val="00AD5E58"/>
    <w:rsid w:val="00AD7F7A"/>
    <w:rsid w:val="00AE3D7B"/>
    <w:rsid w:val="00AF125B"/>
    <w:rsid w:val="00B03BE1"/>
    <w:rsid w:val="00B10D2B"/>
    <w:rsid w:val="00B144EC"/>
    <w:rsid w:val="00B213A6"/>
    <w:rsid w:val="00B3047B"/>
    <w:rsid w:val="00B35137"/>
    <w:rsid w:val="00B359E3"/>
    <w:rsid w:val="00B414AD"/>
    <w:rsid w:val="00B424FB"/>
    <w:rsid w:val="00B42C65"/>
    <w:rsid w:val="00B44BF4"/>
    <w:rsid w:val="00B451E2"/>
    <w:rsid w:val="00B529C2"/>
    <w:rsid w:val="00B54D9F"/>
    <w:rsid w:val="00B5601B"/>
    <w:rsid w:val="00B6023D"/>
    <w:rsid w:val="00B73BD4"/>
    <w:rsid w:val="00B74E83"/>
    <w:rsid w:val="00B84CFF"/>
    <w:rsid w:val="00B85F0C"/>
    <w:rsid w:val="00B922C4"/>
    <w:rsid w:val="00B95230"/>
    <w:rsid w:val="00B97ADB"/>
    <w:rsid w:val="00BC6C79"/>
    <w:rsid w:val="00BD1D5C"/>
    <w:rsid w:val="00C02992"/>
    <w:rsid w:val="00C032AD"/>
    <w:rsid w:val="00C15A96"/>
    <w:rsid w:val="00C25B58"/>
    <w:rsid w:val="00C27FB0"/>
    <w:rsid w:val="00C4717F"/>
    <w:rsid w:val="00C56F98"/>
    <w:rsid w:val="00C77168"/>
    <w:rsid w:val="00CB65B3"/>
    <w:rsid w:val="00CC6DD0"/>
    <w:rsid w:val="00CC7F40"/>
    <w:rsid w:val="00CD412B"/>
    <w:rsid w:val="00CE2044"/>
    <w:rsid w:val="00CE3A26"/>
    <w:rsid w:val="00CE5981"/>
    <w:rsid w:val="00CF4B9C"/>
    <w:rsid w:val="00CF526C"/>
    <w:rsid w:val="00D039EA"/>
    <w:rsid w:val="00D11134"/>
    <w:rsid w:val="00D316A6"/>
    <w:rsid w:val="00D37FD3"/>
    <w:rsid w:val="00D41F6E"/>
    <w:rsid w:val="00D54CD3"/>
    <w:rsid w:val="00D75CEB"/>
    <w:rsid w:val="00D76631"/>
    <w:rsid w:val="00D80ABD"/>
    <w:rsid w:val="00D9419D"/>
    <w:rsid w:val="00DA0631"/>
    <w:rsid w:val="00DA7406"/>
    <w:rsid w:val="00DE1B30"/>
    <w:rsid w:val="00DE329A"/>
    <w:rsid w:val="00E02B10"/>
    <w:rsid w:val="00E04E1F"/>
    <w:rsid w:val="00E06F2F"/>
    <w:rsid w:val="00E35EB1"/>
    <w:rsid w:val="00E5073B"/>
    <w:rsid w:val="00E56062"/>
    <w:rsid w:val="00E83D04"/>
    <w:rsid w:val="00E8668A"/>
    <w:rsid w:val="00E91B30"/>
    <w:rsid w:val="00E921E9"/>
    <w:rsid w:val="00EA7477"/>
    <w:rsid w:val="00EC26AE"/>
    <w:rsid w:val="00F04F29"/>
    <w:rsid w:val="00F1160F"/>
    <w:rsid w:val="00F132D6"/>
    <w:rsid w:val="00F20A66"/>
    <w:rsid w:val="00F2161C"/>
    <w:rsid w:val="00F25B61"/>
    <w:rsid w:val="00F33667"/>
    <w:rsid w:val="00F40BD3"/>
    <w:rsid w:val="00F43E99"/>
    <w:rsid w:val="00F70F15"/>
    <w:rsid w:val="00F80878"/>
    <w:rsid w:val="00FB0132"/>
    <w:rsid w:val="00FD0C7A"/>
    <w:rsid w:val="00FF28C6"/>
    <w:rsid w:val="014075AF"/>
    <w:rsid w:val="01776618"/>
    <w:rsid w:val="0204347A"/>
    <w:rsid w:val="02146827"/>
    <w:rsid w:val="02746CB9"/>
    <w:rsid w:val="029A3351"/>
    <w:rsid w:val="031418F0"/>
    <w:rsid w:val="03351957"/>
    <w:rsid w:val="03354BA9"/>
    <w:rsid w:val="036E1AFC"/>
    <w:rsid w:val="03D16068"/>
    <w:rsid w:val="03D913C1"/>
    <w:rsid w:val="0400177C"/>
    <w:rsid w:val="04331757"/>
    <w:rsid w:val="048605CC"/>
    <w:rsid w:val="049B5AE0"/>
    <w:rsid w:val="05053E22"/>
    <w:rsid w:val="05217E5C"/>
    <w:rsid w:val="052B37F3"/>
    <w:rsid w:val="05415D5C"/>
    <w:rsid w:val="054F28E5"/>
    <w:rsid w:val="058853EE"/>
    <w:rsid w:val="06491895"/>
    <w:rsid w:val="06C954F9"/>
    <w:rsid w:val="06E32BC5"/>
    <w:rsid w:val="074C0946"/>
    <w:rsid w:val="07683008"/>
    <w:rsid w:val="07C82502"/>
    <w:rsid w:val="08005EC1"/>
    <w:rsid w:val="09147BD1"/>
    <w:rsid w:val="092E7E14"/>
    <w:rsid w:val="09AC3382"/>
    <w:rsid w:val="0A101979"/>
    <w:rsid w:val="0A712513"/>
    <w:rsid w:val="0B585949"/>
    <w:rsid w:val="0B8056F1"/>
    <w:rsid w:val="0C0952FA"/>
    <w:rsid w:val="0CDF2F6F"/>
    <w:rsid w:val="0CE87AC9"/>
    <w:rsid w:val="0D345C5A"/>
    <w:rsid w:val="0D9C2B47"/>
    <w:rsid w:val="0E1F5F8F"/>
    <w:rsid w:val="0E6A7FAE"/>
    <w:rsid w:val="0E737D3F"/>
    <w:rsid w:val="0E7C1566"/>
    <w:rsid w:val="0EB5409C"/>
    <w:rsid w:val="0F980603"/>
    <w:rsid w:val="0FCD0D0C"/>
    <w:rsid w:val="102E103F"/>
    <w:rsid w:val="103079EA"/>
    <w:rsid w:val="10657B41"/>
    <w:rsid w:val="107447F0"/>
    <w:rsid w:val="116E2D11"/>
    <w:rsid w:val="11ED2806"/>
    <w:rsid w:val="121427F4"/>
    <w:rsid w:val="12215160"/>
    <w:rsid w:val="123A23FE"/>
    <w:rsid w:val="12E26E04"/>
    <w:rsid w:val="136A034F"/>
    <w:rsid w:val="13B0013C"/>
    <w:rsid w:val="13FA68E0"/>
    <w:rsid w:val="147A79BD"/>
    <w:rsid w:val="14836F8F"/>
    <w:rsid w:val="14A55986"/>
    <w:rsid w:val="14B4537C"/>
    <w:rsid w:val="15312600"/>
    <w:rsid w:val="155C4FE3"/>
    <w:rsid w:val="15603B98"/>
    <w:rsid w:val="15FF2F49"/>
    <w:rsid w:val="16375667"/>
    <w:rsid w:val="16486D01"/>
    <w:rsid w:val="17236F1E"/>
    <w:rsid w:val="175D340E"/>
    <w:rsid w:val="17BB35FC"/>
    <w:rsid w:val="18020E75"/>
    <w:rsid w:val="181A3976"/>
    <w:rsid w:val="18F750BC"/>
    <w:rsid w:val="19D33519"/>
    <w:rsid w:val="19ED57B3"/>
    <w:rsid w:val="1A573973"/>
    <w:rsid w:val="1A5E2812"/>
    <w:rsid w:val="1A6A04AE"/>
    <w:rsid w:val="1A7F45B8"/>
    <w:rsid w:val="1B0D6BF8"/>
    <w:rsid w:val="1B944F1D"/>
    <w:rsid w:val="1C142612"/>
    <w:rsid w:val="1C1F5442"/>
    <w:rsid w:val="1C213964"/>
    <w:rsid w:val="1CE53D01"/>
    <w:rsid w:val="1CFE11EF"/>
    <w:rsid w:val="1D0C271F"/>
    <w:rsid w:val="1DDC2FBC"/>
    <w:rsid w:val="1E166F81"/>
    <w:rsid w:val="1E4F5FBC"/>
    <w:rsid w:val="1E700E0E"/>
    <w:rsid w:val="1E7159F1"/>
    <w:rsid w:val="1EF74C1E"/>
    <w:rsid w:val="1EFA7E51"/>
    <w:rsid w:val="201C32EC"/>
    <w:rsid w:val="208E18AB"/>
    <w:rsid w:val="20B724FA"/>
    <w:rsid w:val="20CB1D8C"/>
    <w:rsid w:val="21134F15"/>
    <w:rsid w:val="21720A1F"/>
    <w:rsid w:val="2219319E"/>
    <w:rsid w:val="2292398D"/>
    <w:rsid w:val="22C02D9E"/>
    <w:rsid w:val="23DD70FC"/>
    <w:rsid w:val="23E256F7"/>
    <w:rsid w:val="24445BEF"/>
    <w:rsid w:val="244E4F36"/>
    <w:rsid w:val="24896AB8"/>
    <w:rsid w:val="24D153E7"/>
    <w:rsid w:val="2513542C"/>
    <w:rsid w:val="25404272"/>
    <w:rsid w:val="25444D2D"/>
    <w:rsid w:val="25947FBF"/>
    <w:rsid w:val="267B643F"/>
    <w:rsid w:val="26C72527"/>
    <w:rsid w:val="27655E70"/>
    <w:rsid w:val="276F2CB5"/>
    <w:rsid w:val="27935EA3"/>
    <w:rsid w:val="283A6AB4"/>
    <w:rsid w:val="28706B56"/>
    <w:rsid w:val="28860ECC"/>
    <w:rsid w:val="28A148D5"/>
    <w:rsid w:val="28DB1FF7"/>
    <w:rsid w:val="291C069D"/>
    <w:rsid w:val="293C151E"/>
    <w:rsid w:val="297943AC"/>
    <w:rsid w:val="29856BE1"/>
    <w:rsid w:val="29A82D80"/>
    <w:rsid w:val="29E45531"/>
    <w:rsid w:val="2A331C17"/>
    <w:rsid w:val="2A9F3B8D"/>
    <w:rsid w:val="2AA57B1F"/>
    <w:rsid w:val="2B154DE9"/>
    <w:rsid w:val="2B1D177E"/>
    <w:rsid w:val="2B45013E"/>
    <w:rsid w:val="2CD97EAA"/>
    <w:rsid w:val="2CF86169"/>
    <w:rsid w:val="2D484E6F"/>
    <w:rsid w:val="2D6D7CCB"/>
    <w:rsid w:val="2D7D7AA7"/>
    <w:rsid w:val="2E493757"/>
    <w:rsid w:val="2E7815C7"/>
    <w:rsid w:val="2E9B1FA5"/>
    <w:rsid w:val="2EA46D31"/>
    <w:rsid w:val="2EB47CF0"/>
    <w:rsid w:val="2F4534B3"/>
    <w:rsid w:val="2F510246"/>
    <w:rsid w:val="2F564BAE"/>
    <w:rsid w:val="2FBF4E5A"/>
    <w:rsid w:val="2FE166F3"/>
    <w:rsid w:val="2FE311E2"/>
    <w:rsid w:val="30295AA3"/>
    <w:rsid w:val="30E4200A"/>
    <w:rsid w:val="311C3E37"/>
    <w:rsid w:val="3151318A"/>
    <w:rsid w:val="31936F51"/>
    <w:rsid w:val="319932AE"/>
    <w:rsid w:val="321D3A6E"/>
    <w:rsid w:val="327B4792"/>
    <w:rsid w:val="327F2B88"/>
    <w:rsid w:val="32B50D97"/>
    <w:rsid w:val="32B6761A"/>
    <w:rsid w:val="32DD144F"/>
    <w:rsid w:val="331645B1"/>
    <w:rsid w:val="333431EA"/>
    <w:rsid w:val="33B51B2F"/>
    <w:rsid w:val="34254E5C"/>
    <w:rsid w:val="3440562E"/>
    <w:rsid w:val="347668DA"/>
    <w:rsid w:val="34D72E0D"/>
    <w:rsid w:val="34E473AF"/>
    <w:rsid w:val="34E672F2"/>
    <w:rsid w:val="35526158"/>
    <w:rsid w:val="357E2C89"/>
    <w:rsid w:val="358E6F01"/>
    <w:rsid w:val="3592112E"/>
    <w:rsid w:val="360F1860"/>
    <w:rsid w:val="371C5DA4"/>
    <w:rsid w:val="379609DC"/>
    <w:rsid w:val="37D80396"/>
    <w:rsid w:val="37F84B3F"/>
    <w:rsid w:val="37FE7526"/>
    <w:rsid w:val="38041E96"/>
    <w:rsid w:val="380F20AB"/>
    <w:rsid w:val="382D23F5"/>
    <w:rsid w:val="38F2029B"/>
    <w:rsid w:val="391138B2"/>
    <w:rsid w:val="392A542D"/>
    <w:rsid w:val="3A0A0FC6"/>
    <w:rsid w:val="3A14549A"/>
    <w:rsid w:val="3A903116"/>
    <w:rsid w:val="3AA24C9F"/>
    <w:rsid w:val="3AA510F8"/>
    <w:rsid w:val="3AE05E48"/>
    <w:rsid w:val="3AFE1875"/>
    <w:rsid w:val="3B29585C"/>
    <w:rsid w:val="3B3549EE"/>
    <w:rsid w:val="3B60096D"/>
    <w:rsid w:val="3B64270E"/>
    <w:rsid w:val="3B911029"/>
    <w:rsid w:val="3C163E60"/>
    <w:rsid w:val="3C1B472B"/>
    <w:rsid w:val="3C5621E1"/>
    <w:rsid w:val="3CC53C2C"/>
    <w:rsid w:val="3CE912B4"/>
    <w:rsid w:val="3E0C3A82"/>
    <w:rsid w:val="3E0D3E5B"/>
    <w:rsid w:val="3E3825F1"/>
    <w:rsid w:val="3E8D1F15"/>
    <w:rsid w:val="3EC7168E"/>
    <w:rsid w:val="3EE447D9"/>
    <w:rsid w:val="3F47085D"/>
    <w:rsid w:val="3FDA2A51"/>
    <w:rsid w:val="3FDB6D16"/>
    <w:rsid w:val="40BF1ED5"/>
    <w:rsid w:val="40C95A74"/>
    <w:rsid w:val="40E24008"/>
    <w:rsid w:val="40F26B35"/>
    <w:rsid w:val="421537A4"/>
    <w:rsid w:val="423A729E"/>
    <w:rsid w:val="424051C7"/>
    <w:rsid w:val="42452805"/>
    <w:rsid w:val="42567842"/>
    <w:rsid w:val="425A5222"/>
    <w:rsid w:val="425F3C2F"/>
    <w:rsid w:val="427020C1"/>
    <w:rsid w:val="44823C05"/>
    <w:rsid w:val="449A33FE"/>
    <w:rsid w:val="44A91919"/>
    <w:rsid w:val="4530130F"/>
    <w:rsid w:val="453D5012"/>
    <w:rsid w:val="45B82DA0"/>
    <w:rsid w:val="460D258F"/>
    <w:rsid w:val="46611D24"/>
    <w:rsid w:val="46961585"/>
    <w:rsid w:val="46B16601"/>
    <w:rsid w:val="471B0185"/>
    <w:rsid w:val="478314B3"/>
    <w:rsid w:val="486F66C7"/>
    <w:rsid w:val="488103AE"/>
    <w:rsid w:val="488562C7"/>
    <w:rsid w:val="48B021C6"/>
    <w:rsid w:val="48CC55B6"/>
    <w:rsid w:val="48E729AC"/>
    <w:rsid w:val="495E27E0"/>
    <w:rsid w:val="496635CC"/>
    <w:rsid w:val="49A57642"/>
    <w:rsid w:val="49B2014C"/>
    <w:rsid w:val="49EC2014"/>
    <w:rsid w:val="4A1F6D47"/>
    <w:rsid w:val="4A3E3505"/>
    <w:rsid w:val="4AB96E81"/>
    <w:rsid w:val="4B6058FF"/>
    <w:rsid w:val="4B7E10D3"/>
    <w:rsid w:val="4B8868F7"/>
    <w:rsid w:val="4B944412"/>
    <w:rsid w:val="4BEA2C60"/>
    <w:rsid w:val="4C2C2C6D"/>
    <w:rsid w:val="4C82613C"/>
    <w:rsid w:val="4C95294D"/>
    <w:rsid w:val="4D7475CF"/>
    <w:rsid w:val="4D7F0501"/>
    <w:rsid w:val="4D8349FC"/>
    <w:rsid w:val="4DAB14EE"/>
    <w:rsid w:val="4DC872D1"/>
    <w:rsid w:val="4DCE2C5D"/>
    <w:rsid w:val="4DF80DB9"/>
    <w:rsid w:val="4DFC4A28"/>
    <w:rsid w:val="4E1354F7"/>
    <w:rsid w:val="4F1C169F"/>
    <w:rsid w:val="4F5A600F"/>
    <w:rsid w:val="500A107C"/>
    <w:rsid w:val="502C7AAB"/>
    <w:rsid w:val="503A2BCA"/>
    <w:rsid w:val="504C565A"/>
    <w:rsid w:val="505F68CC"/>
    <w:rsid w:val="50701412"/>
    <w:rsid w:val="508B7B19"/>
    <w:rsid w:val="510A20CD"/>
    <w:rsid w:val="51311BD9"/>
    <w:rsid w:val="51406250"/>
    <w:rsid w:val="51750A18"/>
    <w:rsid w:val="51AA1E80"/>
    <w:rsid w:val="51C51BB5"/>
    <w:rsid w:val="51E16832"/>
    <w:rsid w:val="51E34174"/>
    <w:rsid w:val="533725EE"/>
    <w:rsid w:val="533F3AB3"/>
    <w:rsid w:val="53755C44"/>
    <w:rsid w:val="53B25CD5"/>
    <w:rsid w:val="53C020FC"/>
    <w:rsid w:val="543F343F"/>
    <w:rsid w:val="54460AFF"/>
    <w:rsid w:val="54552A11"/>
    <w:rsid w:val="546141A1"/>
    <w:rsid w:val="549F386A"/>
    <w:rsid w:val="55007CB9"/>
    <w:rsid w:val="55690BF5"/>
    <w:rsid w:val="55A25EB5"/>
    <w:rsid w:val="55C87014"/>
    <w:rsid w:val="55D76548"/>
    <w:rsid w:val="56197FF3"/>
    <w:rsid w:val="56651060"/>
    <w:rsid w:val="56951A0B"/>
    <w:rsid w:val="569C51E4"/>
    <w:rsid w:val="572A5DFA"/>
    <w:rsid w:val="5793080B"/>
    <w:rsid w:val="57C85932"/>
    <w:rsid w:val="57E92765"/>
    <w:rsid w:val="57F624E8"/>
    <w:rsid w:val="580B283B"/>
    <w:rsid w:val="582450D6"/>
    <w:rsid w:val="588329AC"/>
    <w:rsid w:val="58D81AFC"/>
    <w:rsid w:val="58F454E2"/>
    <w:rsid w:val="599026A6"/>
    <w:rsid w:val="59921378"/>
    <w:rsid w:val="59D4409D"/>
    <w:rsid w:val="5A1102F9"/>
    <w:rsid w:val="5A583808"/>
    <w:rsid w:val="5A8C7275"/>
    <w:rsid w:val="5ABE6659"/>
    <w:rsid w:val="5B0B44FC"/>
    <w:rsid w:val="5B586CA2"/>
    <w:rsid w:val="5C247843"/>
    <w:rsid w:val="5C55137A"/>
    <w:rsid w:val="5C5525A0"/>
    <w:rsid w:val="5C945C52"/>
    <w:rsid w:val="5CCC3393"/>
    <w:rsid w:val="5D51749F"/>
    <w:rsid w:val="5D545C81"/>
    <w:rsid w:val="5DB066DB"/>
    <w:rsid w:val="5DF56091"/>
    <w:rsid w:val="5E046864"/>
    <w:rsid w:val="5E173025"/>
    <w:rsid w:val="5E452065"/>
    <w:rsid w:val="5ED828B4"/>
    <w:rsid w:val="5EDE5F3A"/>
    <w:rsid w:val="5EFF5A8E"/>
    <w:rsid w:val="5F0D1B4D"/>
    <w:rsid w:val="5F2A50BF"/>
    <w:rsid w:val="5F476890"/>
    <w:rsid w:val="5F8C52D4"/>
    <w:rsid w:val="5FA5294F"/>
    <w:rsid w:val="5FB60E80"/>
    <w:rsid w:val="5FF14891"/>
    <w:rsid w:val="5FFD7F05"/>
    <w:rsid w:val="605908A1"/>
    <w:rsid w:val="60632812"/>
    <w:rsid w:val="60937CF0"/>
    <w:rsid w:val="6097361E"/>
    <w:rsid w:val="60C07B37"/>
    <w:rsid w:val="60C37A33"/>
    <w:rsid w:val="60EB32BE"/>
    <w:rsid w:val="60F63018"/>
    <w:rsid w:val="6122209C"/>
    <w:rsid w:val="614C5F46"/>
    <w:rsid w:val="62051ED7"/>
    <w:rsid w:val="62C05BF8"/>
    <w:rsid w:val="62E64CBC"/>
    <w:rsid w:val="630C47C7"/>
    <w:rsid w:val="63400147"/>
    <w:rsid w:val="63B46BBD"/>
    <w:rsid w:val="63C128AF"/>
    <w:rsid w:val="63F243ED"/>
    <w:rsid w:val="645C4936"/>
    <w:rsid w:val="6517200F"/>
    <w:rsid w:val="65201F66"/>
    <w:rsid w:val="6523130F"/>
    <w:rsid w:val="65322DFD"/>
    <w:rsid w:val="656E1FEA"/>
    <w:rsid w:val="66003D71"/>
    <w:rsid w:val="66D47C91"/>
    <w:rsid w:val="66E463DE"/>
    <w:rsid w:val="67AF7155"/>
    <w:rsid w:val="68281439"/>
    <w:rsid w:val="68347762"/>
    <w:rsid w:val="6896208D"/>
    <w:rsid w:val="68A04A58"/>
    <w:rsid w:val="68AB3DD0"/>
    <w:rsid w:val="68AC4094"/>
    <w:rsid w:val="68D832EC"/>
    <w:rsid w:val="68E81ABC"/>
    <w:rsid w:val="68E8766E"/>
    <w:rsid w:val="693C033C"/>
    <w:rsid w:val="693F628D"/>
    <w:rsid w:val="696B4984"/>
    <w:rsid w:val="696C6056"/>
    <w:rsid w:val="69D72179"/>
    <w:rsid w:val="69FB447A"/>
    <w:rsid w:val="6A42419F"/>
    <w:rsid w:val="6A464CB0"/>
    <w:rsid w:val="6A4E0447"/>
    <w:rsid w:val="6B24785D"/>
    <w:rsid w:val="6BDF7649"/>
    <w:rsid w:val="6CAE1317"/>
    <w:rsid w:val="6CB30B6E"/>
    <w:rsid w:val="6CBD0A9A"/>
    <w:rsid w:val="6D0468E8"/>
    <w:rsid w:val="6DA33507"/>
    <w:rsid w:val="6DF644C8"/>
    <w:rsid w:val="6E2231D4"/>
    <w:rsid w:val="6E6F0B3C"/>
    <w:rsid w:val="6E711093"/>
    <w:rsid w:val="6F3D0C04"/>
    <w:rsid w:val="6F716CD6"/>
    <w:rsid w:val="6F7D25E3"/>
    <w:rsid w:val="6FA4432C"/>
    <w:rsid w:val="6FB8065A"/>
    <w:rsid w:val="70487187"/>
    <w:rsid w:val="70CA272F"/>
    <w:rsid w:val="70F91928"/>
    <w:rsid w:val="710C67BE"/>
    <w:rsid w:val="71A42734"/>
    <w:rsid w:val="71DF11F9"/>
    <w:rsid w:val="71F16312"/>
    <w:rsid w:val="72151F22"/>
    <w:rsid w:val="72455BE8"/>
    <w:rsid w:val="73105145"/>
    <w:rsid w:val="73A2411E"/>
    <w:rsid w:val="73A609D6"/>
    <w:rsid w:val="73BF1B65"/>
    <w:rsid w:val="74057D8F"/>
    <w:rsid w:val="74171C8C"/>
    <w:rsid w:val="742A0A1E"/>
    <w:rsid w:val="75175B20"/>
    <w:rsid w:val="75537A58"/>
    <w:rsid w:val="75A35CCF"/>
    <w:rsid w:val="75EF44B1"/>
    <w:rsid w:val="766156E5"/>
    <w:rsid w:val="76D25753"/>
    <w:rsid w:val="76DE0B94"/>
    <w:rsid w:val="77067460"/>
    <w:rsid w:val="77632D4B"/>
    <w:rsid w:val="776C55D6"/>
    <w:rsid w:val="78F64BF0"/>
    <w:rsid w:val="796A7452"/>
    <w:rsid w:val="79A4784C"/>
    <w:rsid w:val="79AA5EC1"/>
    <w:rsid w:val="79B4469B"/>
    <w:rsid w:val="7A1A4B8D"/>
    <w:rsid w:val="7A672CBD"/>
    <w:rsid w:val="7A8003EE"/>
    <w:rsid w:val="7A923C37"/>
    <w:rsid w:val="7AA43769"/>
    <w:rsid w:val="7AA716F4"/>
    <w:rsid w:val="7ACF51A6"/>
    <w:rsid w:val="7B432F32"/>
    <w:rsid w:val="7C5533D1"/>
    <w:rsid w:val="7C98665E"/>
    <w:rsid w:val="7C9B3495"/>
    <w:rsid w:val="7D3674C0"/>
    <w:rsid w:val="7D941BED"/>
    <w:rsid w:val="7DA85FAB"/>
    <w:rsid w:val="7DDC1A9F"/>
    <w:rsid w:val="7EA50649"/>
    <w:rsid w:val="7EAF147F"/>
    <w:rsid w:val="7EF479F0"/>
    <w:rsid w:val="7F0B4D0E"/>
    <w:rsid w:val="7F855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6"/>
    <w:link w:val="20"/>
    <w:semiHidden/>
    <w:unhideWhenUsed/>
    <w:qFormat/>
    <w:uiPriority w:val="0"/>
    <w:pPr>
      <w:keepNext/>
      <w:keepLines/>
      <w:spacing w:before="60" w:line="360" w:lineRule="auto"/>
      <w:outlineLvl w:val="1"/>
    </w:pPr>
    <w:rPr>
      <w:rFonts w:ascii="Arial" w:hAnsi="Arial" w:eastAsia="宋体" w:cs="Times New Roman"/>
      <w:b/>
      <w:bCs/>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0"/>
    <w:pPr>
      <w:spacing w:after="120"/>
    </w:pPr>
  </w:style>
  <w:style w:type="paragraph" w:styleId="4">
    <w:name w:val="toc 1"/>
    <w:basedOn w:val="1"/>
    <w:next w:val="1"/>
    <w:qFormat/>
    <w:uiPriority w:val="0"/>
  </w:style>
  <w:style w:type="paragraph" w:styleId="6">
    <w:name w:val="Normal Indent"/>
    <w:basedOn w:val="1"/>
    <w:qFormat/>
    <w:uiPriority w:val="0"/>
    <w:pPr>
      <w:ind w:firstLine="420" w:firstLineChars="200"/>
    </w:pPr>
  </w:style>
  <w:style w:type="paragraph" w:styleId="7">
    <w:name w:val="annotation text"/>
    <w:basedOn w:val="1"/>
    <w:link w:val="17"/>
    <w:qFormat/>
    <w:uiPriority w:val="0"/>
    <w:pPr>
      <w:jc w:val="left"/>
    </w:pPr>
  </w:style>
  <w:style w:type="paragraph" w:styleId="8">
    <w:name w:val="Balloon Text"/>
    <w:basedOn w:val="1"/>
    <w:link w:val="19"/>
    <w:qFormat/>
    <w:uiPriority w:val="0"/>
    <w:rPr>
      <w:sz w:val="18"/>
      <w:szCs w:val="18"/>
    </w:rPr>
  </w:style>
  <w:style w:type="paragraph" w:styleId="9">
    <w:name w:val="footer"/>
    <w:basedOn w:val="1"/>
    <w:link w:val="16"/>
    <w:qFormat/>
    <w:uiPriority w:val="99"/>
    <w:pPr>
      <w:tabs>
        <w:tab w:val="center" w:pos="4153"/>
        <w:tab w:val="right" w:pos="8306"/>
      </w:tabs>
      <w:snapToGrid w:val="0"/>
      <w:jc w:val="left"/>
    </w:pPr>
    <w:rPr>
      <w:sz w:val="18"/>
      <w:szCs w:val="18"/>
    </w:rPr>
  </w:style>
  <w:style w:type="paragraph" w:styleId="10">
    <w:name w:val="header"/>
    <w:basedOn w:val="1"/>
    <w:link w:val="15"/>
    <w:qFormat/>
    <w:uiPriority w:val="0"/>
    <w:pPr>
      <w:tabs>
        <w:tab w:val="center" w:pos="4153"/>
        <w:tab w:val="right" w:pos="8306"/>
      </w:tabs>
      <w:snapToGrid w:val="0"/>
      <w:jc w:val="center"/>
    </w:pPr>
    <w:rPr>
      <w:sz w:val="18"/>
      <w:szCs w:val="18"/>
    </w:rPr>
  </w:style>
  <w:style w:type="paragraph" w:styleId="11">
    <w:name w:val="annotation subject"/>
    <w:basedOn w:val="7"/>
    <w:next w:val="7"/>
    <w:link w:val="18"/>
    <w:qFormat/>
    <w:uiPriority w:val="0"/>
    <w:rPr>
      <w:b/>
      <w:bCs/>
    </w:rPr>
  </w:style>
  <w:style w:type="character" w:styleId="14">
    <w:name w:val="annotation reference"/>
    <w:basedOn w:val="13"/>
    <w:qFormat/>
    <w:uiPriority w:val="0"/>
    <w:rPr>
      <w:sz w:val="21"/>
      <w:szCs w:val="21"/>
    </w:rPr>
  </w:style>
  <w:style w:type="character" w:customStyle="1" w:styleId="15">
    <w:name w:val="页眉 Char"/>
    <w:basedOn w:val="13"/>
    <w:link w:val="10"/>
    <w:qFormat/>
    <w:uiPriority w:val="0"/>
    <w:rPr>
      <w:kern w:val="2"/>
      <w:sz w:val="18"/>
      <w:szCs w:val="18"/>
    </w:rPr>
  </w:style>
  <w:style w:type="character" w:customStyle="1" w:styleId="16">
    <w:name w:val="页脚 Char"/>
    <w:basedOn w:val="13"/>
    <w:link w:val="9"/>
    <w:qFormat/>
    <w:uiPriority w:val="99"/>
    <w:rPr>
      <w:kern w:val="2"/>
      <w:sz w:val="18"/>
      <w:szCs w:val="18"/>
    </w:rPr>
  </w:style>
  <w:style w:type="character" w:customStyle="1" w:styleId="17">
    <w:name w:val="批注文字 Char"/>
    <w:basedOn w:val="13"/>
    <w:link w:val="7"/>
    <w:qFormat/>
    <w:uiPriority w:val="0"/>
    <w:rPr>
      <w:rFonts w:asciiTheme="minorHAnsi" w:hAnsiTheme="minorHAnsi" w:eastAsiaTheme="minorEastAsia" w:cstheme="minorBidi"/>
      <w:kern w:val="2"/>
      <w:sz w:val="21"/>
      <w:szCs w:val="24"/>
    </w:rPr>
  </w:style>
  <w:style w:type="character" w:customStyle="1" w:styleId="18">
    <w:name w:val="批注主题 Char"/>
    <w:basedOn w:val="17"/>
    <w:link w:val="11"/>
    <w:qFormat/>
    <w:uiPriority w:val="0"/>
    <w:rPr>
      <w:rFonts w:asciiTheme="minorHAnsi" w:hAnsiTheme="minorHAnsi" w:eastAsiaTheme="minorEastAsia" w:cstheme="minorBidi"/>
      <w:b/>
      <w:bCs/>
      <w:kern w:val="2"/>
      <w:sz w:val="21"/>
      <w:szCs w:val="24"/>
    </w:rPr>
  </w:style>
  <w:style w:type="character" w:customStyle="1" w:styleId="19">
    <w:name w:val="批注框文本 Char"/>
    <w:basedOn w:val="13"/>
    <w:link w:val="8"/>
    <w:qFormat/>
    <w:uiPriority w:val="0"/>
    <w:rPr>
      <w:rFonts w:asciiTheme="minorHAnsi" w:hAnsiTheme="minorHAnsi" w:eastAsiaTheme="minorEastAsia" w:cstheme="minorBidi"/>
      <w:kern w:val="2"/>
      <w:sz w:val="18"/>
      <w:szCs w:val="18"/>
    </w:rPr>
  </w:style>
  <w:style w:type="character" w:customStyle="1" w:styleId="20">
    <w:name w:val="标题 2 Char"/>
    <w:basedOn w:val="13"/>
    <w:link w:val="5"/>
    <w:semiHidden/>
    <w:qFormat/>
    <w:uiPriority w:val="0"/>
    <w:rPr>
      <w:rFonts w:ascii="Arial" w:hAnsi="Arial"/>
      <w:b/>
      <w:bCs/>
      <w:kern w:val="2"/>
      <w:sz w:val="21"/>
      <w:szCs w:val="24"/>
    </w:rPr>
  </w:style>
  <w:style w:type="table" w:customStyle="1" w:styleId="21">
    <w:name w:val="网格型2"/>
    <w:basedOn w:val="12"/>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955A5-4B1D-4486-B860-375E38554493}">
  <ds:schemaRefs/>
</ds:datastoreItem>
</file>

<file path=docProps/app.xml><?xml version="1.0" encoding="utf-8"?>
<Properties xmlns="http://schemas.openxmlformats.org/officeDocument/2006/extended-properties" xmlns:vt="http://schemas.openxmlformats.org/officeDocument/2006/docPropsVTypes">
  <Template>Normal</Template>
  <Pages>4</Pages>
  <Words>2548</Words>
  <Characters>2780</Characters>
  <Lines>21</Lines>
  <Paragraphs>5</Paragraphs>
  <TotalTime>2</TotalTime>
  <ScaleCrop>false</ScaleCrop>
  <LinksUpToDate>false</LinksUpToDate>
  <CharactersWithSpaces>2935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2025-09-02T06:50:00Z</dcterms:created>
  <dc:creator>WH</dc:creator>
  <cp:lastModifiedBy>李朋举[E3]</cp:lastModifiedBy>
  <dcterms:modified xsi:type="dcterms:W3CDTF">2025-09-02T09:33:19Z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F83C8A734DFD4A8FBDF263E848998402_13</vt:lpwstr>
  </property>
  <property fmtid="{D5CDD505-2E9C-101B-9397-08002B2CF9AE}" pid="4" name="KSOTemplateDocerSaveRecord">
    <vt:lpwstr>eyJoZGlkIjoiNTJkODk4YmM0ODVhNmZjNmI2NGQ1YTg2ZmYyMDUzMGMiLCJ1c2VySWQiOiIyOTE3MjIzMTYifQ==</vt:lpwstr>
  </property>
</Properties>
</file>