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8218" w14:textId="77777777" w:rsidR="00012944" w:rsidRDefault="00000000">
      <w:pPr>
        <w:spacing w:after="220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/>
          <w:color w:val="000000" w:themeColor="text1"/>
          <w:sz w:val="24"/>
        </w:rPr>
        <w:t>证券代码：</w:t>
      </w:r>
      <w:r>
        <w:rPr>
          <w:rFonts w:ascii="Times New Roman" w:eastAsia="宋体" w:hAnsi="Times New Roman" w:cs="宋体" w:hint="eastAsia"/>
          <w:color w:val="000000" w:themeColor="text1"/>
          <w:sz w:val="24"/>
        </w:rPr>
        <w:t>688</w:t>
      </w:r>
      <w:r>
        <w:rPr>
          <w:rFonts w:ascii="Times New Roman" w:eastAsia="宋体" w:hAnsi="Times New Roman" w:cs="宋体"/>
          <w:color w:val="000000" w:themeColor="text1"/>
          <w:sz w:val="24"/>
        </w:rPr>
        <w:t>015</w:t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ab/>
      </w:r>
      <w:r>
        <w:rPr>
          <w:rFonts w:ascii="Times New Roman" w:eastAsia="宋体" w:hAnsi="Times New Roman" w:cs="宋体"/>
          <w:color w:val="000000" w:themeColor="text1"/>
          <w:sz w:val="24"/>
        </w:rPr>
        <w:t>证券简称：</w:t>
      </w:r>
      <w:r>
        <w:rPr>
          <w:rFonts w:ascii="Times New Roman" w:eastAsia="宋体" w:hAnsi="Times New Roman" w:cs="宋体" w:hint="eastAsia"/>
          <w:color w:val="000000" w:themeColor="text1"/>
          <w:sz w:val="24"/>
        </w:rPr>
        <w:t>交控科技</w:t>
      </w:r>
    </w:p>
    <w:p w14:paraId="0B19969B" w14:textId="77777777" w:rsidR="00012944" w:rsidRDefault="00012944">
      <w:pPr>
        <w:spacing w:after="217"/>
        <w:ind w:left="4153"/>
        <w:rPr>
          <w:rFonts w:ascii="Times New Roman" w:eastAsia="宋体" w:hAnsi="Times New Roman"/>
          <w:color w:val="000000" w:themeColor="text1"/>
        </w:rPr>
      </w:pPr>
    </w:p>
    <w:p w14:paraId="6FB38183" w14:textId="77777777" w:rsidR="00012944" w:rsidRDefault="00000000">
      <w:pPr>
        <w:spacing w:after="0"/>
        <w:jc w:val="center"/>
        <w:rPr>
          <w:rFonts w:ascii="Times New Roman" w:eastAsia="宋体" w:hAnsi="Times New Roman" w:cs="宋体"/>
          <w:b/>
          <w:color w:val="000000" w:themeColor="text1"/>
          <w:sz w:val="32"/>
        </w:rPr>
      </w:pPr>
      <w:r>
        <w:rPr>
          <w:rFonts w:ascii="Times New Roman" w:eastAsia="宋体" w:hAnsi="Times New Roman" w:cs="宋体" w:hint="eastAsia"/>
          <w:b/>
          <w:color w:val="000000" w:themeColor="text1"/>
          <w:sz w:val="32"/>
        </w:rPr>
        <w:t>交控</w:t>
      </w:r>
      <w:r>
        <w:rPr>
          <w:rFonts w:ascii="Times New Roman" w:eastAsia="宋体" w:hAnsi="Times New Roman" w:cs="宋体"/>
          <w:b/>
          <w:color w:val="000000" w:themeColor="text1"/>
          <w:sz w:val="32"/>
        </w:rPr>
        <w:t>科技股份有限公司投资者关系活动记录表</w:t>
      </w:r>
    </w:p>
    <w:p w14:paraId="547C6A30" w14:textId="77777777" w:rsidR="00012944" w:rsidRDefault="00012944">
      <w:pPr>
        <w:spacing w:after="0"/>
        <w:jc w:val="center"/>
        <w:rPr>
          <w:rFonts w:ascii="Times New Roman" w:eastAsia="宋体" w:hAnsi="Times New Roman" w:cs="宋体"/>
          <w:b/>
          <w:color w:val="000000" w:themeColor="text1"/>
          <w:sz w:val="32"/>
        </w:rPr>
      </w:pPr>
    </w:p>
    <w:p w14:paraId="440286FC" w14:textId="77777777" w:rsidR="00012944" w:rsidRDefault="00000000">
      <w:pPr>
        <w:spacing w:after="0"/>
        <w:ind w:left="1179"/>
        <w:jc w:val="right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/>
          <w:color w:val="000000" w:themeColor="text1"/>
          <w:sz w:val="21"/>
        </w:rPr>
        <w:t>编号：</w:t>
      </w:r>
      <w:r>
        <w:rPr>
          <w:rFonts w:ascii="Times New Roman" w:eastAsia="宋体" w:hAnsi="Times New Roman" w:cs="宋体"/>
          <w:color w:val="000000" w:themeColor="text1"/>
          <w:sz w:val="21"/>
        </w:rPr>
        <w:t>20</w:t>
      </w:r>
      <w:r>
        <w:rPr>
          <w:rFonts w:ascii="Times New Roman" w:eastAsia="宋体" w:hAnsi="Times New Roman" w:cs="宋体" w:hint="eastAsia"/>
          <w:color w:val="000000" w:themeColor="text1"/>
          <w:sz w:val="21"/>
        </w:rPr>
        <w:t>25-002</w:t>
      </w:r>
    </w:p>
    <w:tbl>
      <w:tblPr>
        <w:tblStyle w:val="TableGrid"/>
        <w:tblW w:w="9509" w:type="dxa"/>
        <w:jc w:val="center"/>
        <w:tblInd w:w="0" w:type="dxa"/>
        <w:tblLook w:val="04A0" w:firstRow="1" w:lastRow="0" w:firstColumn="1" w:lastColumn="0" w:noHBand="0" w:noVBand="1"/>
      </w:tblPr>
      <w:tblGrid>
        <w:gridCol w:w="2025"/>
        <w:gridCol w:w="7484"/>
      </w:tblGrid>
      <w:tr w:rsidR="00012944" w14:paraId="191FAF82" w14:textId="77777777">
        <w:trPr>
          <w:trHeight w:val="2292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3954" w14:textId="77777777" w:rsidR="00012944" w:rsidRDefault="00000000">
            <w:pPr>
              <w:snapToGrid w:val="0"/>
              <w:spacing w:after="0" w:line="360" w:lineRule="auto"/>
              <w:jc w:val="center"/>
              <w:rPr>
                <w:rFonts w:ascii="Times New Roman" w:eastAsia="宋体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25CE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分析师会议</w:t>
            </w:r>
          </w:p>
          <w:p w14:paraId="591424F4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业绩说明会</w:t>
            </w:r>
          </w:p>
          <w:p w14:paraId="74DA8BAA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路演活动</w:t>
            </w:r>
          </w:p>
          <w:p w14:paraId="7F2CEF97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一对一沟通</w:t>
            </w:r>
          </w:p>
          <w:p w14:paraId="79F0775A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（投资者集体接待日）</w:t>
            </w:r>
          </w:p>
        </w:tc>
      </w:tr>
      <w:tr w:rsidR="00012944" w14:paraId="72ECD66C" w14:textId="77777777">
        <w:trPr>
          <w:trHeight w:val="57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D2C9" w14:textId="77777777" w:rsidR="00012944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参与单位</w:t>
            </w:r>
            <w:r>
              <w:rPr>
                <w:rFonts w:ascii="Times New Roman" w:eastAsia="宋体" w:hAnsi="Times New Roman" w:cs="宋体" w:hint="eastAsia"/>
                <w:b/>
                <w:color w:val="000000" w:themeColor="text1"/>
                <w:sz w:val="24"/>
                <w:szCs w:val="24"/>
              </w:rPr>
              <w:t>及人员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4A93" w14:textId="77777777" w:rsidR="00012944" w:rsidRDefault="00000000">
            <w:pPr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详见附件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012944" w14:paraId="1C08F97C" w14:textId="77777777">
        <w:trPr>
          <w:trHeight w:val="552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D22B" w14:textId="77777777" w:rsidR="00012944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6283" w14:textId="77777777" w:rsidR="00012944" w:rsidRDefault="00000000">
            <w:pPr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2944" w14:paraId="2F3A464D" w14:textId="77777777">
        <w:trPr>
          <w:trHeight w:val="490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D5DE" w14:textId="77777777" w:rsidR="00012944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695A" w14:textId="77777777" w:rsidR="00012944" w:rsidRDefault="00000000">
            <w:pPr>
              <w:snapToGrid w:val="0"/>
              <w:spacing w:after="0" w:line="360" w:lineRule="auto"/>
              <w:jc w:val="both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公司一层飞燕厅</w:t>
            </w:r>
          </w:p>
        </w:tc>
      </w:tr>
      <w:tr w:rsidR="00012944" w14:paraId="0A0E67AF" w14:textId="77777777">
        <w:trPr>
          <w:trHeight w:val="490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B453" w14:textId="77777777" w:rsidR="00012944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接待人员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DCD1F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总经理：王智宇</w:t>
            </w:r>
          </w:p>
          <w:p w14:paraId="4973153F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董事会秘书：黄勍</w:t>
            </w:r>
          </w:p>
          <w:p w14:paraId="5F02FCCF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财务总监：曹润林</w:t>
            </w:r>
          </w:p>
          <w:p w14:paraId="10A972C2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资深系统专家：刘超</w:t>
            </w:r>
          </w:p>
          <w:p w14:paraId="4FA442FC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财务部部长：张帅</w:t>
            </w:r>
          </w:p>
          <w:p w14:paraId="6BAA9476" w14:textId="77777777" w:rsidR="00012944" w:rsidRDefault="00000000">
            <w:pPr>
              <w:snapToGrid w:val="0"/>
              <w:spacing w:after="0"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证券事务代表：张瑾</w:t>
            </w:r>
          </w:p>
        </w:tc>
      </w:tr>
      <w:tr w:rsidR="00012944" w14:paraId="3D7CD45E" w14:textId="77777777">
        <w:trPr>
          <w:trHeight w:val="490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5EF1" w14:textId="77777777" w:rsidR="00012944" w:rsidRDefault="00000000">
            <w:pPr>
              <w:snapToGrid w:val="0"/>
              <w:spacing w:after="0" w:line="360" w:lineRule="auto"/>
              <w:ind w:right="110"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33080" w14:textId="77777777" w:rsidR="00012944" w:rsidRDefault="00000000">
            <w:pPr>
              <w:pStyle w:val="CharChar"/>
              <w:widowControl w:val="0"/>
              <w:adjustRightInd w:val="0"/>
              <w:snapToGrid w:val="0"/>
              <w:spacing w:beforeLines="50"/>
              <w:ind w:firstLineChars="200" w:firstLine="482"/>
              <w:jc w:val="both"/>
              <w:rPr>
                <w:rFonts w:cs="宋体"/>
                <w:color w:val="000000" w:themeColor="text1"/>
              </w:rPr>
            </w:pPr>
            <w:proofErr w:type="gramStart"/>
            <w:r>
              <w:rPr>
                <w:rFonts w:cs="宋体"/>
                <w:color w:val="000000" w:themeColor="text1"/>
              </w:rPr>
              <w:t>第一部分</w:t>
            </w:r>
            <w:r>
              <w:rPr>
                <w:rFonts w:cs="宋体"/>
                <w:color w:val="000000" w:themeColor="text1"/>
              </w:rPr>
              <w:t xml:space="preserve"> </w:t>
            </w:r>
            <w:r>
              <w:rPr>
                <w:rFonts w:cs="宋体" w:hint="eastAsia"/>
                <w:color w:val="000000" w:themeColor="text1"/>
              </w:rPr>
              <w:t xml:space="preserve"> </w:t>
            </w:r>
            <w:r>
              <w:rPr>
                <w:rFonts w:cs="宋体" w:hint="eastAsia"/>
                <w:color w:val="000000" w:themeColor="text1"/>
              </w:rPr>
              <w:t>行业情况</w:t>
            </w:r>
            <w:proofErr w:type="gramEnd"/>
            <w:r>
              <w:rPr>
                <w:rFonts w:cs="宋体" w:hint="eastAsia"/>
                <w:color w:val="000000" w:themeColor="text1"/>
              </w:rPr>
              <w:t>、经营成果、核心竞争力以及财务业绩介绍</w:t>
            </w:r>
          </w:p>
          <w:p w14:paraId="7B285605" w14:textId="77777777" w:rsidR="00012944" w:rsidRDefault="00000000">
            <w:pPr>
              <w:pStyle w:val="CharChar"/>
              <w:widowControl w:val="0"/>
              <w:adjustRightInd w:val="0"/>
              <w:snapToGrid w:val="0"/>
              <w:spacing w:beforeLines="50"/>
              <w:ind w:firstLineChars="200" w:firstLine="480"/>
              <w:jc w:val="both"/>
              <w:rPr>
                <w:rFonts w:cs="宋体"/>
                <w:color w:val="000000" w:themeColor="text1"/>
              </w:rPr>
            </w:pPr>
            <w:r>
              <w:rPr>
                <w:rFonts w:cs="宋体" w:hint="eastAsia"/>
                <w:b w:val="0"/>
                <w:color w:val="000000" w:themeColor="text1"/>
              </w:rPr>
              <w:t>公司领导针对公司行业情况、经营成果、核心竞争力以及</w:t>
            </w:r>
            <w:r>
              <w:rPr>
                <w:rFonts w:cs="宋体" w:hint="eastAsia"/>
                <w:b w:val="0"/>
                <w:color w:val="000000" w:themeColor="text1"/>
              </w:rPr>
              <w:t>2025</w:t>
            </w:r>
            <w:r>
              <w:rPr>
                <w:rFonts w:cs="宋体" w:hint="eastAsia"/>
                <w:b w:val="0"/>
                <w:color w:val="000000" w:themeColor="text1"/>
              </w:rPr>
              <w:t>年半年度的业绩情况向参会投资者进行了详细的介绍。</w:t>
            </w:r>
          </w:p>
          <w:p w14:paraId="5578EE82" w14:textId="77777777" w:rsidR="00012944" w:rsidRDefault="00000000">
            <w:pPr>
              <w:pStyle w:val="CharChar"/>
              <w:widowControl w:val="0"/>
              <w:adjustRightInd w:val="0"/>
              <w:snapToGrid w:val="0"/>
              <w:spacing w:beforeLines="50"/>
              <w:ind w:firstLineChars="200" w:firstLine="480"/>
              <w:jc w:val="both"/>
              <w:rPr>
                <w:rFonts w:cs="宋体"/>
                <w:b w:val="0"/>
                <w:color w:val="000000" w:themeColor="text1"/>
              </w:rPr>
            </w:pPr>
            <w:r>
              <w:rPr>
                <w:rFonts w:cs="宋体"/>
                <w:b w:val="0"/>
                <w:color w:val="000000" w:themeColor="text1"/>
              </w:rPr>
              <w:t>2025</w:t>
            </w:r>
            <w:r>
              <w:rPr>
                <w:rFonts w:cs="宋体" w:hint="eastAsia"/>
                <w:b w:val="0"/>
                <w:color w:val="000000" w:themeColor="text1"/>
              </w:rPr>
              <w:t>年</w:t>
            </w:r>
            <w:r>
              <w:rPr>
                <w:rFonts w:cs="宋体"/>
                <w:b w:val="0"/>
                <w:color w:val="000000" w:themeColor="text1"/>
              </w:rPr>
              <w:t>1</w:t>
            </w:r>
            <w:r>
              <w:rPr>
                <w:rFonts w:cs="宋体" w:hint="eastAsia"/>
                <w:b w:val="0"/>
                <w:color w:val="000000" w:themeColor="text1"/>
              </w:rPr>
              <w:t>月至</w:t>
            </w:r>
            <w:r>
              <w:rPr>
                <w:rFonts w:cs="宋体"/>
                <w:b w:val="0"/>
                <w:color w:val="000000" w:themeColor="text1"/>
              </w:rPr>
              <w:t>6</w:t>
            </w:r>
            <w:r>
              <w:rPr>
                <w:rFonts w:cs="宋体" w:hint="eastAsia"/>
                <w:b w:val="0"/>
                <w:color w:val="000000" w:themeColor="text1"/>
              </w:rPr>
              <w:t>月，公司实现营业收入</w:t>
            </w:r>
            <w:r>
              <w:rPr>
                <w:rFonts w:cs="宋体"/>
                <w:b w:val="0"/>
                <w:color w:val="000000" w:themeColor="text1"/>
              </w:rPr>
              <w:t>95,219.80</w:t>
            </w:r>
            <w:r>
              <w:rPr>
                <w:rFonts w:cs="宋体" w:hint="eastAsia"/>
                <w:b w:val="0"/>
                <w:color w:val="000000" w:themeColor="text1"/>
              </w:rPr>
              <w:t>万元，较上年同期增加</w:t>
            </w:r>
            <w:r>
              <w:rPr>
                <w:rFonts w:cs="宋体"/>
                <w:b w:val="0"/>
                <w:color w:val="000000" w:themeColor="text1"/>
              </w:rPr>
              <w:t>8.62%</w:t>
            </w:r>
            <w:r>
              <w:rPr>
                <w:rFonts w:cs="宋体" w:hint="eastAsia"/>
                <w:b w:val="0"/>
                <w:color w:val="000000" w:themeColor="text1"/>
              </w:rPr>
              <w:t>；归属于上市公司股东的净利润</w:t>
            </w:r>
            <w:r>
              <w:rPr>
                <w:rFonts w:cs="宋体"/>
                <w:b w:val="0"/>
                <w:color w:val="000000" w:themeColor="text1"/>
              </w:rPr>
              <w:t>5,093.66</w:t>
            </w:r>
            <w:r>
              <w:rPr>
                <w:rFonts w:cs="宋体" w:hint="eastAsia"/>
                <w:b w:val="0"/>
                <w:color w:val="000000" w:themeColor="text1"/>
              </w:rPr>
              <w:t>万元，较上年同期增加</w:t>
            </w:r>
            <w:r>
              <w:rPr>
                <w:rFonts w:cs="宋体"/>
                <w:b w:val="0"/>
                <w:color w:val="000000" w:themeColor="text1"/>
              </w:rPr>
              <w:t>143.02%</w:t>
            </w:r>
            <w:r>
              <w:rPr>
                <w:rFonts w:cs="宋体" w:hint="eastAsia"/>
                <w:b w:val="0"/>
                <w:color w:val="000000" w:themeColor="text1"/>
              </w:rPr>
              <w:t>；归属于上市公司股东的净资产</w:t>
            </w:r>
            <w:r>
              <w:rPr>
                <w:rFonts w:cs="宋体"/>
                <w:b w:val="0"/>
                <w:color w:val="000000" w:themeColor="text1"/>
              </w:rPr>
              <w:t>256,095.16</w:t>
            </w:r>
            <w:r>
              <w:rPr>
                <w:rFonts w:cs="宋体" w:hint="eastAsia"/>
                <w:b w:val="0"/>
                <w:color w:val="000000" w:themeColor="text1"/>
              </w:rPr>
              <w:t>万元，较上年期末增加</w:t>
            </w:r>
            <w:r>
              <w:rPr>
                <w:rFonts w:cs="宋体"/>
                <w:b w:val="0"/>
                <w:color w:val="000000" w:themeColor="text1"/>
              </w:rPr>
              <w:t>0.35%</w:t>
            </w:r>
            <w:r>
              <w:rPr>
                <w:rFonts w:cs="宋体" w:hint="eastAsia"/>
                <w:b w:val="0"/>
                <w:color w:val="000000" w:themeColor="text1"/>
              </w:rPr>
              <w:t>；归属于上市公司股东的扣除非经常性损益的净利润为</w:t>
            </w:r>
            <w:r>
              <w:rPr>
                <w:rFonts w:cs="宋体"/>
                <w:b w:val="0"/>
                <w:color w:val="000000" w:themeColor="text1"/>
              </w:rPr>
              <w:t>3,896.46</w:t>
            </w:r>
            <w:r>
              <w:rPr>
                <w:rFonts w:cs="宋体" w:hint="eastAsia"/>
                <w:b w:val="0"/>
                <w:color w:val="000000" w:themeColor="text1"/>
              </w:rPr>
              <w:t>万元，较上年同期增加</w:t>
            </w:r>
            <w:r>
              <w:rPr>
                <w:rFonts w:cs="宋体"/>
                <w:b w:val="0"/>
                <w:color w:val="000000" w:themeColor="text1"/>
              </w:rPr>
              <w:t>792.46%</w:t>
            </w:r>
            <w:r>
              <w:rPr>
                <w:rFonts w:cs="宋体" w:hint="eastAsia"/>
                <w:b w:val="0"/>
                <w:color w:val="000000" w:themeColor="text1"/>
              </w:rPr>
              <w:t>。</w:t>
            </w:r>
          </w:p>
          <w:p w14:paraId="1B62D243" w14:textId="77777777" w:rsidR="00012944" w:rsidRDefault="00000000">
            <w:pPr>
              <w:pStyle w:val="CharChar"/>
              <w:widowControl w:val="0"/>
              <w:adjustRightInd w:val="0"/>
              <w:snapToGrid w:val="0"/>
              <w:spacing w:beforeLines="50"/>
              <w:ind w:firstLineChars="200" w:firstLine="480"/>
              <w:jc w:val="both"/>
              <w:rPr>
                <w:rFonts w:cs="宋体"/>
                <w:b w:val="0"/>
                <w:color w:val="000000" w:themeColor="text1"/>
              </w:rPr>
            </w:pPr>
            <w:r>
              <w:rPr>
                <w:rFonts w:cs="宋体" w:hint="eastAsia"/>
                <w:b w:val="0"/>
                <w:color w:val="000000" w:themeColor="text1"/>
              </w:rPr>
              <w:t>报告期内，公司共完成合同签订新增总金额</w:t>
            </w:r>
            <w:r>
              <w:rPr>
                <w:rFonts w:cs="宋体"/>
                <w:b w:val="0"/>
                <w:color w:val="000000" w:themeColor="text1"/>
              </w:rPr>
              <w:t>9.31</w:t>
            </w:r>
            <w:r>
              <w:rPr>
                <w:rFonts w:cs="宋体" w:hint="eastAsia"/>
                <w:b w:val="0"/>
                <w:color w:val="000000" w:themeColor="text1"/>
              </w:rPr>
              <w:t>亿元，其中信号系</w:t>
            </w:r>
            <w:r>
              <w:rPr>
                <w:rFonts w:cs="宋体" w:hint="eastAsia"/>
                <w:b w:val="0"/>
                <w:color w:val="000000" w:themeColor="text1"/>
              </w:rPr>
              <w:lastRenderedPageBreak/>
              <w:t>统工程项目新增合同签订总金额</w:t>
            </w:r>
            <w:r>
              <w:rPr>
                <w:rFonts w:cs="宋体"/>
                <w:b w:val="0"/>
                <w:color w:val="000000" w:themeColor="text1"/>
              </w:rPr>
              <w:t>7.05</w:t>
            </w:r>
            <w:r>
              <w:rPr>
                <w:rFonts w:cs="宋体" w:hint="eastAsia"/>
                <w:b w:val="0"/>
                <w:color w:val="000000" w:themeColor="text1"/>
              </w:rPr>
              <w:t>亿元。截至</w:t>
            </w:r>
            <w:r>
              <w:rPr>
                <w:rFonts w:cs="宋体"/>
                <w:b w:val="0"/>
                <w:color w:val="000000" w:themeColor="text1"/>
              </w:rPr>
              <w:t>2025</w:t>
            </w:r>
            <w:r>
              <w:rPr>
                <w:rFonts w:cs="宋体" w:hint="eastAsia"/>
                <w:b w:val="0"/>
                <w:color w:val="000000" w:themeColor="text1"/>
              </w:rPr>
              <w:t>年</w:t>
            </w:r>
            <w:r>
              <w:rPr>
                <w:rFonts w:cs="宋体"/>
                <w:b w:val="0"/>
                <w:color w:val="000000" w:themeColor="text1"/>
              </w:rPr>
              <w:t>6</w:t>
            </w:r>
            <w:r>
              <w:rPr>
                <w:rFonts w:cs="宋体" w:hint="eastAsia"/>
                <w:b w:val="0"/>
                <w:color w:val="000000" w:themeColor="text1"/>
              </w:rPr>
              <w:t>月</w:t>
            </w:r>
            <w:r>
              <w:rPr>
                <w:rFonts w:cs="宋体"/>
                <w:b w:val="0"/>
                <w:color w:val="000000" w:themeColor="text1"/>
              </w:rPr>
              <w:t>30</w:t>
            </w:r>
            <w:r>
              <w:rPr>
                <w:rFonts w:cs="宋体" w:hint="eastAsia"/>
                <w:b w:val="0"/>
                <w:color w:val="000000" w:themeColor="text1"/>
              </w:rPr>
              <w:t>日，公司信号系统项目新增中标额</w:t>
            </w:r>
            <w:r>
              <w:rPr>
                <w:rFonts w:cs="宋体"/>
                <w:b w:val="0"/>
                <w:color w:val="000000" w:themeColor="text1"/>
              </w:rPr>
              <w:t>4.01</w:t>
            </w:r>
            <w:r>
              <w:rPr>
                <w:rFonts w:cs="宋体" w:hint="eastAsia"/>
                <w:b w:val="0"/>
                <w:color w:val="000000" w:themeColor="text1"/>
              </w:rPr>
              <w:t>亿元，公司在手订单合计</w:t>
            </w:r>
            <w:r>
              <w:rPr>
                <w:rFonts w:cs="宋体"/>
                <w:b w:val="0"/>
                <w:color w:val="000000" w:themeColor="text1"/>
              </w:rPr>
              <w:t>70.08</w:t>
            </w:r>
            <w:r>
              <w:rPr>
                <w:rFonts w:cs="宋体" w:hint="eastAsia"/>
                <w:b w:val="0"/>
                <w:color w:val="000000" w:themeColor="text1"/>
              </w:rPr>
              <w:t>亿元（不含税）。</w:t>
            </w:r>
          </w:p>
          <w:p w14:paraId="3929106F" w14:textId="77777777" w:rsidR="00012944" w:rsidRDefault="00000000">
            <w:pPr>
              <w:pStyle w:val="CharChar"/>
              <w:widowControl w:val="0"/>
              <w:adjustRightInd w:val="0"/>
              <w:snapToGrid w:val="0"/>
              <w:spacing w:beforeLines="50"/>
              <w:ind w:firstLineChars="200" w:firstLine="480"/>
              <w:jc w:val="both"/>
              <w:rPr>
                <w:rFonts w:cs="宋体"/>
                <w:b w:val="0"/>
                <w:color w:val="000000" w:themeColor="text1"/>
              </w:rPr>
            </w:pPr>
            <w:r>
              <w:rPr>
                <w:rFonts w:cs="宋体"/>
                <w:b w:val="0"/>
                <w:color w:val="000000" w:themeColor="text1"/>
              </w:rPr>
              <w:t>2025</w:t>
            </w:r>
            <w:r>
              <w:rPr>
                <w:rFonts w:cs="宋体" w:hint="eastAsia"/>
                <w:b w:val="0"/>
                <w:color w:val="000000" w:themeColor="text1"/>
              </w:rPr>
              <w:t>年上半年，公司以场景应用为核心驱动力，聚焦政务一体化、轨道、高速、边境边防、湿地、河道六大领域，提供“</w:t>
            </w:r>
            <w:r>
              <w:rPr>
                <w:rFonts w:cs="宋体"/>
                <w:b w:val="0"/>
                <w:color w:val="000000" w:themeColor="text1"/>
              </w:rPr>
              <w:t>AI+</w:t>
            </w:r>
            <w:r>
              <w:rPr>
                <w:rFonts w:cs="宋体" w:hint="eastAsia"/>
                <w:b w:val="0"/>
                <w:color w:val="000000" w:themeColor="text1"/>
              </w:rPr>
              <w:t>运营服务”，并已在全国多个省份成功落地。报告期内，成功中标</w:t>
            </w:r>
            <w:r>
              <w:rPr>
                <w:rFonts w:cs="宋体"/>
                <w:b w:val="0"/>
                <w:color w:val="000000" w:themeColor="text1"/>
              </w:rPr>
              <w:t>3</w:t>
            </w:r>
            <w:r>
              <w:rPr>
                <w:rFonts w:cs="宋体" w:hint="eastAsia"/>
                <w:b w:val="0"/>
                <w:color w:val="000000" w:themeColor="text1"/>
              </w:rPr>
              <w:t>个低空业务项目，新增签订合同金额达</w:t>
            </w:r>
            <w:r>
              <w:rPr>
                <w:rFonts w:cs="宋体"/>
                <w:b w:val="0"/>
                <w:color w:val="000000" w:themeColor="text1"/>
              </w:rPr>
              <w:t>1,172.50</w:t>
            </w:r>
            <w:r>
              <w:rPr>
                <w:rFonts w:cs="宋体" w:hint="eastAsia"/>
                <w:b w:val="0"/>
                <w:color w:val="000000" w:themeColor="text1"/>
              </w:rPr>
              <w:t>万元。其中，东莞地铁</w:t>
            </w:r>
            <w:r>
              <w:rPr>
                <w:rFonts w:cs="宋体"/>
                <w:b w:val="0"/>
                <w:color w:val="000000" w:themeColor="text1"/>
              </w:rPr>
              <w:t>1</w:t>
            </w:r>
            <w:r>
              <w:rPr>
                <w:rFonts w:cs="宋体" w:hint="eastAsia"/>
                <w:b w:val="0"/>
                <w:color w:val="000000" w:themeColor="text1"/>
              </w:rPr>
              <w:t>号线基于无人机巡检的地保系统综合管理项目标志着公司在“低空</w:t>
            </w:r>
            <w:r>
              <w:rPr>
                <w:rFonts w:cs="宋体"/>
                <w:b w:val="0"/>
                <w:color w:val="000000" w:themeColor="text1"/>
              </w:rPr>
              <w:t>+</w:t>
            </w:r>
            <w:r>
              <w:rPr>
                <w:rFonts w:cs="宋体" w:hint="eastAsia"/>
                <w:b w:val="0"/>
                <w:color w:val="000000" w:themeColor="text1"/>
              </w:rPr>
              <w:t>轨道”领域的市场应用实现实质性突破，这一成果既是市场对公司实力的高度认可，也进一步强化了公司在新兴领域的差异化竞争优势，为后续市场拓展与业务深耕筑牢发展根基。</w:t>
            </w:r>
          </w:p>
          <w:p w14:paraId="77683FB9" w14:textId="77777777" w:rsidR="00012944" w:rsidRDefault="00000000">
            <w:pPr>
              <w:pStyle w:val="CharChar"/>
              <w:widowControl w:val="0"/>
              <w:numPr>
                <w:ilvl w:val="0"/>
                <w:numId w:val="1"/>
              </w:numPr>
              <w:adjustRightInd w:val="0"/>
              <w:snapToGrid w:val="0"/>
              <w:spacing w:beforeLines="50" w:line="480" w:lineRule="auto"/>
              <w:ind w:firstLineChars="200" w:firstLine="482"/>
              <w:jc w:val="both"/>
              <w:rPr>
                <w:rFonts w:cs="宋体"/>
                <w:color w:val="000000" w:themeColor="text1"/>
              </w:rPr>
            </w:pPr>
            <w:r>
              <w:rPr>
                <w:rFonts w:cs="宋体" w:hint="eastAsia"/>
                <w:color w:val="000000" w:themeColor="text1"/>
              </w:rPr>
              <w:t>问答交流</w:t>
            </w:r>
          </w:p>
          <w:p w14:paraId="75618E65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</w:rPr>
              <w:t>问题</w:t>
            </w:r>
            <w:r>
              <w:rPr>
                <w:rFonts w:ascii="Times New Roman" w:hAnsi="Times New Roman" w:hint="eastAsia"/>
                <w:b/>
                <w:color w:val="000000" w:themeColor="text1"/>
              </w:rPr>
              <w:t>1</w:t>
            </w:r>
            <w:r>
              <w:rPr>
                <w:rFonts w:ascii="Times New Roman" w:hAnsi="Times New Roman" w:hint="eastAsia"/>
                <w:b/>
                <w:color w:val="000000" w:themeColor="text1"/>
              </w:rPr>
              <w:t>：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轨道信号系统代际升级（如从第四代到第五代、第六代）对单条线路的客单价有何影响？客户升级系统的必要性及运营效率提升体现在哪些方面？</w:t>
            </w:r>
          </w:p>
          <w:p w14:paraId="3AA0B200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答：</w:t>
            </w:r>
            <w:r>
              <w:rPr>
                <w:rFonts w:ascii="Times New Roman" w:hAnsi="Times New Roman"/>
                <w:bCs/>
                <w:color w:val="000000" w:themeColor="text1"/>
              </w:rPr>
              <w:t>随着轨道交通技术的持续演进，信号系统已逐步从第三代</w:t>
            </w:r>
            <w:r>
              <w:rPr>
                <w:rFonts w:ascii="Times New Roman" w:hAnsi="Times New Roman"/>
                <w:bCs/>
                <w:color w:val="000000" w:themeColor="text1"/>
              </w:rPr>
              <w:t>CBTC</w:t>
            </w:r>
            <w:r>
              <w:rPr>
                <w:rFonts w:ascii="Times New Roman" w:hAnsi="Times New Roman"/>
                <w:bCs/>
                <w:color w:val="000000" w:themeColor="text1"/>
              </w:rPr>
              <w:t>系统发展至第四代全自动运行系统（</w:t>
            </w:r>
            <w:r>
              <w:rPr>
                <w:rFonts w:ascii="Times New Roman" w:hAnsi="Times New Roman"/>
                <w:bCs/>
                <w:color w:val="000000" w:themeColor="text1"/>
              </w:rPr>
              <w:t>FAO</w:t>
            </w:r>
            <w:r>
              <w:rPr>
                <w:rFonts w:ascii="Times New Roman" w:hAnsi="Times New Roman"/>
                <w:bCs/>
                <w:color w:val="000000" w:themeColor="text1"/>
              </w:rPr>
              <w:t>）、第五代车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车</w:t>
            </w:r>
            <w:r>
              <w:rPr>
                <w:rFonts w:ascii="Times New Roman" w:hAnsi="Times New Roman"/>
                <w:bCs/>
                <w:color w:val="000000" w:themeColor="text1"/>
              </w:rPr>
              <w:t>通信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TACS</w:t>
            </w:r>
            <w:r>
              <w:rPr>
                <w:rFonts w:ascii="Times New Roman" w:hAnsi="Times New Roman"/>
                <w:bCs/>
                <w:color w:val="000000" w:themeColor="text1"/>
              </w:rPr>
              <w:t>系统等更高代际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产品</w:t>
            </w:r>
            <w:r>
              <w:rPr>
                <w:rFonts w:ascii="Times New Roman" w:hAnsi="Times New Roman"/>
                <w:bCs/>
                <w:color w:val="000000" w:themeColor="text1"/>
              </w:rPr>
              <w:t>。目前，</w:t>
            </w:r>
            <w:r>
              <w:rPr>
                <w:rFonts w:ascii="Times New Roman" w:hAnsi="Times New Roman"/>
                <w:bCs/>
                <w:color w:val="000000" w:themeColor="text1"/>
              </w:rPr>
              <w:t>FAO</w:t>
            </w:r>
            <w:r>
              <w:rPr>
                <w:rFonts w:ascii="Times New Roman" w:hAnsi="Times New Roman"/>
                <w:bCs/>
                <w:color w:val="000000" w:themeColor="text1"/>
              </w:rPr>
              <w:t>系统已成为新建线路的主流选择，市场占比不断提升；第五代系统虽尚处于发展初期，但其技术方向明确，未来有望成为行业主流。</w:t>
            </w:r>
          </w:p>
          <w:p w14:paraId="41D986D6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更高代际的信号系统在初始建设成本上可能有所上升，但其带来的长期价值显著。客户选择升级系统主要基于以下三方面核心需求：</w:t>
            </w:r>
          </w:p>
          <w:p w14:paraId="51169B9B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一是安全性更高。新一代系统在架构设计、冗余机制和故障处理能力上更为先进，显著降低了运营风险，提升了系统可靠性。</w:t>
            </w:r>
          </w:p>
          <w:p w14:paraId="6B5C574E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二是运营维护成本降低。高代际系统自动化、智能化水平更高，减少了对人工干预的依赖，有效降低了日常巡检、故障排查和备件更换等运维成本。</w:t>
            </w:r>
          </w:p>
          <w:p w14:paraId="508E4EE9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lastRenderedPageBreak/>
              <w:t>三是运营效率显著提升。通过缩短行车间隔、提高运行密度，实现</w:t>
            </w:r>
            <w:r>
              <w:rPr>
                <w:rFonts w:cs="宋体" w:hint="eastAsia"/>
                <w:bCs/>
                <w:color w:val="000000" w:themeColor="text1"/>
              </w:rPr>
              <w:t>“多拉快跑”，</w:t>
            </w:r>
            <w:r>
              <w:rPr>
                <w:rFonts w:ascii="Times New Roman" w:hAnsi="Times New Roman"/>
                <w:bCs/>
                <w:color w:val="000000" w:themeColor="text1"/>
              </w:rPr>
              <w:t>满足大城市日益增长的客流需求。同时，系统智能化调度能力增强，可优化行车组织、提升应急响应效率，全面提高线路运营水平。</w:t>
            </w:r>
          </w:p>
          <w:p w14:paraId="13A95B4F" w14:textId="06D813E0" w:rsidR="00012944" w:rsidRDefault="00000000" w:rsidP="00740E4F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 w:hint="eastAsia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因此，随着城市化进程加快和地铁网络日益复杂，采用高代际信号系统已成为行业发展趋势，体现了业主单位对安全、效率与可持续运营的综合追求。</w:t>
            </w:r>
          </w:p>
          <w:p w14:paraId="63209E91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</w:rPr>
              <w:t>问题</w:t>
            </w:r>
            <w:r>
              <w:rPr>
                <w:rFonts w:ascii="Times New Roman" w:hAnsi="Times New Roman" w:hint="eastAsia"/>
                <w:b/>
                <w:color w:val="000000" w:themeColor="text1"/>
              </w:rPr>
              <w:t>2.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公司在越南、香港等海外市场的业务进展如何？未来出海战略及订单预期是怎样的？</w:t>
            </w:r>
          </w:p>
          <w:p w14:paraId="75701BB5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答：</w:t>
            </w:r>
            <w:r>
              <w:rPr>
                <w:rFonts w:ascii="Times New Roman" w:hAnsi="Times New Roman"/>
                <w:bCs/>
                <w:color w:val="000000" w:themeColor="text1"/>
              </w:rPr>
              <w:t>公司在海外市场持续推进业务布局，已在多个区域取得实质性进展。</w:t>
            </w:r>
          </w:p>
          <w:p w14:paraId="68E3D255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越南河内项目已成功开通并稳定运营较长时间，客户反馈良好，为公司在东南亚市场树立了标杆案例。</w:t>
            </w:r>
          </w:p>
          <w:p w14:paraId="0708F028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香港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迪士尼线信号系统改造项目</w:t>
            </w:r>
            <w:r>
              <w:rPr>
                <w:rFonts w:ascii="Times New Roman" w:hAnsi="Times New Roman"/>
                <w:bCs/>
                <w:color w:val="000000" w:themeColor="text1"/>
              </w:rPr>
              <w:t>正处于交付阶段，公司在技术对接、项目管理等方面与客户保持高效协同，获得高度认可，为后续深化合作奠定基础。</w:t>
            </w:r>
          </w:p>
          <w:p w14:paraId="7CF1E9DF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除上述项目外，公司正积极与南美、澳大利亚及东南亚等地区的客户开展接洽，推动更多项目落地。轨道交通出海已成为行业重要趋势，海外客户在既有线路改造、新建线路建设等方面存在明确需求，市场空间广阔。</w:t>
            </w:r>
          </w:p>
          <w:p w14:paraId="67A60AD1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公司依托在信号系统领域的技术积累和安全体系优势，将持续推进国际化战略，力争在中短期内实现更多海外订单突破。</w:t>
            </w:r>
          </w:p>
          <w:p w14:paraId="67F9E909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</w:rPr>
              <w:t>问题</w:t>
            </w:r>
            <w:r>
              <w:rPr>
                <w:rFonts w:ascii="Times New Roman" w:hAnsi="Times New Roman" w:hint="eastAsia"/>
                <w:b/>
                <w:color w:val="000000" w:themeColor="text1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2025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年城轨地铁改造项目的订单情况如何？对未来改造市场的体量有何展望？</w:t>
            </w:r>
          </w:p>
          <w:p w14:paraId="796DFACC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答：随着我国城市轨道交通早期建设线路陆续进入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10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至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15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年的设备更新周期，叠加国家“大规模设备更新”政策的推动，全国已迎来一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lastRenderedPageBreak/>
              <w:t>波城轨信号系统改造的高峰。以上海、北京、广州为代表的超大城市成为本轮改造的主力，多个二线城市也陆续启动相关可行性研究或招标程序。</w:t>
            </w:r>
          </w:p>
          <w:p w14:paraId="0B3B5FF8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近年来，城轨改造项目正逐步替代新建线路，成为存量市场的重要增长点。当前改造需求主要来自两类场景：一是早期采用轨道电路等非</w:t>
            </w:r>
            <w:r>
              <w:rPr>
                <w:rFonts w:ascii="Times New Roman" w:hAnsi="Times New Roman"/>
                <w:bCs/>
                <w:color w:val="000000" w:themeColor="text1"/>
              </w:rPr>
              <w:t>CBTC</w:t>
            </w:r>
            <w:r>
              <w:rPr>
                <w:rFonts w:ascii="Times New Roman" w:hAnsi="Times New Roman"/>
                <w:bCs/>
                <w:color w:val="000000" w:themeColor="text1"/>
              </w:rPr>
              <w:t>技术的老旧线路，亟需升级至现代化系统；二是使用国外品牌系统的线路，在运营中面临备品备件短缺、维护困难等问题，存在国产化替代需求。</w:t>
            </w:r>
          </w:p>
          <w:p w14:paraId="7FDD6A4E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《</w:t>
            </w:r>
            <w:r>
              <w:rPr>
                <w:rFonts w:ascii="Times New Roman" w:hAnsi="Times New Roman"/>
                <w:bCs/>
                <w:color w:val="000000" w:themeColor="text1"/>
              </w:rPr>
              <w:t>2024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年中国城市轨道交通市场数据报告》显示，</w:t>
            </w:r>
            <w:r>
              <w:rPr>
                <w:rFonts w:ascii="Times New Roman" w:hAnsi="Times New Roman"/>
                <w:bCs/>
                <w:color w:val="000000" w:themeColor="text1"/>
              </w:rPr>
              <w:t>2024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年的信号系统改造项目呈现较大幅度的增长，改造项目在全年招标项目的占比由</w:t>
            </w:r>
            <w:r>
              <w:rPr>
                <w:rFonts w:ascii="Times New Roman" w:hAnsi="Times New Roman"/>
                <w:bCs/>
                <w:color w:val="000000" w:themeColor="text1"/>
              </w:rPr>
              <w:t>2023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年的</w:t>
            </w:r>
            <w:r>
              <w:rPr>
                <w:rFonts w:ascii="Times New Roman" w:hAnsi="Times New Roman"/>
                <w:bCs/>
                <w:color w:val="000000" w:themeColor="text1"/>
              </w:rPr>
              <w:t>6.75%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提升至</w:t>
            </w:r>
            <w:r>
              <w:rPr>
                <w:rFonts w:ascii="Times New Roman" w:hAnsi="Times New Roman"/>
                <w:bCs/>
                <w:color w:val="000000" w:themeColor="text1"/>
              </w:rPr>
              <w:t>2024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年的</w:t>
            </w:r>
            <w:r>
              <w:rPr>
                <w:rFonts w:ascii="Times New Roman" w:hAnsi="Times New Roman"/>
                <w:bCs/>
                <w:color w:val="000000" w:themeColor="text1"/>
              </w:rPr>
              <w:t>30.56%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。</w:t>
            </w:r>
            <w:r>
              <w:rPr>
                <w:rFonts w:ascii="Times New Roman" w:hAnsi="Times New Roman"/>
                <w:bCs/>
                <w:color w:val="000000" w:themeColor="text1"/>
              </w:rPr>
              <w:t>今年以来，改造项目明显增多。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城轨信号系统改造因工程复杂、施工窗口有限、需保障正常运营，以及对旧系统进行拆除等因素，其单位成本通常高于新建线路。</w:t>
            </w:r>
            <w:r>
              <w:rPr>
                <w:rFonts w:ascii="Times New Roman" w:hAnsi="Times New Roman"/>
                <w:bCs/>
                <w:color w:val="000000" w:themeColor="text1"/>
              </w:rPr>
              <w:t>据行业平台统计，目前已公开的设计标和前期项目规模已超过</w:t>
            </w:r>
            <w:r>
              <w:rPr>
                <w:rFonts w:ascii="Times New Roman" w:hAnsi="Times New Roman"/>
                <w:bCs/>
                <w:color w:val="000000" w:themeColor="text1"/>
              </w:rPr>
              <w:t>120</w:t>
            </w:r>
            <w:r>
              <w:rPr>
                <w:rFonts w:ascii="Times New Roman" w:hAnsi="Times New Roman"/>
                <w:bCs/>
                <w:color w:val="000000" w:themeColor="text1"/>
              </w:rPr>
              <w:t>亿元，充分反映出市场需求的加速释放。</w:t>
            </w:r>
          </w:p>
          <w:p w14:paraId="6C4441E5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随</w:t>
            </w:r>
            <w:r>
              <w:rPr>
                <w:rFonts w:cs="宋体" w:hint="eastAsia"/>
                <w:bCs/>
                <w:color w:val="000000" w:themeColor="text1"/>
              </w:rPr>
              <w:t>着“以旧换新”政</w:t>
            </w:r>
            <w:r>
              <w:rPr>
                <w:rFonts w:ascii="Times New Roman" w:hAnsi="Times New Roman"/>
                <w:bCs/>
                <w:color w:val="000000" w:themeColor="text1"/>
              </w:rPr>
              <w:t>策支持以及地方专项债、超长期特别国债等融资渠道的完善，改造项目审批流程相较新建线路更为便捷，推动项目落地速度加快。公司判断，未来新建线路将呈周期性波动，而改造市场将进入持续增长通道，二者将呈</w:t>
            </w:r>
            <w:r>
              <w:rPr>
                <w:rFonts w:cs="宋体" w:hint="eastAsia"/>
                <w:bCs/>
                <w:color w:val="000000" w:themeColor="text1"/>
              </w:rPr>
              <w:t>现“此消彼长”的趋</w:t>
            </w:r>
            <w:r>
              <w:rPr>
                <w:rFonts w:ascii="Times New Roman" w:hAnsi="Times New Roman"/>
                <w:bCs/>
                <w:color w:val="000000" w:themeColor="text1"/>
              </w:rPr>
              <w:t>势。</w:t>
            </w:r>
          </w:p>
          <w:p w14:paraId="11A0EF4C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预计未来</w:t>
            </w:r>
            <w:r>
              <w:rPr>
                <w:rFonts w:ascii="Times New Roman" w:hAnsi="Times New Roman"/>
                <w:bCs/>
                <w:color w:val="000000" w:themeColor="text1"/>
              </w:rPr>
              <w:t>3–5</w:t>
            </w:r>
            <w:r>
              <w:rPr>
                <w:rFonts w:ascii="Times New Roman" w:hAnsi="Times New Roman"/>
                <w:bCs/>
                <w:color w:val="000000" w:themeColor="text1"/>
              </w:rPr>
              <w:t>年，改造项目占比将稳步提升，有望逐步接近与新建项目五五平衡的状态，成为行业可持续发展的重要支撑。</w:t>
            </w:r>
          </w:p>
          <w:p w14:paraId="6608E8E2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</w:rPr>
              <w:t>问题</w:t>
            </w:r>
            <w:r>
              <w:rPr>
                <w:rFonts w:ascii="Times New Roman" w:hAnsi="Times New Roman" w:hint="eastAsia"/>
                <w:b/>
                <w:color w:val="000000" w:themeColor="text1"/>
              </w:rPr>
              <w:t>4.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公司在低空经济空管领域的研发投入情况如何？未来空管市场的规模预期是怎样的？</w:t>
            </w:r>
          </w:p>
          <w:p w14:paraId="7EDB21BB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答：</w:t>
            </w:r>
            <w:r>
              <w:rPr>
                <w:rFonts w:ascii="Times New Roman" w:hAnsi="Times New Roman"/>
                <w:bCs/>
                <w:color w:val="000000" w:themeColor="text1"/>
              </w:rPr>
              <w:t>公司在低空经济领域的投入并非从零构建全新平台，而是基于在轨道交通领域多年积累的核心技术与安全体系，进行定制化开发与延伸应用。朱雀低空应用平台即是在原有全局调度系统、天枢平台等技术基础上，结合低空运行特性迭代升级而成。</w:t>
            </w:r>
          </w:p>
          <w:p w14:paraId="37A9F7E6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lastRenderedPageBreak/>
              <w:t>因此，研发投入涵盖朱雀平台、</w:t>
            </w:r>
            <w:r>
              <w:rPr>
                <w:rFonts w:ascii="Times New Roman" w:hAnsi="Times New Roman"/>
                <w:bCs/>
                <w:color w:val="000000" w:themeColor="text1"/>
              </w:rPr>
              <w:t>AI</w:t>
            </w:r>
            <w:r>
              <w:rPr>
                <w:rFonts w:ascii="Times New Roman" w:hAnsi="Times New Roman"/>
                <w:bCs/>
                <w:color w:val="000000" w:themeColor="text1"/>
              </w:rPr>
              <w:t>中台、移动应用平台、定制化无人机及行业应用场景开发等多个维度，难以单独拆分空管部分的具体金额。但可以明确的是，公司已在低空领域持续投入大量资源，形成技术先发优势。</w:t>
            </w:r>
          </w:p>
          <w:p w14:paraId="777FAE9F" w14:textId="2A7F3D89" w:rsidR="00012944" w:rsidRDefault="00000000" w:rsidP="00740E4F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 w:hint="eastAsia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从市场空间看，国家已明确构</w:t>
            </w:r>
            <w:r>
              <w:rPr>
                <w:rFonts w:cs="宋体" w:hint="eastAsia"/>
                <w:bCs/>
                <w:color w:val="000000" w:themeColor="text1"/>
              </w:rPr>
              <w:t>建“国家级—省级—市级”三级</w:t>
            </w:r>
            <w:r>
              <w:rPr>
                <w:rFonts w:ascii="Times New Roman" w:hAnsi="Times New Roman"/>
                <w:bCs/>
                <w:color w:val="000000" w:themeColor="text1"/>
              </w:rPr>
              <w:t>低空空管体系。未来，所有具备经济活动的地级市均将建设本地空管平台，形成广泛覆盖的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分级空管</w:t>
            </w:r>
            <w:r>
              <w:rPr>
                <w:rFonts w:ascii="Times New Roman" w:hAnsi="Times New Roman"/>
                <w:bCs/>
                <w:color w:val="000000" w:themeColor="text1"/>
              </w:rPr>
              <w:t>网络。据此推算，低空空管市场具备巨大的可预期规模，为公</w:t>
            </w:r>
            <w:r>
              <w:rPr>
                <w:rFonts w:cs="宋体" w:hint="eastAsia"/>
                <w:bCs/>
                <w:color w:val="000000" w:themeColor="text1"/>
              </w:rPr>
              <w:t>司“朱雀平台”</w:t>
            </w:r>
            <w:r>
              <w:rPr>
                <w:rFonts w:ascii="Times New Roman" w:hAnsi="Times New Roman"/>
                <w:bCs/>
                <w:color w:val="000000" w:themeColor="text1"/>
              </w:rPr>
              <w:t>提供了广阔的应用前景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。</w:t>
            </w:r>
          </w:p>
          <w:p w14:paraId="785B0EC2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</w:rPr>
              <w:t>问题</w:t>
            </w:r>
            <w:r>
              <w:rPr>
                <w:rFonts w:ascii="Times New Roman" w:hAnsi="Times New Roman" w:hint="eastAsia"/>
                <w:b/>
                <w:color w:val="000000" w:themeColor="text1"/>
              </w:rPr>
              <w:t>5.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公司应收账款占比较高且持续上升，后续回款措施有哪些？中报毛利率提升的可持续性如何？</w:t>
            </w:r>
          </w:p>
          <w:p w14:paraId="58521233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答：</w:t>
            </w:r>
            <w:r>
              <w:rPr>
                <w:rFonts w:ascii="Times New Roman" w:hAnsi="Times New Roman"/>
                <w:bCs/>
                <w:color w:val="000000" w:themeColor="text1"/>
              </w:rPr>
              <w:t>应收账款的上升趋势与公司业务模式密切相关。随着在手项目数量和规模持续扩大，应收账款总体呈上升态势，属于正常经营现象。</w:t>
            </w:r>
          </w:p>
          <w:p w14:paraId="5F9113C1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公司主要客户为各地地铁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建设及</w:t>
            </w:r>
            <w:r>
              <w:rPr>
                <w:rFonts w:ascii="Times New Roman" w:hAnsi="Times New Roman"/>
                <w:bCs/>
                <w:color w:val="000000" w:themeColor="text1"/>
              </w:rPr>
              <w:t>运营单位，资金来源多为财政拨款，回款整体有较强保障。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公司</w:t>
            </w:r>
            <w:r>
              <w:rPr>
                <w:rFonts w:ascii="Times New Roman" w:hAnsi="Times New Roman"/>
                <w:bCs/>
                <w:color w:val="000000" w:themeColor="text1"/>
              </w:rPr>
              <w:t>重点布局的华东、华南、华北及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西南</w:t>
            </w:r>
            <w:r>
              <w:rPr>
                <w:rFonts w:ascii="Times New Roman" w:hAnsi="Times New Roman"/>
                <w:bCs/>
                <w:color w:val="000000" w:themeColor="text1"/>
              </w:rPr>
              <w:t>等区域财政状况良好，回款情况稳定。公司已建立完善的回款管理机制，包括加强与业主沟通、借助政府协调机制等，确保项目验收后及时回款。目前除个别区域受地方财政影响外，整体回款情况良好。</w:t>
            </w:r>
          </w:p>
          <w:p w14:paraId="7FD2640E" w14:textId="6E687D58" w:rsidR="00012944" w:rsidRDefault="00000000" w:rsidP="00740E4F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 w:hint="eastAsia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公司毛利率主要受当年项目交付影响。项目的毛利率受地区、业务类型、自产货物的占比等多个因素相关，项目的承接具有不确定性。本期毛利率上升，主要因高毛利项目进入集中交付期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。</w:t>
            </w:r>
            <w:r>
              <w:rPr>
                <w:rFonts w:ascii="Times New Roman" w:hAnsi="Times New Roman"/>
                <w:bCs/>
                <w:color w:val="000000" w:themeColor="text1"/>
              </w:rPr>
              <w:t>公司整体项目毛利率保持在合理区间内波动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。</w:t>
            </w:r>
          </w:p>
          <w:p w14:paraId="45557442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</w:rPr>
              <w:t>问题</w:t>
            </w:r>
            <w:r>
              <w:rPr>
                <w:rFonts w:ascii="Times New Roman" w:hAnsi="Times New Roman"/>
                <w:b/>
                <w:color w:val="000000" w:themeColor="text1"/>
              </w:rPr>
              <w:t>6.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公司下半年在低空业务方面的重点方向是什么？是否有订单或收入进展？</w:t>
            </w:r>
          </w:p>
          <w:p w14:paraId="7A59D586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答：公司在低空领域逐步打造低空综合管理服务平台、行业专用无人机、低空应用集成及定制化运营服务等产品体系。</w:t>
            </w:r>
            <w:r>
              <w:rPr>
                <w:rFonts w:ascii="Times New Roman" w:hAnsi="Times New Roman"/>
                <w:bCs/>
                <w:color w:val="000000" w:themeColor="text1"/>
              </w:rPr>
              <w:t>公司下半年将继续聚焦低空经济的场景化应用，重点推进非暴露空间（如隧道、地下管廊）无人机的产品化与市场化，同时深</w:t>
            </w:r>
            <w:r>
              <w:rPr>
                <w:rFonts w:cs="宋体" w:hint="eastAsia"/>
                <w:bCs/>
                <w:color w:val="000000" w:themeColor="text1"/>
              </w:rPr>
              <w:t>化“AI+低空”</w:t>
            </w:r>
            <w:r>
              <w:rPr>
                <w:rFonts w:ascii="Times New Roman" w:hAnsi="Times New Roman"/>
                <w:bCs/>
                <w:color w:val="000000" w:themeColor="text1"/>
              </w:rPr>
              <w:t>融合，提升平台</w:t>
            </w:r>
            <w:r>
              <w:rPr>
                <w:rFonts w:ascii="Times New Roman" w:hAnsi="Times New Roman"/>
                <w:bCs/>
                <w:color w:val="000000" w:themeColor="text1"/>
              </w:rPr>
              <w:lastRenderedPageBreak/>
              <w:t>智能化能力。</w:t>
            </w:r>
          </w:p>
          <w:p w14:paraId="2CF1510E" w14:textId="399D8B3C" w:rsidR="00012944" w:rsidRPr="00740E4F" w:rsidRDefault="00000000" w:rsidP="00740E4F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 w:hint="eastAsia"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</w:rPr>
              <w:t>2024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年公司</w:t>
            </w:r>
            <w:r>
              <w:rPr>
                <w:rFonts w:ascii="Times New Roman" w:hAnsi="Times New Roman"/>
                <w:bCs/>
                <w:color w:val="000000" w:themeColor="text1"/>
              </w:rPr>
              <w:t>低空业务已</w:t>
            </w:r>
            <w:r>
              <w:rPr>
                <w:rFonts w:cs="宋体" w:hint="eastAsia"/>
                <w:bCs/>
                <w:color w:val="000000" w:themeColor="text1"/>
              </w:rPr>
              <w:t>实现从“0到1”的突破</w:t>
            </w:r>
            <w:r>
              <w:rPr>
                <w:rFonts w:ascii="Times New Roman" w:hAnsi="Times New Roman"/>
                <w:bCs/>
                <w:color w:val="000000" w:themeColor="text1"/>
              </w:rPr>
              <w:t>，</w:t>
            </w:r>
            <w:r>
              <w:rPr>
                <w:rFonts w:ascii="Times New Roman" w:hAnsi="Times New Roman"/>
                <w:bCs/>
                <w:color w:val="000000" w:themeColor="text1"/>
              </w:rPr>
              <w:t>2025</w:t>
            </w:r>
            <w:r>
              <w:rPr>
                <w:rFonts w:ascii="Times New Roman" w:hAnsi="Times New Roman"/>
                <w:bCs/>
                <w:color w:val="000000" w:themeColor="text1"/>
              </w:rPr>
              <w:t>年上半年确认收入</w:t>
            </w:r>
            <w:r>
              <w:rPr>
                <w:rFonts w:ascii="Times New Roman" w:hAnsi="Times New Roman"/>
                <w:bCs/>
                <w:color w:val="000000" w:themeColor="text1"/>
              </w:rPr>
              <w:t>322</w:t>
            </w:r>
            <w:r>
              <w:rPr>
                <w:rFonts w:ascii="Times New Roman" w:hAnsi="Times New Roman"/>
                <w:bCs/>
                <w:color w:val="000000" w:themeColor="text1"/>
              </w:rPr>
              <w:t>万元。公司正积极推进多个项目，预计下半年将有新项目落地并贡献收入，业务将保持稳步发展态势</w:t>
            </w:r>
            <w:r>
              <w:rPr>
                <w:rFonts w:ascii="Times New Roman" w:hAnsi="Times New Roman" w:hint="eastAsia"/>
                <w:bCs/>
                <w:color w:val="000000" w:themeColor="text1"/>
              </w:rPr>
              <w:t>。</w:t>
            </w:r>
          </w:p>
          <w:p w14:paraId="40BF4B2C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问题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7.</w:t>
            </w:r>
            <w:r>
              <w:rPr>
                <w:rFonts w:hint="eastAsia"/>
                <w:b/>
                <w:bCs/>
              </w:rPr>
              <w:t>公司实施的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东莞地铁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号线基于无人机巡检的地保系统综合管理项目的里程长度有多少？该项目使用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无人机数量及实施效果如何？</w:t>
            </w:r>
          </w:p>
          <w:p w14:paraId="05B39C99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答：</w:t>
            </w:r>
            <w:r>
              <w:rPr>
                <w:rFonts w:ascii="Times New Roman" w:hAnsi="Times New Roman"/>
                <w:color w:val="000000" w:themeColor="text1"/>
              </w:rPr>
              <w:t>东莞地铁一号线无人机巡检项目为全线覆盖。无人机布设数量主要取决于线路总长、</w:t>
            </w:r>
            <w:r>
              <w:rPr>
                <w:rFonts w:ascii="Times New Roman" w:hAnsi="Times New Roman" w:hint="eastAsia"/>
                <w:color w:val="000000" w:themeColor="text1"/>
              </w:rPr>
              <w:t>所使用的</w:t>
            </w:r>
            <w:r>
              <w:rPr>
                <w:rFonts w:ascii="Times New Roman" w:hAnsi="Times New Roman"/>
                <w:color w:val="000000" w:themeColor="text1"/>
              </w:rPr>
              <w:t>机型覆盖能力及</w:t>
            </w:r>
            <w:r>
              <w:rPr>
                <w:rFonts w:ascii="Times New Roman" w:hAnsi="Times New Roman"/>
                <w:color w:val="000000" w:themeColor="text1"/>
              </w:rPr>
              <w:t>AI</w:t>
            </w:r>
            <w:r>
              <w:rPr>
                <w:rFonts w:ascii="Times New Roman" w:hAnsi="Times New Roman"/>
                <w:color w:val="000000" w:themeColor="text1"/>
              </w:rPr>
              <w:t>识别功能复杂</w:t>
            </w:r>
            <w:r>
              <w:rPr>
                <w:rFonts w:ascii="Times New Roman" w:hAnsi="Times New Roman" w:hint="eastAsia"/>
                <w:color w:val="000000" w:themeColor="text1"/>
              </w:rPr>
              <w:t>程</w:t>
            </w:r>
            <w:r>
              <w:rPr>
                <w:rFonts w:ascii="Times New Roman" w:hAnsi="Times New Roman"/>
                <w:color w:val="000000" w:themeColor="text1"/>
              </w:rPr>
              <w:t>度。一般情况下，单个机巢的线性覆盖范围约为</w:t>
            </w:r>
            <w:r>
              <w:rPr>
                <w:rFonts w:ascii="Times New Roman" w:hAnsi="Times New Roman"/>
                <w:color w:val="000000" w:themeColor="text1"/>
              </w:rPr>
              <w:t>6–10</w:t>
            </w:r>
            <w:r>
              <w:rPr>
                <w:rFonts w:ascii="Times New Roman" w:hAnsi="Times New Roman"/>
                <w:color w:val="000000" w:themeColor="text1"/>
              </w:rPr>
              <w:t>公里。</w:t>
            </w:r>
            <w:r>
              <w:rPr>
                <w:rFonts w:ascii="Times New Roman" w:hAnsi="Times New Roman" w:hint="eastAsia"/>
                <w:color w:val="000000" w:themeColor="text1"/>
              </w:rPr>
              <w:t>但我们认为</w:t>
            </w:r>
            <w:r>
              <w:rPr>
                <w:rFonts w:ascii="Times New Roman" w:hAnsi="Times New Roman"/>
                <w:color w:val="000000" w:themeColor="text1"/>
              </w:rPr>
              <w:t>低空经济项目的价值核心并非无人机</w:t>
            </w:r>
            <w:r>
              <w:rPr>
                <w:rFonts w:ascii="Times New Roman" w:hAnsi="Times New Roman" w:hint="eastAsia"/>
                <w:color w:val="000000" w:themeColor="text1"/>
              </w:rPr>
              <w:t>数量，</w:t>
            </w:r>
            <w:r>
              <w:rPr>
                <w:rFonts w:ascii="Times New Roman" w:hAnsi="Times New Roman"/>
                <w:color w:val="000000" w:themeColor="text1"/>
              </w:rPr>
              <w:t>后台的</w:t>
            </w:r>
            <w:r>
              <w:rPr>
                <w:rFonts w:ascii="Times New Roman" w:hAnsi="Times New Roman"/>
                <w:color w:val="000000" w:themeColor="text1"/>
              </w:rPr>
              <w:t>AI</w:t>
            </w:r>
            <w:r>
              <w:rPr>
                <w:rFonts w:ascii="Times New Roman" w:hAnsi="Times New Roman"/>
                <w:color w:val="000000" w:themeColor="text1"/>
              </w:rPr>
              <w:t>智能分析能力及为用户提供的运营赋能功能</w:t>
            </w:r>
            <w:r>
              <w:rPr>
                <w:rFonts w:ascii="Times New Roman" w:hAnsi="Times New Roman" w:hint="eastAsia"/>
                <w:color w:val="000000" w:themeColor="text1"/>
              </w:rPr>
              <w:t>才是最有价值的，能为用户解决问题、为我们带来利润的重点方向</w:t>
            </w:r>
            <w:r>
              <w:rPr>
                <w:rFonts w:ascii="Times New Roman" w:hAnsi="Times New Roman"/>
                <w:color w:val="000000" w:themeColor="text1"/>
              </w:rPr>
              <w:t>。</w:t>
            </w:r>
          </w:p>
          <w:p w14:paraId="379F7B10" w14:textId="6BF356C9" w:rsidR="00012944" w:rsidRDefault="00000000" w:rsidP="00740E4F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 w:hint="eastAsia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该项目</w:t>
            </w:r>
            <w:r>
              <w:rPr>
                <w:rFonts w:ascii="Times New Roman" w:hAnsi="Times New Roman"/>
                <w:color w:val="000000" w:themeColor="text1"/>
              </w:rPr>
              <w:t>通过智能识别、自动预警、数据闭环等能力，显著提升巡检效率与安全性，降低人工成本，真正实现</w:t>
            </w:r>
            <w:r>
              <w:rPr>
                <w:rFonts w:cs="宋体" w:hint="eastAsia"/>
                <w:color w:val="000000" w:themeColor="text1"/>
              </w:rPr>
              <w:t>“降本增效”</w:t>
            </w:r>
            <w:r>
              <w:rPr>
                <w:rFonts w:ascii="Times New Roman" w:hAnsi="Times New Roman"/>
                <w:color w:val="000000" w:themeColor="text1"/>
              </w:rPr>
              <w:t>。项目的实施效果良好，为后续同类场景复制提供了成功范例。</w:t>
            </w:r>
          </w:p>
          <w:p w14:paraId="7C40F0F9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2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问题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8: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未来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3–5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年，城轨新增线路与改造项目的比例预计如何？公司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中报提到低空业务方面，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提供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“AI+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运营服务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，并已在全国多个省份成功落地。新增合同额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1000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多万，</w:t>
            </w:r>
            <w:r>
              <w:rPr>
                <w:rFonts w:ascii="Times New Roman" w:hAnsi="Times New Roman" w:hint="eastAsia"/>
                <w:b/>
                <w:bCs/>
                <w:color w:val="000000" w:themeColor="text1"/>
              </w:rPr>
              <w:t>该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业务的突破是基于原有积累还是新方向？</w:t>
            </w:r>
          </w:p>
          <w:p w14:paraId="62696A54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答：</w:t>
            </w:r>
            <w:r>
              <w:rPr>
                <w:rFonts w:ascii="Times New Roman" w:hAnsi="Times New Roman"/>
                <w:color w:val="000000" w:themeColor="text1"/>
              </w:rPr>
              <w:t>预计未来</w:t>
            </w:r>
            <w:r>
              <w:rPr>
                <w:rFonts w:ascii="Times New Roman" w:hAnsi="Times New Roman"/>
                <w:color w:val="000000" w:themeColor="text1"/>
              </w:rPr>
              <w:t>3–5</w:t>
            </w:r>
            <w:r>
              <w:rPr>
                <w:rFonts w:ascii="Times New Roman" w:hAnsi="Times New Roman"/>
                <w:color w:val="000000" w:themeColor="text1"/>
              </w:rPr>
              <w:t>年，新建线路将受制于审批和投资周期，增速放缓；而改造项目因政策支持、融资便利及实际运营需求推动，将加速增长。二者将呈</w:t>
            </w:r>
            <w:r>
              <w:rPr>
                <w:rFonts w:cs="宋体" w:hint="eastAsia"/>
                <w:color w:val="000000" w:themeColor="text1"/>
              </w:rPr>
              <w:t>现“此消彼长”趋势</w:t>
            </w:r>
            <w:r>
              <w:rPr>
                <w:rFonts w:ascii="Times New Roman" w:hAnsi="Times New Roman"/>
                <w:color w:val="000000" w:themeColor="text1"/>
              </w:rPr>
              <w:t>，预计未来有望逐步达到接近五五开的平衡状态，形成可持续的市场生态。</w:t>
            </w:r>
          </w:p>
          <w:p w14:paraId="01210BAF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智能</w:t>
            </w:r>
            <w:r>
              <w:rPr>
                <w:rFonts w:ascii="Times New Roman" w:hAnsi="Times New Roman"/>
                <w:color w:val="000000" w:themeColor="text1"/>
              </w:rPr>
              <w:t>运维业务是公司基于轨道交通长期运营经验的战略延伸。</w:t>
            </w:r>
            <w:r>
              <w:rPr>
                <w:rFonts w:ascii="Times New Roman" w:hAnsi="Times New Roman" w:hint="eastAsia"/>
                <w:color w:val="000000" w:themeColor="text1"/>
              </w:rPr>
              <w:t>公司</w:t>
            </w:r>
            <w:r>
              <w:rPr>
                <w:rFonts w:ascii="Times New Roman" w:hAnsi="Times New Roman"/>
                <w:color w:val="000000" w:themeColor="text1"/>
              </w:rPr>
              <w:t>一直对于</w:t>
            </w:r>
            <w:r>
              <w:rPr>
                <w:rFonts w:ascii="Times New Roman" w:hAnsi="Times New Roman" w:hint="eastAsia"/>
                <w:color w:val="000000" w:themeColor="text1"/>
              </w:rPr>
              <w:t>智能运维</w:t>
            </w:r>
            <w:r>
              <w:rPr>
                <w:rFonts w:ascii="Times New Roman" w:hAnsi="Times New Roman"/>
                <w:color w:val="000000" w:themeColor="text1"/>
              </w:rPr>
              <w:t>都很看重，轨道交通在经历了长期的运营期之后，</w:t>
            </w:r>
            <w:r>
              <w:rPr>
                <w:rFonts w:ascii="Times New Roman" w:hAnsi="Times New Roman" w:hint="eastAsia"/>
                <w:color w:val="000000" w:themeColor="text1"/>
              </w:rPr>
              <w:t>客户</w:t>
            </w:r>
            <w:r>
              <w:rPr>
                <w:rFonts w:ascii="Times New Roman" w:hAnsi="Times New Roman"/>
                <w:color w:val="000000" w:themeColor="text1"/>
              </w:rPr>
              <w:t>对于线路的可维护性，可靠性有比较高的诉求。</w:t>
            </w:r>
            <w:r>
              <w:rPr>
                <w:rFonts w:ascii="Times New Roman" w:hAnsi="Times New Roman" w:hint="eastAsia"/>
                <w:color w:val="000000" w:themeColor="text1"/>
              </w:rPr>
              <w:t>公司</w:t>
            </w:r>
            <w:r>
              <w:rPr>
                <w:rFonts w:ascii="Times New Roman" w:hAnsi="Times New Roman"/>
                <w:color w:val="000000" w:themeColor="text1"/>
              </w:rPr>
              <w:t>很早就布局了专注于城市轨道交通智能运维系统</w:t>
            </w:r>
            <w:r>
              <w:rPr>
                <w:rFonts w:ascii="Times New Roman" w:hAnsi="Times New Roman" w:hint="eastAsia"/>
                <w:color w:val="000000" w:themeColor="text1"/>
              </w:rPr>
              <w:t>的子公司</w:t>
            </w:r>
            <w:r>
              <w:rPr>
                <w:rFonts w:ascii="Times New Roman" w:hAnsi="Times New Roman"/>
                <w:color w:val="000000" w:themeColor="text1"/>
              </w:rPr>
              <w:t>。随着轨道交通运营的里程的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增加，智能运维等维护维保业务收入将逐年增长。</w:t>
            </w:r>
          </w:p>
          <w:p w14:paraId="6BC9F304" w14:textId="77777777" w:rsidR="00012944" w:rsidRDefault="00000000">
            <w:pPr>
              <w:pStyle w:val="af4"/>
              <w:widowControl w:val="0"/>
              <w:spacing w:beforeLines="50" w:before="120" w:line="360" w:lineRule="auto"/>
              <w:ind w:firstLine="48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2025</w:t>
            </w:r>
            <w:r>
              <w:rPr>
                <w:rFonts w:ascii="Times New Roman" w:hAnsi="Times New Roman" w:hint="eastAsia"/>
                <w:color w:val="000000" w:themeColor="text1"/>
              </w:rPr>
              <w:t>年上半年，公司以场景应用为核心驱动力，聚焦政务一体化、轨道、高速、边境边防、湿地、河道六大领域，提供“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AI + </w:t>
            </w:r>
            <w:r>
              <w:rPr>
                <w:rFonts w:ascii="Times New Roman" w:hAnsi="Times New Roman" w:hint="eastAsia"/>
                <w:color w:val="000000" w:themeColor="text1"/>
              </w:rPr>
              <w:t>运营服务”，并已在全国多个省份成功落地。</w:t>
            </w:r>
            <w:r>
              <w:rPr>
                <w:rFonts w:ascii="Times New Roman" w:hAnsi="Times New Roman"/>
                <w:color w:val="000000" w:themeColor="text1"/>
              </w:rPr>
              <w:t>报告期内，公司成功中标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个低空业务项目，新增签订合同金额达</w:t>
            </w:r>
            <w:r>
              <w:rPr>
                <w:rFonts w:ascii="Times New Roman" w:hAnsi="Times New Roman"/>
                <w:color w:val="000000" w:themeColor="text1"/>
              </w:rPr>
              <w:t>1,172.50</w:t>
            </w:r>
            <w:r>
              <w:rPr>
                <w:rFonts w:ascii="Times New Roman" w:hAnsi="Times New Roman"/>
                <w:color w:val="000000" w:themeColor="text1"/>
              </w:rPr>
              <w:t>万元。主要是</w:t>
            </w:r>
            <w:r>
              <w:rPr>
                <w:rFonts w:cs="宋体" w:hint="eastAsia"/>
                <w:color w:val="000000" w:themeColor="text1"/>
              </w:rPr>
              <w:t>“建德市新安江水域无人巡检服务采购项目”，</w:t>
            </w:r>
            <w:r>
              <w:rPr>
                <w:rFonts w:ascii="Times New Roman" w:hAnsi="Times New Roman"/>
                <w:color w:val="000000" w:themeColor="text1"/>
              </w:rPr>
              <w:t>该项目涵盖的无人机飞行管理技术及智能化服务系统，将为建德市新安江水域提供精准而高效的巡检服务，进而提升水域环境的保护及管理水平，为地方政府的决策提供可靠的数据支持。</w:t>
            </w:r>
          </w:p>
        </w:tc>
      </w:tr>
      <w:tr w:rsidR="00012944" w14:paraId="7AD5E6C4" w14:textId="77777777">
        <w:trPr>
          <w:trHeight w:val="490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FF86" w14:textId="77777777" w:rsidR="00012944" w:rsidRDefault="00000000">
            <w:pPr>
              <w:snapToGrid w:val="0"/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lastRenderedPageBreak/>
              <w:t>附件清单</w:t>
            </w:r>
          </w:p>
          <w:p w14:paraId="10B6AEAB" w14:textId="77777777" w:rsidR="00012944" w:rsidRDefault="00000000">
            <w:pPr>
              <w:snapToGrid w:val="0"/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  <w:t>（如有）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9AAE" w14:textId="77777777" w:rsidR="00012944" w:rsidRDefault="00000000">
            <w:pPr>
              <w:snapToGrid w:val="0"/>
              <w:spacing w:after="0" w:line="360" w:lineRule="auto"/>
              <w:jc w:val="both"/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有</w:t>
            </w:r>
          </w:p>
        </w:tc>
      </w:tr>
      <w:tr w:rsidR="00012944" w14:paraId="1A0AE3B0" w14:textId="77777777">
        <w:trPr>
          <w:trHeight w:val="490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DA12" w14:textId="77777777" w:rsidR="00012944" w:rsidRDefault="00000000">
            <w:pPr>
              <w:snapToGrid w:val="0"/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4E1E5" w14:textId="77777777" w:rsidR="00012944" w:rsidRDefault="00000000">
            <w:pPr>
              <w:snapToGrid w:val="0"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本次业绩交流会活动中，公司管理层积极回复投资者提出的问题，回复的内容符合公司《信息披露管理制度》等文件</w:t>
            </w:r>
            <w:r>
              <w:rPr>
                <w:rFonts w:ascii="Times New Roman" w:eastAsia="宋体" w:hAnsi="Times New Roman" w:cs="宋体"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规定，回复的信息真实、准确。</w:t>
            </w:r>
          </w:p>
        </w:tc>
      </w:tr>
    </w:tbl>
    <w:p w14:paraId="2ECD9415" w14:textId="77777777" w:rsidR="00012944" w:rsidRDefault="00012944">
      <w:pPr>
        <w:spacing w:after="0"/>
        <w:jc w:val="both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</w:p>
    <w:p w14:paraId="1FB6A580" w14:textId="77777777" w:rsidR="00012944" w:rsidRDefault="00000000">
      <w:pPr>
        <w:spacing w:after="0" w:line="240" w:lineRule="auto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  <w:r>
        <w:rPr>
          <w:rFonts w:ascii="Times New Roman" w:eastAsia="宋体" w:hAnsi="Times New Roman" w:cs="宋体"/>
          <w:color w:val="000000" w:themeColor="text1"/>
          <w:sz w:val="24"/>
          <w:szCs w:val="24"/>
        </w:rPr>
        <w:br w:type="page"/>
      </w:r>
    </w:p>
    <w:p w14:paraId="3CF7D7FF" w14:textId="77777777" w:rsidR="00012944" w:rsidRDefault="00000000">
      <w:pPr>
        <w:spacing w:after="0"/>
        <w:jc w:val="both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  <w:r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：</w:t>
      </w:r>
    </w:p>
    <w:p w14:paraId="0B2629D5" w14:textId="77777777" w:rsidR="00012944" w:rsidRDefault="00000000">
      <w:pPr>
        <w:spacing w:after="0" w:line="480" w:lineRule="auto"/>
        <w:jc w:val="center"/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与会人员名单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662"/>
        <w:gridCol w:w="4176"/>
      </w:tblGrid>
      <w:tr w:rsidR="00012944" w14:paraId="2069612F" w14:textId="77777777">
        <w:trPr>
          <w:trHeight w:val="510"/>
          <w:tblHeader/>
          <w:jc w:val="center"/>
        </w:trPr>
        <w:tc>
          <w:tcPr>
            <w:tcW w:w="764" w:type="pct"/>
            <w:vAlign w:val="center"/>
          </w:tcPr>
          <w:p w14:paraId="521F7BD6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8" w:type="pct"/>
            <w:noWrap/>
            <w:vAlign w:val="center"/>
          </w:tcPr>
          <w:p w14:paraId="1CDEA81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586" w:type="pct"/>
            <w:noWrap/>
            <w:vAlign w:val="center"/>
          </w:tcPr>
          <w:p w14:paraId="24E28086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b/>
                <w:color w:val="auto"/>
                <w:kern w:val="0"/>
                <w:sz w:val="24"/>
                <w:szCs w:val="24"/>
              </w:rPr>
              <w:t>公司名称</w:t>
            </w:r>
          </w:p>
        </w:tc>
      </w:tr>
      <w:tr w:rsidR="00012944" w14:paraId="71294C99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05C20D0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pct"/>
            <w:noWrap/>
            <w:vAlign w:val="center"/>
          </w:tcPr>
          <w:p w14:paraId="0079E3C4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auto"/>
                <w:sz w:val="24"/>
                <w:szCs w:val="24"/>
              </w:rPr>
              <w:t>王文超</w:t>
            </w:r>
          </w:p>
        </w:tc>
        <w:tc>
          <w:tcPr>
            <w:tcW w:w="2586" w:type="pct"/>
            <w:noWrap/>
            <w:vAlign w:val="center"/>
          </w:tcPr>
          <w:p w14:paraId="5F23881B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auto"/>
                <w:sz w:val="24"/>
                <w:szCs w:val="24"/>
              </w:rPr>
              <w:t>东方财富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证券</w:t>
            </w:r>
          </w:p>
        </w:tc>
      </w:tr>
      <w:tr w:rsidR="00012944" w14:paraId="43210EF8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586C7840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pct"/>
            <w:noWrap/>
            <w:vAlign w:val="center"/>
          </w:tcPr>
          <w:p w14:paraId="544E140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黄华艳</w:t>
            </w:r>
          </w:p>
        </w:tc>
        <w:tc>
          <w:tcPr>
            <w:tcW w:w="2586" w:type="pct"/>
            <w:noWrap/>
            <w:vAlign w:val="center"/>
          </w:tcPr>
          <w:p w14:paraId="52633625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auto"/>
                <w:sz w:val="24"/>
                <w:szCs w:val="24"/>
              </w:rPr>
              <w:t>北京大道兴业投资</w:t>
            </w:r>
          </w:p>
        </w:tc>
      </w:tr>
      <w:tr w:rsidR="00012944" w14:paraId="0D9D320C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66481EA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648" w:type="pct"/>
            <w:noWrap/>
            <w:vAlign w:val="center"/>
          </w:tcPr>
          <w:p w14:paraId="77CCCF58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刘建伟</w:t>
            </w:r>
          </w:p>
        </w:tc>
        <w:tc>
          <w:tcPr>
            <w:tcW w:w="2586" w:type="pct"/>
            <w:noWrap/>
            <w:vAlign w:val="center"/>
          </w:tcPr>
          <w:p w14:paraId="073B6BA4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上海申银万国证券</w:t>
            </w:r>
          </w:p>
        </w:tc>
      </w:tr>
      <w:tr w:rsidR="00012944" w14:paraId="35369D2B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6295A410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648" w:type="pct"/>
            <w:noWrap/>
            <w:vAlign w:val="center"/>
          </w:tcPr>
          <w:p w14:paraId="21C3F260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杨伍</w:t>
            </w:r>
          </w:p>
        </w:tc>
        <w:tc>
          <w:tcPr>
            <w:tcW w:w="2586" w:type="pct"/>
            <w:noWrap/>
            <w:vAlign w:val="center"/>
          </w:tcPr>
          <w:p w14:paraId="75360A50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同泰基金</w:t>
            </w:r>
          </w:p>
        </w:tc>
      </w:tr>
      <w:tr w:rsidR="00012944" w14:paraId="40357316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0B38491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648" w:type="pct"/>
            <w:noWrap/>
            <w:vAlign w:val="center"/>
          </w:tcPr>
          <w:p w14:paraId="0958183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王震</w:t>
            </w:r>
          </w:p>
        </w:tc>
        <w:tc>
          <w:tcPr>
            <w:tcW w:w="2586" w:type="pct"/>
            <w:noWrap/>
            <w:vAlign w:val="center"/>
          </w:tcPr>
          <w:p w14:paraId="13A51C25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中庚基金</w:t>
            </w:r>
          </w:p>
        </w:tc>
      </w:tr>
      <w:tr w:rsidR="00012944" w14:paraId="3750D8C7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5D8CDCF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648" w:type="pct"/>
            <w:noWrap/>
            <w:vAlign w:val="center"/>
          </w:tcPr>
          <w:p w14:paraId="00051479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邢博阳</w:t>
            </w:r>
          </w:p>
        </w:tc>
        <w:tc>
          <w:tcPr>
            <w:tcW w:w="2586" w:type="pct"/>
            <w:noWrap/>
            <w:vAlign w:val="center"/>
          </w:tcPr>
          <w:p w14:paraId="5DEF104A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中泰证券</w:t>
            </w:r>
          </w:p>
        </w:tc>
      </w:tr>
      <w:tr w:rsidR="00012944" w14:paraId="444017B1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33990F3A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648" w:type="pct"/>
            <w:noWrap/>
            <w:vAlign w:val="center"/>
          </w:tcPr>
          <w:p w14:paraId="11EA021C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傅深林</w:t>
            </w:r>
          </w:p>
        </w:tc>
        <w:tc>
          <w:tcPr>
            <w:tcW w:w="2586" w:type="pct"/>
            <w:noWrap/>
            <w:vAlign w:val="center"/>
          </w:tcPr>
          <w:p w14:paraId="595F9E1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上海景领投资</w:t>
            </w:r>
          </w:p>
        </w:tc>
      </w:tr>
      <w:tr w:rsidR="00012944" w14:paraId="0C912CA7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69D9C481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648" w:type="pct"/>
            <w:noWrap/>
            <w:vAlign w:val="center"/>
          </w:tcPr>
          <w:p w14:paraId="62547595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王霞举</w:t>
            </w:r>
          </w:p>
        </w:tc>
        <w:tc>
          <w:tcPr>
            <w:tcW w:w="2586" w:type="pct"/>
            <w:noWrap/>
            <w:vAlign w:val="center"/>
          </w:tcPr>
          <w:p w14:paraId="5D2FC479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银河证券</w:t>
            </w:r>
          </w:p>
        </w:tc>
      </w:tr>
      <w:tr w:rsidR="00012944" w14:paraId="363412E6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386ABC3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648" w:type="pct"/>
            <w:noWrap/>
            <w:vAlign w:val="center"/>
          </w:tcPr>
          <w:p w14:paraId="71C350A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严佳</w:t>
            </w:r>
          </w:p>
        </w:tc>
        <w:tc>
          <w:tcPr>
            <w:tcW w:w="2586" w:type="pct"/>
            <w:noWrap/>
            <w:vAlign w:val="center"/>
          </w:tcPr>
          <w:p w14:paraId="6CF96211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sz w:val="24"/>
                <w:szCs w:val="24"/>
              </w:rPr>
              <w:t>中金证券</w:t>
            </w:r>
          </w:p>
        </w:tc>
      </w:tr>
      <w:tr w:rsidR="00012944" w14:paraId="38EA3F3B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06C5CA9D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648" w:type="pct"/>
            <w:noWrap/>
            <w:vAlign w:val="center"/>
          </w:tcPr>
          <w:p w14:paraId="6CFAA054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张艺蝶</w:t>
            </w:r>
          </w:p>
        </w:tc>
        <w:tc>
          <w:tcPr>
            <w:tcW w:w="2586" w:type="pct"/>
            <w:noWrap/>
            <w:vAlign w:val="center"/>
          </w:tcPr>
          <w:p w14:paraId="65E5B8AA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东方财富证券</w:t>
            </w:r>
          </w:p>
        </w:tc>
      </w:tr>
      <w:tr w:rsidR="00012944" w14:paraId="2F48E049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0D887C60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pct"/>
            <w:noWrap/>
            <w:vAlign w:val="center"/>
          </w:tcPr>
          <w:p w14:paraId="48181C5B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黄晓萍</w:t>
            </w:r>
          </w:p>
        </w:tc>
        <w:tc>
          <w:tcPr>
            <w:tcW w:w="2586" w:type="pct"/>
            <w:noWrap/>
            <w:vAlign w:val="center"/>
          </w:tcPr>
          <w:p w14:paraId="6004B2B6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恒越基金</w:t>
            </w:r>
          </w:p>
        </w:tc>
      </w:tr>
      <w:tr w:rsidR="00012944" w14:paraId="6C5D76AD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19D12724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pct"/>
            <w:noWrap/>
            <w:vAlign w:val="center"/>
          </w:tcPr>
          <w:p w14:paraId="07D742A9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彭元立</w:t>
            </w:r>
          </w:p>
        </w:tc>
        <w:tc>
          <w:tcPr>
            <w:tcW w:w="2586" w:type="pct"/>
            <w:noWrap/>
            <w:vAlign w:val="center"/>
          </w:tcPr>
          <w:p w14:paraId="6824F1CF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宋体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国盛证券</w:t>
            </w:r>
          </w:p>
        </w:tc>
      </w:tr>
      <w:tr w:rsidR="00012944" w14:paraId="5288FF42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589EBAF0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648" w:type="pct"/>
            <w:noWrap/>
            <w:vAlign w:val="center"/>
          </w:tcPr>
          <w:p w14:paraId="5C767F3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王亚琪</w:t>
            </w:r>
          </w:p>
        </w:tc>
        <w:tc>
          <w:tcPr>
            <w:tcW w:w="2586" w:type="pct"/>
            <w:noWrap/>
            <w:vAlign w:val="center"/>
          </w:tcPr>
          <w:p w14:paraId="48FAA49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上海证券</w:t>
            </w:r>
          </w:p>
        </w:tc>
      </w:tr>
      <w:tr w:rsidR="00012944" w14:paraId="30F87DE0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6CB56EFA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648" w:type="pct"/>
            <w:noWrap/>
            <w:vAlign w:val="center"/>
          </w:tcPr>
          <w:p w14:paraId="076F4B29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钟依浓</w:t>
            </w:r>
          </w:p>
        </w:tc>
        <w:tc>
          <w:tcPr>
            <w:tcW w:w="2586" w:type="pct"/>
            <w:noWrap/>
            <w:vAlign w:val="center"/>
          </w:tcPr>
          <w:p w14:paraId="53A30B6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华源证券</w:t>
            </w:r>
          </w:p>
        </w:tc>
      </w:tr>
      <w:tr w:rsidR="00012944" w14:paraId="522A8AEC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4801DAF5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648" w:type="pct"/>
            <w:noWrap/>
            <w:vAlign w:val="center"/>
          </w:tcPr>
          <w:p w14:paraId="0A39C804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李想</w:t>
            </w:r>
          </w:p>
        </w:tc>
        <w:tc>
          <w:tcPr>
            <w:tcW w:w="2586" w:type="pct"/>
            <w:noWrap/>
            <w:vAlign w:val="center"/>
          </w:tcPr>
          <w:p w14:paraId="65BB013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长江证券</w:t>
            </w:r>
          </w:p>
        </w:tc>
      </w:tr>
      <w:tr w:rsidR="00012944" w14:paraId="20965A00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452067CF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648" w:type="pct"/>
            <w:noWrap/>
            <w:vAlign w:val="center"/>
          </w:tcPr>
          <w:p w14:paraId="073B558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吴源恒</w:t>
            </w:r>
          </w:p>
        </w:tc>
        <w:tc>
          <w:tcPr>
            <w:tcW w:w="2586" w:type="pct"/>
            <w:noWrap/>
            <w:vAlign w:val="center"/>
          </w:tcPr>
          <w:p w14:paraId="0A4BFF85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东北证券</w:t>
            </w:r>
          </w:p>
        </w:tc>
      </w:tr>
      <w:tr w:rsidR="00012944" w14:paraId="0B5E3ADC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43076CD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648" w:type="pct"/>
            <w:noWrap/>
            <w:vAlign w:val="center"/>
          </w:tcPr>
          <w:p w14:paraId="0EE67E5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杨震</w:t>
            </w:r>
          </w:p>
        </w:tc>
        <w:tc>
          <w:tcPr>
            <w:tcW w:w="2586" w:type="pct"/>
            <w:noWrap/>
            <w:vAlign w:val="center"/>
          </w:tcPr>
          <w:p w14:paraId="3B88D4F3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sz w:val="24"/>
                <w:szCs w:val="24"/>
              </w:rPr>
              <w:t>东方证券</w:t>
            </w:r>
          </w:p>
        </w:tc>
      </w:tr>
      <w:tr w:rsidR="00012944" w14:paraId="24DC58E1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3904AF76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648" w:type="pct"/>
            <w:noWrap/>
            <w:vAlign w:val="center"/>
          </w:tcPr>
          <w:p w14:paraId="03CC1BC9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曹志平</w:t>
            </w:r>
          </w:p>
        </w:tc>
        <w:tc>
          <w:tcPr>
            <w:tcW w:w="2586" w:type="pct"/>
            <w:noWrap/>
            <w:vAlign w:val="center"/>
          </w:tcPr>
          <w:p w14:paraId="4852A04C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粤佛私募基金</w:t>
            </w:r>
          </w:p>
        </w:tc>
      </w:tr>
      <w:tr w:rsidR="00012944" w14:paraId="7D628D13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344A7E5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648" w:type="pct"/>
            <w:noWrap/>
            <w:vAlign w:val="center"/>
          </w:tcPr>
          <w:p w14:paraId="28DD97D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王照峰</w:t>
            </w:r>
          </w:p>
        </w:tc>
        <w:tc>
          <w:tcPr>
            <w:tcW w:w="2586" w:type="pct"/>
            <w:noWrap/>
            <w:vAlign w:val="center"/>
          </w:tcPr>
          <w:p w14:paraId="5816CA7A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浙江优策投资</w:t>
            </w:r>
          </w:p>
        </w:tc>
      </w:tr>
      <w:tr w:rsidR="00012944" w14:paraId="159939F9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48CAFB2D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648" w:type="pct"/>
            <w:noWrap/>
            <w:vAlign w:val="center"/>
          </w:tcPr>
          <w:p w14:paraId="2E12CF21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林知</w:t>
            </w:r>
          </w:p>
        </w:tc>
        <w:tc>
          <w:tcPr>
            <w:tcW w:w="2586" w:type="pct"/>
            <w:noWrap/>
            <w:vAlign w:val="center"/>
          </w:tcPr>
          <w:p w14:paraId="22A10067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国泰基金</w:t>
            </w:r>
          </w:p>
        </w:tc>
      </w:tr>
      <w:tr w:rsidR="00012944" w14:paraId="20070C4F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3251D508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pct"/>
            <w:noWrap/>
            <w:vAlign w:val="center"/>
          </w:tcPr>
          <w:p w14:paraId="08666A01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陈姝姝</w:t>
            </w:r>
          </w:p>
        </w:tc>
        <w:tc>
          <w:tcPr>
            <w:tcW w:w="2586" w:type="pct"/>
            <w:noWrap/>
            <w:vAlign w:val="center"/>
          </w:tcPr>
          <w:p w14:paraId="5BFD5086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浙商证券</w:t>
            </w:r>
          </w:p>
        </w:tc>
      </w:tr>
      <w:tr w:rsidR="00012944" w14:paraId="652C682C" w14:textId="77777777">
        <w:trPr>
          <w:trHeight w:val="510"/>
          <w:jc w:val="center"/>
        </w:trPr>
        <w:tc>
          <w:tcPr>
            <w:tcW w:w="764" w:type="pct"/>
            <w:vAlign w:val="center"/>
          </w:tcPr>
          <w:p w14:paraId="496FEE31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Arial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pct"/>
            <w:noWrap/>
            <w:vAlign w:val="center"/>
          </w:tcPr>
          <w:p w14:paraId="6611B02E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杨偲</w:t>
            </w:r>
          </w:p>
        </w:tc>
        <w:tc>
          <w:tcPr>
            <w:tcW w:w="2586" w:type="pct"/>
            <w:noWrap/>
            <w:vAlign w:val="center"/>
          </w:tcPr>
          <w:p w14:paraId="4FA0C182" w14:textId="77777777" w:rsidR="00012944" w:rsidRDefault="00000000">
            <w:pPr>
              <w:spacing w:after="0" w:line="24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真行資本</w:t>
            </w:r>
          </w:p>
        </w:tc>
      </w:tr>
    </w:tbl>
    <w:p w14:paraId="73A558EA" w14:textId="77777777" w:rsidR="00012944" w:rsidRDefault="00012944">
      <w:pPr>
        <w:spacing w:after="0"/>
        <w:jc w:val="both"/>
        <w:rPr>
          <w:rFonts w:ascii="Times New Roman" w:eastAsiaTheme="minorEastAsia" w:hAnsi="Times New Roman"/>
          <w:color w:val="000000" w:themeColor="text1"/>
        </w:rPr>
      </w:pPr>
    </w:p>
    <w:sectPr w:rsidR="00012944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DD9B" w14:textId="77777777" w:rsidR="00D32901" w:rsidRDefault="00D32901">
      <w:pPr>
        <w:spacing w:line="240" w:lineRule="auto"/>
      </w:pPr>
      <w:r>
        <w:separator/>
      </w:r>
    </w:p>
  </w:endnote>
  <w:endnote w:type="continuationSeparator" w:id="0">
    <w:p w14:paraId="2A48F377" w14:textId="77777777" w:rsidR="00D32901" w:rsidRDefault="00D32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B702" w14:textId="77777777" w:rsidR="00D32901" w:rsidRDefault="00D32901">
      <w:pPr>
        <w:spacing w:after="0"/>
      </w:pPr>
      <w:r>
        <w:separator/>
      </w:r>
    </w:p>
  </w:footnote>
  <w:footnote w:type="continuationSeparator" w:id="0">
    <w:p w14:paraId="0D036694" w14:textId="77777777" w:rsidR="00D32901" w:rsidRDefault="00D329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1778AB"/>
    <w:multiLevelType w:val="singleLevel"/>
    <w:tmpl w:val="ED1778AB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 w16cid:durableId="12665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wN2JlZWQ5OGI4Yjc2YTMxOGZiNTM1Y2Y0ZTVhMDQifQ=="/>
  </w:docVars>
  <w:rsids>
    <w:rsidRoot w:val="00A54DA5"/>
    <w:rsid w:val="00000FFE"/>
    <w:rsid w:val="00003AB8"/>
    <w:rsid w:val="00004139"/>
    <w:rsid w:val="00012134"/>
    <w:rsid w:val="00012944"/>
    <w:rsid w:val="00014CF9"/>
    <w:rsid w:val="00015C7C"/>
    <w:rsid w:val="00023F81"/>
    <w:rsid w:val="0002444A"/>
    <w:rsid w:val="00024726"/>
    <w:rsid w:val="00024C8A"/>
    <w:rsid w:val="00024CEE"/>
    <w:rsid w:val="000260C0"/>
    <w:rsid w:val="00030199"/>
    <w:rsid w:val="000306A4"/>
    <w:rsid w:val="00034132"/>
    <w:rsid w:val="00034493"/>
    <w:rsid w:val="000422E5"/>
    <w:rsid w:val="000453C6"/>
    <w:rsid w:val="00046459"/>
    <w:rsid w:val="00055505"/>
    <w:rsid w:val="000563B8"/>
    <w:rsid w:val="00062969"/>
    <w:rsid w:val="000668A8"/>
    <w:rsid w:val="00066E68"/>
    <w:rsid w:val="00067010"/>
    <w:rsid w:val="00071988"/>
    <w:rsid w:val="00072A9F"/>
    <w:rsid w:val="00074366"/>
    <w:rsid w:val="00080D22"/>
    <w:rsid w:val="00081F83"/>
    <w:rsid w:val="00086B39"/>
    <w:rsid w:val="000945F2"/>
    <w:rsid w:val="00094AAF"/>
    <w:rsid w:val="00097B07"/>
    <w:rsid w:val="000A30DD"/>
    <w:rsid w:val="000A7C67"/>
    <w:rsid w:val="000A7F6C"/>
    <w:rsid w:val="000B255D"/>
    <w:rsid w:val="000B320B"/>
    <w:rsid w:val="000B4D36"/>
    <w:rsid w:val="000B6DDD"/>
    <w:rsid w:val="000C026A"/>
    <w:rsid w:val="000C3F4D"/>
    <w:rsid w:val="000C5B33"/>
    <w:rsid w:val="000D06A5"/>
    <w:rsid w:val="000D28A0"/>
    <w:rsid w:val="000D2CC8"/>
    <w:rsid w:val="000D2E00"/>
    <w:rsid w:val="000D4B54"/>
    <w:rsid w:val="000E245B"/>
    <w:rsid w:val="000E5C46"/>
    <w:rsid w:val="000E6224"/>
    <w:rsid w:val="000E6C31"/>
    <w:rsid w:val="000F1F10"/>
    <w:rsid w:val="000F6E69"/>
    <w:rsid w:val="00100918"/>
    <w:rsid w:val="00106C1A"/>
    <w:rsid w:val="0011028A"/>
    <w:rsid w:val="00113F00"/>
    <w:rsid w:val="001210C7"/>
    <w:rsid w:val="00127EC6"/>
    <w:rsid w:val="00130CC3"/>
    <w:rsid w:val="00131D12"/>
    <w:rsid w:val="00132A28"/>
    <w:rsid w:val="00143A79"/>
    <w:rsid w:val="00144E44"/>
    <w:rsid w:val="00144ED4"/>
    <w:rsid w:val="00145DE5"/>
    <w:rsid w:val="00150A5F"/>
    <w:rsid w:val="00151B73"/>
    <w:rsid w:val="001563FB"/>
    <w:rsid w:val="00157528"/>
    <w:rsid w:val="00157EE6"/>
    <w:rsid w:val="001622D9"/>
    <w:rsid w:val="00162661"/>
    <w:rsid w:val="00164026"/>
    <w:rsid w:val="0016753B"/>
    <w:rsid w:val="001709C4"/>
    <w:rsid w:val="001723A5"/>
    <w:rsid w:val="001862F9"/>
    <w:rsid w:val="00190ECB"/>
    <w:rsid w:val="00192C23"/>
    <w:rsid w:val="0019415E"/>
    <w:rsid w:val="00195BBF"/>
    <w:rsid w:val="00196090"/>
    <w:rsid w:val="001A3AFA"/>
    <w:rsid w:val="001A62BE"/>
    <w:rsid w:val="001B040D"/>
    <w:rsid w:val="001B1022"/>
    <w:rsid w:val="001B3912"/>
    <w:rsid w:val="001B5820"/>
    <w:rsid w:val="001C0F4D"/>
    <w:rsid w:val="001C3427"/>
    <w:rsid w:val="001C3E74"/>
    <w:rsid w:val="001D5C37"/>
    <w:rsid w:val="001D689B"/>
    <w:rsid w:val="001E29D4"/>
    <w:rsid w:val="001E5E98"/>
    <w:rsid w:val="001E7B3D"/>
    <w:rsid w:val="001F10F4"/>
    <w:rsid w:val="001F18B9"/>
    <w:rsid w:val="001F44C6"/>
    <w:rsid w:val="001F53FC"/>
    <w:rsid w:val="001F68E8"/>
    <w:rsid w:val="002000EF"/>
    <w:rsid w:val="002012EF"/>
    <w:rsid w:val="00201303"/>
    <w:rsid w:val="00204E7A"/>
    <w:rsid w:val="00207C79"/>
    <w:rsid w:val="002120E3"/>
    <w:rsid w:val="002123EB"/>
    <w:rsid w:val="00215A25"/>
    <w:rsid w:val="0021795B"/>
    <w:rsid w:val="00220B5C"/>
    <w:rsid w:val="002213FB"/>
    <w:rsid w:val="0022543C"/>
    <w:rsid w:val="00230CD1"/>
    <w:rsid w:val="00231D79"/>
    <w:rsid w:val="00241DCD"/>
    <w:rsid w:val="00242829"/>
    <w:rsid w:val="002435BE"/>
    <w:rsid w:val="002441D0"/>
    <w:rsid w:val="0024700C"/>
    <w:rsid w:val="00257871"/>
    <w:rsid w:val="0026186A"/>
    <w:rsid w:val="002644F8"/>
    <w:rsid w:val="00273091"/>
    <w:rsid w:val="0027324F"/>
    <w:rsid w:val="002735AF"/>
    <w:rsid w:val="00274CDE"/>
    <w:rsid w:val="002775D6"/>
    <w:rsid w:val="00282B8B"/>
    <w:rsid w:val="00283222"/>
    <w:rsid w:val="002906A8"/>
    <w:rsid w:val="00290A15"/>
    <w:rsid w:val="00292BE9"/>
    <w:rsid w:val="00292E48"/>
    <w:rsid w:val="00295F85"/>
    <w:rsid w:val="002969CB"/>
    <w:rsid w:val="00297976"/>
    <w:rsid w:val="002A4E2F"/>
    <w:rsid w:val="002A6E72"/>
    <w:rsid w:val="002C07BD"/>
    <w:rsid w:val="002C4C94"/>
    <w:rsid w:val="002C504B"/>
    <w:rsid w:val="002C521E"/>
    <w:rsid w:val="002D0456"/>
    <w:rsid w:val="002D1F93"/>
    <w:rsid w:val="002D6A9B"/>
    <w:rsid w:val="002E23B0"/>
    <w:rsid w:val="002E3DA7"/>
    <w:rsid w:val="002E5D44"/>
    <w:rsid w:val="002F2F5A"/>
    <w:rsid w:val="002F54DF"/>
    <w:rsid w:val="002F60A2"/>
    <w:rsid w:val="00301D5F"/>
    <w:rsid w:val="0030451E"/>
    <w:rsid w:val="00312232"/>
    <w:rsid w:val="00312BFB"/>
    <w:rsid w:val="00312D8F"/>
    <w:rsid w:val="00320361"/>
    <w:rsid w:val="0032206F"/>
    <w:rsid w:val="003224D9"/>
    <w:rsid w:val="00325820"/>
    <w:rsid w:val="003262B9"/>
    <w:rsid w:val="003301BA"/>
    <w:rsid w:val="003365E0"/>
    <w:rsid w:val="00336905"/>
    <w:rsid w:val="0034052C"/>
    <w:rsid w:val="00340BB3"/>
    <w:rsid w:val="0034174E"/>
    <w:rsid w:val="003503FF"/>
    <w:rsid w:val="00357ACB"/>
    <w:rsid w:val="00361398"/>
    <w:rsid w:val="00363393"/>
    <w:rsid w:val="00365570"/>
    <w:rsid w:val="00365727"/>
    <w:rsid w:val="0036573A"/>
    <w:rsid w:val="00365953"/>
    <w:rsid w:val="00367D42"/>
    <w:rsid w:val="00371957"/>
    <w:rsid w:val="003732F2"/>
    <w:rsid w:val="00377287"/>
    <w:rsid w:val="00383C95"/>
    <w:rsid w:val="00384127"/>
    <w:rsid w:val="00384D84"/>
    <w:rsid w:val="00385713"/>
    <w:rsid w:val="0038665A"/>
    <w:rsid w:val="0038677B"/>
    <w:rsid w:val="0039202C"/>
    <w:rsid w:val="00392ACD"/>
    <w:rsid w:val="003A30E3"/>
    <w:rsid w:val="003A3615"/>
    <w:rsid w:val="003A3A7D"/>
    <w:rsid w:val="003A5747"/>
    <w:rsid w:val="003A5E6B"/>
    <w:rsid w:val="003A60D6"/>
    <w:rsid w:val="003A6857"/>
    <w:rsid w:val="003B01B5"/>
    <w:rsid w:val="003B06EE"/>
    <w:rsid w:val="003B46DB"/>
    <w:rsid w:val="003C07A4"/>
    <w:rsid w:val="003C24BE"/>
    <w:rsid w:val="003C38F6"/>
    <w:rsid w:val="003C6930"/>
    <w:rsid w:val="003D0CA7"/>
    <w:rsid w:val="003D33C5"/>
    <w:rsid w:val="003E0753"/>
    <w:rsid w:val="003E0F33"/>
    <w:rsid w:val="003E2B82"/>
    <w:rsid w:val="003F6751"/>
    <w:rsid w:val="00400034"/>
    <w:rsid w:val="00410EED"/>
    <w:rsid w:val="00411249"/>
    <w:rsid w:val="00414A8A"/>
    <w:rsid w:val="00415BA3"/>
    <w:rsid w:val="0042043A"/>
    <w:rsid w:val="00420EFA"/>
    <w:rsid w:val="00421434"/>
    <w:rsid w:val="00424D4F"/>
    <w:rsid w:val="00425888"/>
    <w:rsid w:val="004269BA"/>
    <w:rsid w:val="00426D93"/>
    <w:rsid w:val="0043157C"/>
    <w:rsid w:val="00434AE5"/>
    <w:rsid w:val="00437FFE"/>
    <w:rsid w:val="00441050"/>
    <w:rsid w:val="00441769"/>
    <w:rsid w:val="00443045"/>
    <w:rsid w:val="0045095F"/>
    <w:rsid w:val="00451658"/>
    <w:rsid w:val="00456A16"/>
    <w:rsid w:val="00460D57"/>
    <w:rsid w:val="0046164A"/>
    <w:rsid w:val="00463506"/>
    <w:rsid w:val="0046388F"/>
    <w:rsid w:val="0046412B"/>
    <w:rsid w:val="004707AE"/>
    <w:rsid w:val="00477930"/>
    <w:rsid w:val="00480B70"/>
    <w:rsid w:val="00482375"/>
    <w:rsid w:val="00483F14"/>
    <w:rsid w:val="00484183"/>
    <w:rsid w:val="004865E4"/>
    <w:rsid w:val="00491717"/>
    <w:rsid w:val="0049465C"/>
    <w:rsid w:val="004A0DBB"/>
    <w:rsid w:val="004A4A2B"/>
    <w:rsid w:val="004A655D"/>
    <w:rsid w:val="004A6F7E"/>
    <w:rsid w:val="004B0758"/>
    <w:rsid w:val="004B0B97"/>
    <w:rsid w:val="004B29DC"/>
    <w:rsid w:val="004B313F"/>
    <w:rsid w:val="004B4506"/>
    <w:rsid w:val="004B48B7"/>
    <w:rsid w:val="004B6FD3"/>
    <w:rsid w:val="004B76EC"/>
    <w:rsid w:val="004C4423"/>
    <w:rsid w:val="004D129E"/>
    <w:rsid w:val="004D224A"/>
    <w:rsid w:val="004D52BE"/>
    <w:rsid w:val="004D5E02"/>
    <w:rsid w:val="004D6282"/>
    <w:rsid w:val="004E1270"/>
    <w:rsid w:val="004E2570"/>
    <w:rsid w:val="004E383D"/>
    <w:rsid w:val="004F0F55"/>
    <w:rsid w:val="004F2891"/>
    <w:rsid w:val="004F28CB"/>
    <w:rsid w:val="004F34A3"/>
    <w:rsid w:val="004F6A2E"/>
    <w:rsid w:val="0050014F"/>
    <w:rsid w:val="00505347"/>
    <w:rsid w:val="00506610"/>
    <w:rsid w:val="0051050F"/>
    <w:rsid w:val="005134FB"/>
    <w:rsid w:val="00514CBC"/>
    <w:rsid w:val="00525F4F"/>
    <w:rsid w:val="0052638A"/>
    <w:rsid w:val="00527E30"/>
    <w:rsid w:val="00531CE3"/>
    <w:rsid w:val="00534431"/>
    <w:rsid w:val="00534B3C"/>
    <w:rsid w:val="00537C1F"/>
    <w:rsid w:val="00542C11"/>
    <w:rsid w:val="00543178"/>
    <w:rsid w:val="00544F7D"/>
    <w:rsid w:val="0054726A"/>
    <w:rsid w:val="00547EAE"/>
    <w:rsid w:val="00547F4F"/>
    <w:rsid w:val="005503A3"/>
    <w:rsid w:val="00552885"/>
    <w:rsid w:val="005604FF"/>
    <w:rsid w:val="00562F36"/>
    <w:rsid w:val="00564008"/>
    <w:rsid w:val="00565F16"/>
    <w:rsid w:val="00566DB4"/>
    <w:rsid w:val="00567180"/>
    <w:rsid w:val="00580996"/>
    <w:rsid w:val="00582743"/>
    <w:rsid w:val="005838F0"/>
    <w:rsid w:val="00583929"/>
    <w:rsid w:val="00591971"/>
    <w:rsid w:val="0059299D"/>
    <w:rsid w:val="00594188"/>
    <w:rsid w:val="00595828"/>
    <w:rsid w:val="00597A7C"/>
    <w:rsid w:val="005A2043"/>
    <w:rsid w:val="005A2882"/>
    <w:rsid w:val="005A42FF"/>
    <w:rsid w:val="005B32AB"/>
    <w:rsid w:val="005B3537"/>
    <w:rsid w:val="005B51DD"/>
    <w:rsid w:val="005B5C42"/>
    <w:rsid w:val="005C1C9A"/>
    <w:rsid w:val="005C3A1A"/>
    <w:rsid w:val="005C40E8"/>
    <w:rsid w:val="005C4DDD"/>
    <w:rsid w:val="005C6D9C"/>
    <w:rsid w:val="005C71CC"/>
    <w:rsid w:val="005C72E6"/>
    <w:rsid w:val="005E21A6"/>
    <w:rsid w:val="005E391E"/>
    <w:rsid w:val="005E72D0"/>
    <w:rsid w:val="005F015D"/>
    <w:rsid w:val="005F33F6"/>
    <w:rsid w:val="005F5E0E"/>
    <w:rsid w:val="005F7A57"/>
    <w:rsid w:val="00606EF1"/>
    <w:rsid w:val="00610F96"/>
    <w:rsid w:val="006117C5"/>
    <w:rsid w:val="00614761"/>
    <w:rsid w:val="00616A21"/>
    <w:rsid w:val="0061799A"/>
    <w:rsid w:val="0062186C"/>
    <w:rsid w:val="006268F8"/>
    <w:rsid w:val="006350F4"/>
    <w:rsid w:val="00636681"/>
    <w:rsid w:val="0063669C"/>
    <w:rsid w:val="00640315"/>
    <w:rsid w:val="00642B82"/>
    <w:rsid w:val="0064301C"/>
    <w:rsid w:val="00650FD9"/>
    <w:rsid w:val="00653487"/>
    <w:rsid w:val="0065455E"/>
    <w:rsid w:val="00657F2A"/>
    <w:rsid w:val="006631E7"/>
    <w:rsid w:val="0066520B"/>
    <w:rsid w:val="00666042"/>
    <w:rsid w:val="0066614E"/>
    <w:rsid w:val="00670353"/>
    <w:rsid w:val="00674A2B"/>
    <w:rsid w:val="00674A89"/>
    <w:rsid w:val="006804F1"/>
    <w:rsid w:val="00681F93"/>
    <w:rsid w:val="00683A9E"/>
    <w:rsid w:val="00683EF3"/>
    <w:rsid w:val="006840E6"/>
    <w:rsid w:val="00692426"/>
    <w:rsid w:val="00694AAF"/>
    <w:rsid w:val="006A0645"/>
    <w:rsid w:val="006A0DAF"/>
    <w:rsid w:val="006B1E33"/>
    <w:rsid w:val="006B659B"/>
    <w:rsid w:val="006B6CCA"/>
    <w:rsid w:val="006B7925"/>
    <w:rsid w:val="006C3730"/>
    <w:rsid w:val="006C37CF"/>
    <w:rsid w:val="006D4C74"/>
    <w:rsid w:val="006D7D9D"/>
    <w:rsid w:val="006E0122"/>
    <w:rsid w:val="006E1357"/>
    <w:rsid w:val="006E3AB9"/>
    <w:rsid w:val="006F4C74"/>
    <w:rsid w:val="006F5A4B"/>
    <w:rsid w:val="006F5E05"/>
    <w:rsid w:val="007034A6"/>
    <w:rsid w:val="0070396D"/>
    <w:rsid w:val="00703A45"/>
    <w:rsid w:val="00706137"/>
    <w:rsid w:val="00706E8A"/>
    <w:rsid w:val="007117DA"/>
    <w:rsid w:val="00720664"/>
    <w:rsid w:val="00720682"/>
    <w:rsid w:val="00722232"/>
    <w:rsid w:val="0072564E"/>
    <w:rsid w:val="007270A8"/>
    <w:rsid w:val="0072745D"/>
    <w:rsid w:val="00734631"/>
    <w:rsid w:val="0073465D"/>
    <w:rsid w:val="00734DFA"/>
    <w:rsid w:val="00735713"/>
    <w:rsid w:val="00736518"/>
    <w:rsid w:val="00737C94"/>
    <w:rsid w:val="00740E4F"/>
    <w:rsid w:val="007439EC"/>
    <w:rsid w:val="0074714F"/>
    <w:rsid w:val="00755995"/>
    <w:rsid w:val="007624FA"/>
    <w:rsid w:val="00765318"/>
    <w:rsid w:val="00765930"/>
    <w:rsid w:val="00766031"/>
    <w:rsid w:val="00766116"/>
    <w:rsid w:val="00766CF0"/>
    <w:rsid w:val="007674AD"/>
    <w:rsid w:val="007746B7"/>
    <w:rsid w:val="00774BAB"/>
    <w:rsid w:val="00777A68"/>
    <w:rsid w:val="00780605"/>
    <w:rsid w:val="00784FAF"/>
    <w:rsid w:val="007851AD"/>
    <w:rsid w:val="0079090B"/>
    <w:rsid w:val="0079662D"/>
    <w:rsid w:val="007A0836"/>
    <w:rsid w:val="007A28E5"/>
    <w:rsid w:val="007A5674"/>
    <w:rsid w:val="007B27D7"/>
    <w:rsid w:val="007C3603"/>
    <w:rsid w:val="007C3ECC"/>
    <w:rsid w:val="007C4243"/>
    <w:rsid w:val="007D043F"/>
    <w:rsid w:val="007D406F"/>
    <w:rsid w:val="007D6CA5"/>
    <w:rsid w:val="007E4304"/>
    <w:rsid w:val="007E4A1C"/>
    <w:rsid w:val="007E5423"/>
    <w:rsid w:val="007E614A"/>
    <w:rsid w:val="007E640C"/>
    <w:rsid w:val="007F0682"/>
    <w:rsid w:val="007F78FA"/>
    <w:rsid w:val="00807018"/>
    <w:rsid w:val="008136ED"/>
    <w:rsid w:val="00820BF4"/>
    <w:rsid w:val="00821715"/>
    <w:rsid w:val="00830857"/>
    <w:rsid w:val="00831941"/>
    <w:rsid w:val="00832067"/>
    <w:rsid w:val="008344A0"/>
    <w:rsid w:val="00835D7A"/>
    <w:rsid w:val="00843759"/>
    <w:rsid w:val="00843CCD"/>
    <w:rsid w:val="0084514F"/>
    <w:rsid w:val="00853B40"/>
    <w:rsid w:val="00855027"/>
    <w:rsid w:val="008560DC"/>
    <w:rsid w:val="00860D3D"/>
    <w:rsid w:val="00863B51"/>
    <w:rsid w:val="00864BA1"/>
    <w:rsid w:val="00866DE4"/>
    <w:rsid w:val="00875BB8"/>
    <w:rsid w:val="00880891"/>
    <w:rsid w:val="00880C14"/>
    <w:rsid w:val="008848EC"/>
    <w:rsid w:val="00887736"/>
    <w:rsid w:val="00892B75"/>
    <w:rsid w:val="008945AB"/>
    <w:rsid w:val="00897931"/>
    <w:rsid w:val="008A04D8"/>
    <w:rsid w:val="008A05B2"/>
    <w:rsid w:val="008A088D"/>
    <w:rsid w:val="008A0B56"/>
    <w:rsid w:val="008A3216"/>
    <w:rsid w:val="008A42A4"/>
    <w:rsid w:val="008A649A"/>
    <w:rsid w:val="008A6E1E"/>
    <w:rsid w:val="008B50F3"/>
    <w:rsid w:val="008B6CA5"/>
    <w:rsid w:val="008B74AF"/>
    <w:rsid w:val="008C32F9"/>
    <w:rsid w:val="008C3E01"/>
    <w:rsid w:val="008C4044"/>
    <w:rsid w:val="008C7089"/>
    <w:rsid w:val="008D3518"/>
    <w:rsid w:val="008E081E"/>
    <w:rsid w:val="008E2D8B"/>
    <w:rsid w:val="008E4E25"/>
    <w:rsid w:val="008E5771"/>
    <w:rsid w:val="008F2D8D"/>
    <w:rsid w:val="008F4A2C"/>
    <w:rsid w:val="008F6D9F"/>
    <w:rsid w:val="008F7BCE"/>
    <w:rsid w:val="00900C9A"/>
    <w:rsid w:val="00904BFB"/>
    <w:rsid w:val="00905061"/>
    <w:rsid w:val="00907DC8"/>
    <w:rsid w:val="009103E4"/>
    <w:rsid w:val="009152A1"/>
    <w:rsid w:val="0091548C"/>
    <w:rsid w:val="00915EBA"/>
    <w:rsid w:val="00916773"/>
    <w:rsid w:val="00922C9C"/>
    <w:rsid w:val="00924238"/>
    <w:rsid w:val="009254EC"/>
    <w:rsid w:val="00925C8E"/>
    <w:rsid w:val="00937186"/>
    <w:rsid w:val="00950E5C"/>
    <w:rsid w:val="0095359F"/>
    <w:rsid w:val="00957D42"/>
    <w:rsid w:val="00960121"/>
    <w:rsid w:val="00972287"/>
    <w:rsid w:val="00973592"/>
    <w:rsid w:val="00974F00"/>
    <w:rsid w:val="009802E9"/>
    <w:rsid w:val="00980B4F"/>
    <w:rsid w:val="0098107F"/>
    <w:rsid w:val="00982FC4"/>
    <w:rsid w:val="009858CE"/>
    <w:rsid w:val="009868B0"/>
    <w:rsid w:val="009873D9"/>
    <w:rsid w:val="009874D0"/>
    <w:rsid w:val="00991BB8"/>
    <w:rsid w:val="00993A89"/>
    <w:rsid w:val="00994FE2"/>
    <w:rsid w:val="009A0D14"/>
    <w:rsid w:val="009A3750"/>
    <w:rsid w:val="009B2EFB"/>
    <w:rsid w:val="009B6058"/>
    <w:rsid w:val="009C480E"/>
    <w:rsid w:val="009C4D2B"/>
    <w:rsid w:val="009C6F65"/>
    <w:rsid w:val="009D11E0"/>
    <w:rsid w:val="009D2462"/>
    <w:rsid w:val="009D35CE"/>
    <w:rsid w:val="009E029B"/>
    <w:rsid w:val="009E1AD8"/>
    <w:rsid w:val="009E5713"/>
    <w:rsid w:val="009E6D3B"/>
    <w:rsid w:val="009E7B6C"/>
    <w:rsid w:val="009E7C42"/>
    <w:rsid w:val="009F0F58"/>
    <w:rsid w:val="009F14CC"/>
    <w:rsid w:val="009F6973"/>
    <w:rsid w:val="009F6E9B"/>
    <w:rsid w:val="009F7294"/>
    <w:rsid w:val="00A02E50"/>
    <w:rsid w:val="00A07267"/>
    <w:rsid w:val="00A1007C"/>
    <w:rsid w:val="00A100B0"/>
    <w:rsid w:val="00A11FF7"/>
    <w:rsid w:val="00A1602E"/>
    <w:rsid w:val="00A16735"/>
    <w:rsid w:val="00A17E9E"/>
    <w:rsid w:val="00A2185C"/>
    <w:rsid w:val="00A24023"/>
    <w:rsid w:val="00A258BF"/>
    <w:rsid w:val="00A3316B"/>
    <w:rsid w:val="00A36A0B"/>
    <w:rsid w:val="00A40CFD"/>
    <w:rsid w:val="00A44608"/>
    <w:rsid w:val="00A47D83"/>
    <w:rsid w:val="00A510E8"/>
    <w:rsid w:val="00A54416"/>
    <w:rsid w:val="00A54DA5"/>
    <w:rsid w:val="00A56990"/>
    <w:rsid w:val="00A605D3"/>
    <w:rsid w:val="00A62669"/>
    <w:rsid w:val="00A653ED"/>
    <w:rsid w:val="00A66B3A"/>
    <w:rsid w:val="00A66E85"/>
    <w:rsid w:val="00A7403B"/>
    <w:rsid w:val="00A7479E"/>
    <w:rsid w:val="00A74B63"/>
    <w:rsid w:val="00A75AB0"/>
    <w:rsid w:val="00A77445"/>
    <w:rsid w:val="00A80C67"/>
    <w:rsid w:val="00A820E2"/>
    <w:rsid w:val="00A93DD2"/>
    <w:rsid w:val="00A940BA"/>
    <w:rsid w:val="00A96F04"/>
    <w:rsid w:val="00AA0FE1"/>
    <w:rsid w:val="00AA352D"/>
    <w:rsid w:val="00AA721F"/>
    <w:rsid w:val="00AB3147"/>
    <w:rsid w:val="00AB60F8"/>
    <w:rsid w:val="00AC16F7"/>
    <w:rsid w:val="00AC2232"/>
    <w:rsid w:val="00AC2246"/>
    <w:rsid w:val="00AC607D"/>
    <w:rsid w:val="00AD0885"/>
    <w:rsid w:val="00AD0C8B"/>
    <w:rsid w:val="00AD1AE8"/>
    <w:rsid w:val="00AD5AEE"/>
    <w:rsid w:val="00AD5C9D"/>
    <w:rsid w:val="00AD6467"/>
    <w:rsid w:val="00AE1362"/>
    <w:rsid w:val="00AE5B37"/>
    <w:rsid w:val="00AE73A6"/>
    <w:rsid w:val="00AF120B"/>
    <w:rsid w:val="00AF4C83"/>
    <w:rsid w:val="00B02BAB"/>
    <w:rsid w:val="00B02ED1"/>
    <w:rsid w:val="00B07E7F"/>
    <w:rsid w:val="00B15C71"/>
    <w:rsid w:val="00B16B4E"/>
    <w:rsid w:val="00B22BF6"/>
    <w:rsid w:val="00B26624"/>
    <w:rsid w:val="00B323D3"/>
    <w:rsid w:val="00B3308C"/>
    <w:rsid w:val="00B34CF0"/>
    <w:rsid w:val="00B34D29"/>
    <w:rsid w:val="00B36C9A"/>
    <w:rsid w:val="00B40A28"/>
    <w:rsid w:val="00B41CA0"/>
    <w:rsid w:val="00B41D3B"/>
    <w:rsid w:val="00B471E4"/>
    <w:rsid w:val="00B4756D"/>
    <w:rsid w:val="00B47DEB"/>
    <w:rsid w:val="00B500DD"/>
    <w:rsid w:val="00B5114D"/>
    <w:rsid w:val="00B520F0"/>
    <w:rsid w:val="00B525EC"/>
    <w:rsid w:val="00B570BC"/>
    <w:rsid w:val="00B61FEC"/>
    <w:rsid w:val="00B6492D"/>
    <w:rsid w:val="00B71C85"/>
    <w:rsid w:val="00B73396"/>
    <w:rsid w:val="00B80042"/>
    <w:rsid w:val="00B83648"/>
    <w:rsid w:val="00B9316B"/>
    <w:rsid w:val="00BA124C"/>
    <w:rsid w:val="00BA1869"/>
    <w:rsid w:val="00BA1954"/>
    <w:rsid w:val="00BA336E"/>
    <w:rsid w:val="00BA4A5D"/>
    <w:rsid w:val="00BA546C"/>
    <w:rsid w:val="00BA65D5"/>
    <w:rsid w:val="00BB0676"/>
    <w:rsid w:val="00BB1AF6"/>
    <w:rsid w:val="00BB2CC9"/>
    <w:rsid w:val="00BB2F48"/>
    <w:rsid w:val="00BB3B86"/>
    <w:rsid w:val="00BB4C7F"/>
    <w:rsid w:val="00BB5A8D"/>
    <w:rsid w:val="00BB76C7"/>
    <w:rsid w:val="00BC370E"/>
    <w:rsid w:val="00BC62ED"/>
    <w:rsid w:val="00BD22DF"/>
    <w:rsid w:val="00BD28EF"/>
    <w:rsid w:val="00BD2F3A"/>
    <w:rsid w:val="00BD3D29"/>
    <w:rsid w:val="00BD53C8"/>
    <w:rsid w:val="00BE11B8"/>
    <w:rsid w:val="00BE1DE0"/>
    <w:rsid w:val="00BE205A"/>
    <w:rsid w:val="00BE2A05"/>
    <w:rsid w:val="00BE2A2F"/>
    <w:rsid w:val="00BE6EB3"/>
    <w:rsid w:val="00BF06DF"/>
    <w:rsid w:val="00BF07DA"/>
    <w:rsid w:val="00BF4A6F"/>
    <w:rsid w:val="00C000D4"/>
    <w:rsid w:val="00C0146E"/>
    <w:rsid w:val="00C043B5"/>
    <w:rsid w:val="00C065C4"/>
    <w:rsid w:val="00C11B66"/>
    <w:rsid w:val="00C12A67"/>
    <w:rsid w:val="00C133CD"/>
    <w:rsid w:val="00C13420"/>
    <w:rsid w:val="00C13448"/>
    <w:rsid w:val="00C337EE"/>
    <w:rsid w:val="00C33F1F"/>
    <w:rsid w:val="00C3451E"/>
    <w:rsid w:val="00C34D2B"/>
    <w:rsid w:val="00C3523D"/>
    <w:rsid w:val="00C426D9"/>
    <w:rsid w:val="00C44723"/>
    <w:rsid w:val="00C44D09"/>
    <w:rsid w:val="00C47EC7"/>
    <w:rsid w:val="00C516A6"/>
    <w:rsid w:val="00C51797"/>
    <w:rsid w:val="00C52D17"/>
    <w:rsid w:val="00C53F92"/>
    <w:rsid w:val="00C6104F"/>
    <w:rsid w:val="00C640F1"/>
    <w:rsid w:val="00C67057"/>
    <w:rsid w:val="00C673C5"/>
    <w:rsid w:val="00C717B7"/>
    <w:rsid w:val="00C731ED"/>
    <w:rsid w:val="00C73D90"/>
    <w:rsid w:val="00C76288"/>
    <w:rsid w:val="00C77DBD"/>
    <w:rsid w:val="00C84D12"/>
    <w:rsid w:val="00C853D2"/>
    <w:rsid w:val="00C902C8"/>
    <w:rsid w:val="00C97FB0"/>
    <w:rsid w:val="00CA1658"/>
    <w:rsid w:val="00CA4B5A"/>
    <w:rsid w:val="00CA660D"/>
    <w:rsid w:val="00CA78DF"/>
    <w:rsid w:val="00CB2E4B"/>
    <w:rsid w:val="00CC023F"/>
    <w:rsid w:val="00CC2151"/>
    <w:rsid w:val="00CD3123"/>
    <w:rsid w:val="00CD5112"/>
    <w:rsid w:val="00CD688A"/>
    <w:rsid w:val="00CE1224"/>
    <w:rsid w:val="00CE7BE2"/>
    <w:rsid w:val="00CF0D50"/>
    <w:rsid w:val="00CF570F"/>
    <w:rsid w:val="00CF5AC6"/>
    <w:rsid w:val="00D00B28"/>
    <w:rsid w:val="00D01AFA"/>
    <w:rsid w:val="00D12199"/>
    <w:rsid w:val="00D1473F"/>
    <w:rsid w:val="00D21BBB"/>
    <w:rsid w:val="00D23E94"/>
    <w:rsid w:val="00D25DE9"/>
    <w:rsid w:val="00D260EF"/>
    <w:rsid w:val="00D31AC6"/>
    <w:rsid w:val="00D32901"/>
    <w:rsid w:val="00D32CC9"/>
    <w:rsid w:val="00D342CA"/>
    <w:rsid w:val="00D34C2E"/>
    <w:rsid w:val="00D4111C"/>
    <w:rsid w:val="00D41F9B"/>
    <w:rsid w:val="00D422CF"/>
    <w:rsid w:val="00D42C02"/>
    <w:rsid w:val="00D44373"/>
    <w:rsid w:val="00D46281"/>
    <w:rsid w:val="00D4683F"/>
    <w:rsid w:val="00D46B6C"/>
    <w:rsid w:val="00D502CE"/>
    <w:rsid w:val="00D50C6A"/>
    <w:rsid w:val="00D5117B"/>
    <w:rsid w:val="00D54462"/>
    <w:rsid w:val="00D560DB"/>
    <w:rsid w:val="00D638FA"/>
    <w:rsid w:val="00D67E0B"/>
    <w:rsid w:val="00D7112B"/>
    <w:rsid w:val="00D71468"/>
    <w:rsid w:val="00D72CBE"/>
    <w:rsid w:val="00D751AC"/>
    <w:rsid w:val="00D85455"/>
    <w:rsid w:val="00D8707F"/>
    <w:rsid w:val="00D87B52"/>
    <w:rsid w:val="00D87D0B"/>
    <w:rsid w:val="00DA253C"/>
    <w:rsid w:val="00DA4FE2"/>
    <w:rsid w:val="00DA544F"/>
    <w:rsid w:val="00DA71E1"/>
    <w:rsid w:val="00DB0AF0"/>
    <w:rsid w:val="00DB1181"/>
    <w:rsid w:val="00DB2700"/>
    <w:rsid w:val="00DB32D1"/>
    <w:rsid w:val="00DB3CA7"/>
    <w:rsid w:val="00DB7256"/>
    <w:rsid w:val="00DB773B"/>
    <w:rsid w:val="00DB7888"/>
    <w:rsid w:val="00DC5718"/>
    <w:rsid w:val="00DC59C2"/>
    <w:rsid w:val="00DC794E"/>
    <w:rsid w:val="00DD17EA"/>
    <w:rsid w:val="00DD4C0F"/>
    <w:rsid w:val="00DE0319"/>
    <w:rsid w:val="00DF0097"/>
    <w:rsid w:val="00DF033C"/>
    <w:rsid w:val="00DF1295"/>
    <w:rsid w:val="00DF4D5D"/>
    <w:rsid w:val="00DF55B9"/>
    <w:rsid w:val="00DF7759"/>
    <w:rsid w:val="00DF77D3"/>
    <w:rsid w:val="00E00CB8"/>
    <w:rsid w:val="00E0201F"/>
    <w:rsid w:val="00E02C6E"/>
    <w:rsid w:val="00E03229"/>
    <w:rsid w:val="00E105E4"/>
    <w:rsid w:val="00E11AD0"/>
    <w:rsid w:val="00E1208F"/>
    <w:rsid w:val="00E12AAD"/>
    <w:rsid w:val="00E150D0"/>
    <w:rsid w:val="00E22A4B"/>
    <w:rsid w:val="00E30B0F"/>
    <w:rsid w:val="00E375BB"/>
    <w:rsid w:val="00E405ED"/>
    <w:rsid w:val="00E43211"/>
    <w:rsid w:val="00E44504"/>
    <w:rsid w:val="00E44657"/>
    <w:rsid w:val="00E50C08"/>
    <w:rsid w:val="00E51254"/>
    <w:rsid w:val="00E61789"/>
    <w:rsid w:val="00E62E7B"/>
    <w:rsid w:val="00E66E83"/>
    <w:rsid w:val="00E70CB5"/>
    <w:rsid w:val="00E70FA5"/>
    <w:rsid w:val="00E738E2"/>
    <w:rsid w:val="00E7451E"/>
    <w:rsid w:val="00E76C07"/>
    <w:rsid w:val="00E84CC1"/>
    <w:rsid w:val="00E94CC3"/>
    <w:rsid w:val="00E95C40"/>
    <w:rsid w:val="00EA0EB1"/>
    <w:rsid w:val="00EA1F31"/>
    <w:rsid w:val="00EA3C17"/>
    <w:rsid w:val="00EA3C9D"/>
    <w:rsid w:val="00EA53F4"/>
    <w:rsid w:val="00EA7802"/>
    <w:rsid w:val="00EC1503"/>
    <w:rsid w:val="00EC55AB"/>
    <w:rsid w:val="00EC70CA"/>
    <w:rsid w:val="00ED1640"/>
    <w:rsid w:val="00ED2B69"/>
    <w:rsid w:val="00ED4B89"/>
    <w:rsid w:val="00ED4DEA"/>
    <w:rsid w:val="00EE027F"/>
    <w:rsid w:val="00EF43EA"/>
    <w:rsid w:val="00EF6456"/>
    <w:rsid w:val="00F0358A"/>
    <w:rsid w:val="00F04594"/>
    <w:rsid w:val="00F05348"/>
    <w:rsid w:val="00F12EF4"/>
    <w:rsid w:val="00F13A00"/>
    <w:rsid w:val="00F14D73"/>
    <w:rsid w:val="00F14E77"/>
    <w:rsid w:val="00F2263B"/>
    <w:rsid w:val="00F27C5E"/>
    <w:rsid w:val="00F3055B"/>
    <w:rsid w:val="00F32970"/>
    <w:rsid w:val="00F364FB"/>
    <w:rsid w:val="00F37C5E"/>
    <w:rsid w:val="00F41BF4"/>
    <w:rsid w:val="00F43F26"/>
    <w:rsid w:val="00F44113"/>
    <w:rsid w:val="00F463B1"/>
    <w:rsid w:val="00F5068C"/>
    <w:rsid w:val="00F519AD"/>
    <w:rsid w:val="00F520B0"/>
    <w:rsid w:val="00F52F0A"/>
    <w:rsid w:val="00F56605"/>
    <w:rsid w:val="00F63553"/>
    <w:rsid w:val="00F65B93"/>
    <w:rsid w:val="00F67E16"/>
    <w:rsid w:val="00F71372"/>
    <w:rsid w:val="00F7162C"/>
    <w:rsid w:val="00F71F2A"/>
    <w:rsid w:val="00F73601"/>
    <w:rsid w:val="00F7368D"/>
    <w:rsid w:val="00F744FA"/>
    <w:rsid w:val="00F764D2"/>
    <w:rsid w:val="00F82B33"/>
    <w:rsid w:val="00F90C0D"/>
    <w:rsid w:val="00F929A4"/>
    <w:rsid w:val="00F935AF"/>
    <w:rsid w:val="00F93CA9"/>
    <w:rsid w:val="00F96D56"/>
    <w:rsid w:val="00FA1211"/>
    <w:rsid w:val="00FA38E6"/>
    <w:rsid w:val="00FA6428"/>
    <w:rsid w:val="00FB629F"/>
    <w:rsid w:val="00FC05DD"/>
    <w:rsid w:val="00FC2336"/>
    <w:rsid w:val="00FD302C"/>
    <w:rsid w:val="00FD693F"/>
    <w:rsid w:val="00FE0F30"/>
    <w:rsid w:val="00FE29EA"/>
    <w:rsid w:val="00FE2EBE"/>
    <w:rsid w:val="00FE55D1"/>
    <w:rsid w:val="00FF0FCE"/>
    <w:rsid w:val="00FF1CC0"/>
    <w:rsid w:val="00FF1D43"/>
    <w:rsid w:val="00FF498B"/>
    <w:rsid w:val="00FF73C6"/>
    <w:rsid w:val="010958EF"/>
    <w:rsid w:val="01384926"/>
    <w:rsid w:val="02DA7FC0"/>
    <w:rsid w:val="02EE61CA"/>
    <w:rsid w:val="043420DB"/>
    <w:rsid w:val="04EB425E"/>
    <w:rsid w:val="052E0B0C"/>
    <w:rsid w:val="05E6753D"/>
    <w:rsid w:val="06CA747B"/>
    <w:rsid w:val="071B7C4F"/>
    <w:rsid w:val="0742212E"/>
    <w:rsid w:val="08971E05"/>
    <w:rsid w:val="092D3DBE"/>
    <w:rsid w:val="0A2C41F7"/>
    <w:rsid w:val="0AA678E9"/>
    <w:rsid w:val="0C9E4EED"/>
    <w:rsid w:val="0D6E5B6E"/>
    <w:rsid w:val="0DE5304F"/>
    <w:rsid w:val="0DEA08AC"/>
    <w:rsid w:val="0E724F09"/>
    <w:rsid w:val="0E9A0DD6"/>
    <w:rsid w:val="0FC7459D"/>
    <w:rsid w:val="0FEB4FBB"/>
    <w:rsid w:val="10F50615"/>
    <w:rsid w:val="116D4192"/>
    <w:rsid w:val="1182485D"/>
    <w:rsid w:val="12EE6279"/>
    <w:rsid w:val="133F5296"/>
    <w:rsid w:val="135A13A1"/>
    <w:rsid w:val="13820D0D"/>
    <w:rsid w:val="13C445CF"/>
    <w:rsid w:val="160C7DBB"/>
    <w:rsid w:val="164F5EEA"/>
    <w:rsid w:val="169470D1"/>
    <w:rsid w:val="16C01EC9"/>
    <w:rsid w:val="16C86B4B"/>
    <w:rsid w:val="16DC47AF"/>
    <w:rsid w:val="184557E8"/>
    <w:rsid w:val="184F5894"/>
    <w:rsid w:val="189778C5"/>
    <w:rsid w:val="18991277"/>
    <w:rsid w:val="196D5F68"/>
    <w:rsid w:val="198819F5"/>
    <w:rsid w:val="19A23B2B"/>
    <w:rsid w:val="1AB87E06"/>
    <w:rsid w:val="1AD9332D"/>
    <w:rsid w:val="1B512CC0"/>
    <w:rsid w:val="1DEA003A"/>
    <w:rsid w:val="1F626126"/>
    <w:rsid w:val="1FBC6C47"/>
    <w:rsid w:val="201E660E"/>
    <w:rsid w:val="202D4E13"/>
    <w:rsid w:val="206A3092"/>
    <w:rsid w:val="206B7350"/>
    <w:rsid w:val="20885704"/>
    <w:rsid w:val="2100229E"/>
    <w:rsid w:val="21D93A77"/>
    <w:rsid w:val="223F1A32"/>
    <w:rsid w:val="229B29EE"/>
    <w:rsid w:val="22C921F4"/>
    <w:rsid w:val="22CB680C"/>
    <w:rsid w:val="22DC0E58"/>
    <w:rsid w:val="244F3133"/>
    <w:rsid w:val="25516BD8"/>
    <w:rsid w:val="25CF139A"/>
    <w:rsid w:val="25FD109C"/>
    <w:rsid w:val="2761261C"/>
    <w:rsid w:val="27F6481A"/>
    <w:rsid w:val="283E15FF"/>
    <w:rsid w:val="286D2DDE"/>
    <w:rsid w:val="28F168E3"/>
    <w:rsid w:val="29A0004F"/>
    <w:rsid w:val="29C75358"/>
    <w:rsid w:val="29E62C25"/>
    <w:rsid w:val="29EA7748"/>
    <w:rsid w:val="2A5C30FA"/>
    <w:rsid w:val="2AB67101"/>
    <w:rsid w:val="2ABF14E2"/>
    <w:rsid w:val="2B6243C7"/>
    <w:rsid w:val="2C36707B"/>
    <w:rsid w:val="2C4D0636"/>
    <w:rsid w:val="2C6022DE"/>
    <w:rsid w:val="2D023258"/>
    <w:rsid w:val="2E312A5E"/>
    <w:rsid w:val="2F2F25A4"/>
    <w:rsid w:val="2F751AFF"/>
    <w:rsid w:val="30443B61"/>
    <w:rsid w:val="30FA227D"/>
    <w:rsid w:val="310E0201"/>
    <w:rsid w:val="319C0558"/>
    <w:rsid w:val="31A041CB"/>
    <w:rsid w:val="32326581"/>
    <w:rsid w:val="323F1386"/>
    <w:rsid w:val="32876819"/>
    <w:rsid w:val="329D3BA6"/>
    <w:rsid w:val="33EC6047"/>
    <w:rsid w:val="3420359A"/>
    <w:rsid w:val="34561F94"/>
    <w:rsid w:val="34DC774B"/>
    <w:rsid w:val="34F52832"/>
    <w:rsid w:val="36DD3AA2"/>
    <w:rsid w:val="370C2C67"/>
    <w:rsid w:val="37277764"/>
    <w:rsid w:val="37372636"/>
    <w:rsid w:val="3865554D"/>
    <w:rsid w:val="38701068"/>
    <w:rsid w:val="38BD12A7"/>
    <w:rsid w:val="3A6F4845"/>
    <w:rsid w:val="3B384E16"/>
    <w:rsid w:val="3B5E63AD"/>
    <w:rsid w:val="3CE57BEB"/>
    <w:rsid w:val="3E0F6B32"/>
    <w:rsid w:val="3E480D5C"/>
    <w:rsid w:val="3EB517A7"/>
    <w:rsid w:val="3EF26D4C"/>
    <w:rsid w:val="3F9608B3"/>
    <w:rsid w:val="3FD82B23"/>
    <w:rsid w:val="408C68A0"/>
    <w:rsid w:val="40B0108F"/>
    <w:rsid w:val="41211DB1"/>
    <w:rsid w:val="41A74CF5"/>
    <w:rsid w:val="435D6589"/>
    <w:rsid w:val="43605504"/>
    <w:rsid w:val="437F67B6"/>
    <w:rsid w:val="43801FD2"/>
    <w:rsid w:val="442F4803"/>
    <w:rsid w:val="445C3C91"/>
    <w:rsid w:val="44F62AD1"/>
    <w:rsid w:val="46095861"/>
    <w:rsid w:val="46166C70"/>
    <w:rsid w:val="47C7489C"/>
    <w:rsid w:val="47DF217A"/>
    <w:rsid w:val="480B5592"/>
    <w:rsid w:val="4BB64B03"/>
    <w:rsid w:val="4BE84DDD"/>
    <w:rsid w:val="4C567EE1"/>
    <w:rsid w:val="4C590880"/>
    <w:rsid w:val="4CD72B4C"/>
    <w:rsid w:val="4CE5127B"/>
    <w:rsid w:val="4CEC10F7"/>
    <w:rsid w:val="4EB13895"/>
    <w:rsid w:val="4F041F1A"/>
    <w:rsid w:val="4FFD757D"/>
    <w:rsid w:val="50A704DC"/>
    <w:rsid w:val="512A6E8E"/>
    <w:rsid w:val="52C50D0C"/>
    <w:rsid w:val="52C74982"/>
    <w:rsid w:val="53A37068"/>
    <w:rsid w:val="54A5492C"/>
    <w:rsid w:val="557A14E3"/>
    <w:rsid w:val="55822C05"/>
    <w:rsid w:val="55E64FAC"/>
    <w:rsid w:val="55F46E3A"/>
    <w:rsid w:val="56912E03"/>
    <w:rsid w:val="57EE4799"/>
    <w:rsid w:val="586E2A14"/>
    <w:rsid w:val="591110CC"/>
    <w:rsid w:val="59F215E0"/>
    <w:rsid w:val="5AD57007"/>
    <w:rsid w:val="5B292C72"/>
    <w:rsid w:val="5B9B49AE"/>
    <w:rsid w:val="5C015892"/>
    <w:rsid w:val="5C5A1BF0"/>
    <w:rsid w:val="5C862798"/>
    <w:rsid w:val="5C9A3793"/>
    <w:rsid w:val="5E554B15"/>
    <w:rsid w:val="60342A2D"/>
    <w:rsid w:val="60A16E63"/>
    <w:rsid w:val="61C15E37"/>
    <w:rsid w:val="61DB6719"/>
    <w:rsid w:val="630D64F9"/>
    <w:rsid w:val="63271B7B"/>
    <w:rsid w:val="63CC69BD"/>
    <w:rsid w:val="64332A39"/>
    <w:rsid w:val="64A94A95"/>
    <w:rsid w:val="65017DD1"/>
    <w:rsid w:val="65D23A7E"/>
    <w:rsid w:val="6620260D"/>
    <w:rsid w:val="664B234B"/>
    <w:rsid w:val="68A60B22"/>
    <w:rsid w:val="69431D51"/>
    <w:rsid w:val="6A2573FB"/>
    <w:rsid w:val="6AB9018B"/>
    <w:rsid w:val="6C7A6E16"/>
    <w:rsid w:val="6CC33C34"/>
    <w:rsid w:val="6DC864D4"/>
    <w:rsid w:val="6EDC438D"/>
    <w:rsid w:val="6F1E3909"/>
    <w:rsid w:val="6F8255E7"/>
    <w:rsid w:val="6FF47BB5"/>
    <w:rsid w:val="706A5BBE"/>
    <w:rsid w:val="70B97539"/>
    <w:rsid w:val="70C81988"/>
    <w:rsid w:val="723A48A3"/>
    <w:rsid w:val="7290304C"/>
    <w:rsid w:val="73F12942"/>
    <w:rsid w:val="742967AD"/>
    <w:rsid w:val="74596720"/>
    <w:rsid w:val="7477250C"/>
    <w:rsid w:val="74E0271C"/>
    <w:rsid w:val="7510603F"/>
    <w:rsid w:val="75484B78"/>
    <w:rsid w:val="761B6139"/>
    <w:rsid w:val="7714194E"/>
    <w:rsid w:val="77A0342C"/>
    <w:rsid w:val="78B40A16"/>
    <w:rsid w:val="78BB4119"/>
    <w:rsid w:val="79397F77"/>
    <w:rsid w:val="7A0E6D46"/>
    <w:rsid w:val="7A6343D9"/>
    <w:rsid w:val="7A707019"/>
    <w:rsid w:val="7B943D32"/>
    <w:rsid w:val="7B984501"/>
    <w:rsid w:val="7BB417BC"/>
    <w:rsid w:val="7C573A8E"/>
    <w:rsid w:val="7CCB173A"/>
    <w:rsid w:val="7D3F3089"/>
    <w:rsid w:val="7D6206E5"/>
    <w:rsid w:val="7E1B6BBF"/>
    <w:rsid w:val="7E5F7669"/>
    <w:rsid w:val="7F570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5BA7"/>
  <w15:docId w15:val="{B3CB04B2-4DCF-49ED-A16A-2EE13B06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CharCharChar">
    <w:name w:val="第四层 （一） Char Char Char"/>
    <w:link w:val="CharChar"/>
    <w:qFormat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CharChar">
    <w:name w:val="第四层 （一） Char Char"/>
    <w:link w:val="CharCharChar"/>
    <w:qFormat/>
    <w:pPr>
      <w:spacing w:before="120" w:line="360" w:lineRule="auto"/>
    </w:pPr>
    <w:rPr>
      <w:b/>
      <w:bCs/>
      <w:kern w:val="2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character" w:customStyle="1" w:styleId="markedcontent">
    <w:name w:val="markedcontent"/>
    <w:basedOn w:val="a0"/>
    <w:qFormat/>
  </w:style>
  <w:style w:type="character" w:customStyle="1" w:styleId="highlight">
    <w:name w:val="highlight"/>
    <w:basedOn w:val="a0"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000000"/>
      <w:kern w:val="2"/>
      <w:sz w:val="32"/>
      <w:szCs w:val="32"/>
    </w:rPr>
  </w:style>
  <w:style w:type="character" w:customStyle="1" w:styleId="ch192">
    <w:name w:val="ch192"/>
    <w:basedOn w:val="a0"/>
    <w:qFormat/>
  </w:style>
  <w:style w:type="paragraph" w:customStyle="1" w:styleId="af3">
    <w:name w:val="问题小标题"/>
    <w:basedOn w:val="2"/>
    <w:qFormat/>
    <w:rPr>
      <w:rFonts w:ascii="宋体" w:eastAsia="宋体" w:hAnsi="宋体"/>
      <w:color w:val="000000" w:themeColor="text1"/>
      <w:sz w:val="24"/>
      <w:szCs w:val="24"/>
      <w:shd w:val="clear" w:color="auto" w:fill="FFFFFF"/>
    </w:rPr>
  </w:style>
  <w:style w:type="paragraph" w:customStyle="1" w:styleId="10">
    <w:name w:val="样式1"/>
    <w:basedOn w:val="af3"/>
    <w:qFormat/>
  </w:style>
  <w:style w:type="paragraph" w:customStyle="1" w:styleId="af4">
    <w:name w:val="问题回复"/>
    <w:basedOn w:val="a"/>
    <w:qFormat/>
    <w:pPr>
      <w:spacing w:after="0" w:line="288" w:lineRule="auto"/>
      <w:ind w:firstLineChars="200" w:firstLine="200"/>
      <w:jc w:val="both"/>
    </w:pPr>
    <w:rPr>
      <w:rFonts w:ascii="宋体" w:eastAsia="宋体" w:hAnsi="宋体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30D4-3B8E-4733-86A0-202F2BDE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707</Words>
  <Characters>4034</Characters>
  <Application>Microsoft Office Word</Application>
  <DocSecurity>0</DocSecurity>
  <Lines>33</Lines>
  <Paragraphs>9</Paragraphs>
  <ScaleCrop>false</ScaleCrop>
  <Company>QN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yangdingyun</cp:lastModifiedBy>
  <cp:revision>33</cp:revision>
  <dcterms:created xsi:type="dcterms:W3CDTF">2025-04-29T09:18:00Z</dcterms:created>
  <dcterms:modified xsi:type="dcterms:W3CDTF">2025-09-02T08:58:00Z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C365BDF891C141FB972C227309B24B4C</vt:lpwstr>
  </property>
  <property fmtid="{D5CDD505-2E9C-101B-9397-08002B2CF9AE}" pid="4" name="KSOTemplateDocerSaveRecord">
    <vt:lpwstr>eyJoZGlkIjoiMTUwN2JlZWQ5OGI4Yjc2YTMxOGZiNTM1Y2Y0ZTVhMDQiLCJ1c2VySWQiOiIxNjExNTgwOTIyIn0=</vt:lpwstr>
  </property>
</Properties>
</file>