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79F62">
      <w:pPr>
        <w:keepNext/>
        <w:keepLines/>
        <w:pageBreakBefore w:val="0"/>
        <w:widowControl w:val="0"/>
        <w:kinsoku/>
        <w:wordWrap/>
        <w:overflowPunct/>
        <w:topLinePunct w:val="0"/>
        <w:autoSpaceDE/>
        <w:autoSpaceDN/>
        <w:bidi w:val="0"/>
        <w:adjustRightInd/>
        <w:snapToGrid/>
        <w:spacing w:after="156" w:afterLines="50" w:line="360" w:lineRule="auto"/>
        <w:jc w:val="center"/>
        <w:textAlignment w:val="auto"/>
        <w:outlineLvl w:val="1"/>
        <w:rPr>
          <w:rFonts w:hint="eastAsia" w:ascii="宋体" w:hAnsi="宋体" w:eastAsia="宋体" w:cs="宋体"/>
          <w:b/>
          <w:bCs/>
          <w:sz w:val="36"/>
          <w:szCs w:val="36"/>
        </w:rPr>
      </w:pPr>
      <w:r>
        <w:rPr>
          <w:rFonts w:hint="eastAsia" w:ascii="宋体" w:hAnsi="宋体" w:eastAsia="宋体" w:cs="宋体"/>
          <w:b/>
          <w:bCs/>
          <w:sz w:val="36"/>
          <w:szCs w:val="36"/>
        </w:rPr>
        <w:t>昆山东威科技股份有限公司</w:t>
      </w:r>
    </w:p>
    <w:p w14:paraId="72AA7268">
      <w:pPr>
        <w:keepNext/>
        <w:keepLines/>
        <w:spacing w:before="156" w:beforeLines="50" w:after="156" w:afterLines="50" w:line="360" w:lineRule="auto"/>
        <w:jc w:val="center"/>
        <w:outlineLvl w:val="1"/>
        <w:rPr>
          <w:rFonts w:hint="eastAsia" w:ascii="宋体" w:hAnsi="宋体" w:eastAsia="宋体" w:cs="宋体"/>
          <w:b/>
          <w:bCs/>
          <w:sz w:val="36"/>
          <w:szCs w:val="36"/>
          <w:lang w:val="en-US" w:eastAsia="zh-CN"/>
        </w:rPr>
      </w:pPr>
      <w:r>
        <w:rPr>
          <w:rFonts w:hint="eastAsia" w:ascii="宋体" w:hAnsi="宋体" w:eastAsia="宋体" w:cs="宋体"/>
          <w:b/>
          <w:bCs/>
          <w:sz w:val="36"/>
          <w:szCs w:val="36"/>
        </w:rPr>
        <w:t>投资者关系活动记录表</w:t>
      </w:r>
    </w:p>
    <w:tbl>
      <w:tblPr>
        <w:tblStyle w:val="7"/>
        <w:tblW w:w="897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6212"/>
      </w:tblGrid>
      <w:tr w14:paraId="428A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529E7F2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投资者关系活动类别</w:t>
            </w:r>
          </w:p>
          <w:p w14:paraId="009E4E7F">
            <w:pPr>
              <w:spacing w:line="360" w:lineRule="auto"/>
              <w:rPr>
                <w:rFonts w:hint="eastAsia" w:ascii="宋体" w:hAnsi="宋体" w:eastAsia="宋体" w:cs="宋体"/>
                <w:b/>
                <w:bCs/>
                <w:iCs/>
                <w:sz w:val="24"/>
                <w:szCs w:val="24"/>
              </w:rPr>
            </w:pPr>
          </w:p>
        </w:tc>
        <w:tc>
          <w:tcPr>
            <w:tcW w:w="6212" w:type="dxa"/>
            <w:shd w:val="clear" w:color="auto" w:fill="auto"/>
          </w:tcPr>
          <w:p w14:paraId="1C2981D3">
            <w:pPr>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52"/>
            </w:r>
            <w:r>
              <w:rPr>
                <w:rFonts w:hint="eastAsia" w:ascii="宋体" w:hAnsi="宋体" w:eastAsia="宋体" w:cs="宋体"/>
                <w:sz w:val="24"/>
                <w:szCs w:val="24"/>
              </w:rPr>
              <w:t xml:space="preserve">特定对象调研        </w:t>
            </w:r>
            <w:r>
              <w:rPr>
                <w:rFonts w:hint="eastAsia" w:ascii="宋体" w:hAnsi="宋体" w:eastAsia="宋体" w:cs="宋体"/>
                <w:bCs/>
                <w:iCs/>
                <w:sz w:val="24"/>
                <w:szCs w:val="24"/>
              </w:rPr>
              <w:t>□</w:t>
            </w:r>
            <w:r>
              <w:rPr>
                <w:rFonts w:hint="eastAsia" w:ascii="宋体" w:hAnsi="宋体" w:eastAsia="宋体" w:cs="宋体"/>
                <w:sz w:val="24"/>
                <w:szCs w:val="24"/>
              </w:rPr>
              <w:t>分析师会议</w:t>
            </w:r>
          </w:p>
          <w:p w14:paraId="2CFC6419">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 xml:space="preserve">媒体采访            </w:t>
            </w:r>
            <w:r>
              <w:rPr>
                <w:rFonts w:hint="eastAsia" w:ascii="宋体" w:hAnsi="宋体" w:eastAsia="宋体" w:cs="宋体"/>
                <w:bCs/>
                <w:iCs/>
                <w:sz w:val="24"/>
                <w:szCs w:val="24"/>
              </w:rPr>
              <w:sym w:font="Wingdings 2" w:char="00A3"/>
            </w:r>
            <w:r>
              <w:rPr>
                <w:rFonts w:hint="eastAsia" w:ascii="宋体" w:hAnsi="宋体" w:eastAsia="宋体" w:cs="宋体"/>
                <w:sz w:val="24"/>
                <w:szCs w:val="24"/>
              </w:rPr>
              <w:t>业绩说明会</w:t>
            </w:r>
          </w:p>
          <w:p w14:paraId="4B9A7FA1">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w:t>
            </w:r>
            <w:r>
              <w:rPr>
                <w:rFonts w:hint="eastAsia" w:ascii="宋体" w:hAnsi="宋体" w:eastAsia="宋体" w:cs="宋体"/>
                <w:sz w:val="24"/>
                <w:szCs w:val="24"/>
              </w:rPr>
              <w:t xml:space="preserve">新闻发布会          </w:t>
            </w:r>
            <w:r>
              <w:rPr>
                <w:rFonts w:hint="eastAsia" w:ascii="宋体" w:hAnsi="宋体" w:eastAsia="宋体" w:cs="宋体"/>
                <w:bCs/>
                <w:iCs/>
                <w:sz w:val="24"/>
                <w:szCs w:val="24"/>
              </w:rPr>
              <w:sym w:font="Wingdings 2" w:char="00A3"/>
            </w:r>
            <w:r>
              <w:rPr>
                <w:rFonts w:hint="eastAsia" w:ascii="宋体" w:hAnsi="宋体" w:eastAsia="宋体" w:cs="宋体"/>
                <w:sz w:val="24"/>
                <w:szCs w:val="24"/>
              </w:rPr>
              <w:t>路演活动</w:t>
            </w:r>
          </w:p>
          <w:p w14:paraId="3AD65DC4">
            <w:pPr>
              <w:tabs>
                <w:tab w:val="left" w:pos="2690"/>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color w:val="000000"/>
                <w:sz w:val="24"/>
                <w:szCs w:val="24"/>
              </w:rPr>
              <w:sym w:font="Wingdings 2" w:char="00A3"/>
            </w:r>
            <w:r>
              <w:rPr>
                <w:rFonts w:hint="eastAsia" w:ascii="宋体" w:hAnsi="宋体" w:eastAsia="宋体" w:cs="宋体"/>
                <w:sz w:val="24"/>
                <w:szCs w:val="24"/>
              </w:rPr>
              <w:t xml:space="preserve">现场调研            </w:t>
            </w:r>
            <w:r>
              <w:rPr>
                <w:rFonts w:hint="eastAsia" w:ascii="宋体" w:hAnsi="宋体" w:eastAsia="宋体" w:cs="宋体"/>
                <w:bCs/>
                <w:iCs/>
                <w:sz w:val="24"/>
                <w:szCs w:val="24"/>
              </w:rPr>
              <w:sym w:font="Wingdings 2" w:char="0052"/>
            </w:r>
            <w:r>
              <w:rPr>
                <w:rFonts w:hint="eastAsia" w:ascii="宋体" w:hAnsi="宋体" w:eastAsia="宋体" w:cs="宋体"/>
                <w:sz w:val="24"/>
                <w:szCs w:val="24"/>
              </w:rPr>
              <w:t>电话会议</w:t>
            </w:r>
          </w:p>
          <w:p w14:paraId="515D4BDD">
            <w:pPr>
              <w:tabs>
                <w:tab w:val="center" w:pos="3199"/>
              </w:tabs>
              <w:spacing w:line="360" w:lineRule="auto"/>
              <w:rPr>
                <w:rFonts w:hint="eastAsia" w:ascii="宋体" w:hAnsi="宋体" w:eastAsia="宋体" w:cs="宋体"/>
                <w:bCs/>
                <w:iCs/>
                <w:sz w:val="24"/>
                <w:szCs w:val="24"/>
              </w:rPr>
            </w:pPr>
            <w:r>
              <w:rPr>
                <w:rFonts w:hint="eastAsia" w:ascii="宋体" w:hAnsi="宋体" w:eastAsia="宋体" w:cs="宋体"/>
                <w:bCs/>
                <w:iCs/>
                <w:sz w:val="24"/>
                <w:szCs w:val="24"/>
              </w:rPr>
              <w:sym w:font="Wingdings 2" w:char="00A3"/>
            </w:r>
            <w:r>
              <w:rPr>
                <w:rFonts w:hint="eastAsia" w:ascii="宋体" w:hAnsi="宋体" w:eastAsia="宋体" w:cs="宋体"/>
                <w:sz w:val="24"/>
                <w:szCs w:val="24"/>
              </w:rPr>
              <w:t>其他</w:t>
            </w:r>
          </w:p>
        </w:tc>
      </w:tr>
      <w:tr w14:paraId="665A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1683DAF0">
            <w:pPr>
              <w:widowControl/>
              <w:spacing w:line="360" w:lineRule="auto"/>
              <w:rPr>
                <w:rFonts w:hint="eastAsia" w:ascii="宋体" w:hAnsi="宋体" w:eastAsia="宋体" w:cs="宋体"/>
                <w:sz w:val="24"/>
                <w:szCs w:val="24"/>
              </w:rPr>
            </w:pPr>
            <w:r>
              <w:rPr>
                <w:rFonts w:hint="eastAsia" w:ascii="宋体" w:hAnsi="宋体" w:eastAsia="宋体" w:cs="宋体"/>
                <w:b/>
                <w:bCs/>
                <w:iCs/>
                <w:sz w:val="24"/>
                <w:szCs w:val="24"/>
              </w:rPr>
              <w:t>参与单位及人员名称</w:t>
            </w:r>
          </w:p>
        </w:tc>
        <w:tc>
          <w:tcPr>
            <w:tcW w:w="6212" w:type="dxa"/>
            <w:shd w:val="clear" w:color="auto" w:fill="auto"/>
          </w:tcPr>
          <w:p w14:paraId="60A375D7">
            <w:pPr>
              <w:numPr>
                <w:ilvl w:val="0"/>
                <w:numId w:val="1"/>
              </w:numPr>
              <w:spacing w:line="240" w:lineRule="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百嘉基金 黄艺明、合正普惠私募基金 许彤、北京泓澄投资 陈骞、博道基金 刘俊、博远基金 冯妙婷、成都火星资产 鲁斌、东兴基金 周昊、方正机械 张其超、光大保德信 李心宇、广发机械 范方舟 黄晓萍、广发基金 李雅哲、国海证券 杜先康、国盛机械 彭元立、国寿安保基金 李丹 张帆、国泰海通 赵玥炜、国投证券 董雯丹、国新投资 李娜、国信机械 年亚颂、海南香元私募基金 何媚、海通证券 黄晓明、合众资产 时应超、鸿运私募 朱伟华、华安机械 徒月婷、华宝基金 丁靖斐、华福机械 卢大炜、华西机械 王好尚、建信基金 林亮宏 许杰、劲邦资本 李文欢、乐世资本 舒畅然、联君资产 程建华、民生机械 匡人雷、民生加银基金 郑爱刚、 南方基金 吴超、泉果基金 张希坤、山证证券 姚健、上海晨燕资产 滕兆杰、上海丹羿投资 陈宇、上海德汇 丁一宸、上海德邻众福投资 张鑫辉、上海顶天投资 李天城、 上海慎知资产 赵宇达、上银基金 高茜、申万宏源 刘建伟、申万机械 苏萌、山合投资 王兆成、天弘基金 陈祥、西部机械 牛先智、新华基金 刘海彬  赵强、信达机械 王锐、循远资产 田超平、银河机械 王霞举、誉辉资本 郝彪、长城基金 储雯玉、招商证券 陈之馨 郭倩倩、浙商大制 张菁、真行資本 杨偲、中船重工 赵胤钘、中国民生 杨桐、中国人寿资产 李珊珊、中加基金 苗超、中融国际 赵晓媛、中信建投 乔磊、中信证券 张崇扬、中银机械 曹鸿生、Xinyun Capital 林斌</w:t>
            </w:r>
          </w:p>
          <w:p w14:paraId="4614ECF9">
            <w:pPr>
              <w:numPr>
                <w:ilvl w:val="0"/>
                <w:numId w:val="1"/>
              </w:numPr>
              <w:spacing w:line="240" w:lineRule="auto"/>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华创证券 张一弛</w:t>
            </w:r>
            <w:r>
              <w:rPr>
                <w:rFonts w:hint="eastAsia" w:ascii="宋体" w:hAnsi="宋体" w:cs="宋体"/>
                <w:sz w:val="24"/>
                <w:szCs w:val="24"/>
                <w:highlight w:val="none"/>
                <w:lang w:val="en-US" w:eastAsia="zh-CN"/>
              </w:rPr>
              <w:t>、中信</w:t>
            </w:r>
            <w:r>
              <w:rPr>
                <w:rFonts w:hint="default" w:ascii="宋体" w:hAnsi="宋体" w:cs="宋体"/>
                <w:sz w:val="24"/>
                <w:szCs w:val="24"/>
                <w:highlight w:val="none"/>
                <w:lang w:val="en-US" w:eastAsia="zh-CN"/>
              </w:rPr>
              <w:t>建投 许光坦</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中金公司 丁健 鲁烁</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国金证券 陆文杰</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长江证券 屈奇 王晓振</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浙商证券 汪成</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西部证券 郭义俊</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摩根基金 徐凡</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悦溪基金 任云鹤 陈国栋</w:t>
            </w:r>
          </w:p>
          <w:p w14:paraId="4C25F6EC">
            <w:pPr>
              <w:numPr>
                <w:ilvl w:val="0"/>
                <w:numId w:val="1"/>
              </w:numPr>
              <w:spacing w:line="24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平安资管 史俊奇、大成基金 杜聪、博时基金 张健</w:t>
            </w:r>
          </w:p>
        </w:tc>
      </w:tr>
      <w:tr w14:paraId="23AE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2A928DE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调研时间</w:t>
            </w:r>
          </w:p>
        </w:tc>
        <w:tc>
          <w:tcPr>
            <w:tcW w:w="6212" w:type="dxa"/>
            <w:shd w:val="clear" w:color="auto" w:fill="auto"/>
          </w:tcPr>
          <w:p w14:paraId="1BF59673">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2025年9月1日-2025年9月2日</w:t>
            </w:r>
          </w:p>
        </w:tc>
      </w:tr>
      <w:tr w14:paraId="4327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tcPr>
          <w:p w14:paraId="6788FDA2">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会议地点</w:t>
            </w:r>
          </w:p>
        </w:tc>
        <w:tc>
          <w:tcPr>
            <w:tcW w:w="6212" w:type="dxa"/>
            <w:shd w:val="clear" w:color="auto" w:fill="auto"/>
          </w:tcPr>
          <w:p w14:paraId="2617E736">
            <w:pPr>
              <w:spacing w:line="360" w:lineRule="auto"/>
              <w:rPr>
                <w:rFonts w:hint="default" w:ascii="宋体" w:hAnsi="宋体" w:eastAsia="宋体" w:cs="宋体"/>
                <w:bCs/>
                <w:iCs/>
                <w:sz w:val="24"/>
                <w:szCs w:val="24"/>
                <w:lang w:val="en-US" w:eastAsia="zh-CN"/>
              </w:rPr>
            </w:pPr>
            <w:r>
              <w:rPr>
                <w:rFonts w:hint="eastAsia" w:ascii="宋体" w:hAnsi="宋体" w:cs="宋体"/>
                <w:bCs/>
                <w:iCs/>
                <w:sz w:val="24"/>
                <w:szCs w:val="24"/>
                <w:lang w:val="en-US" w:eastAsia="zh-CN"/>
              </w:rPr>
              <w:t>昆山公司会议室</w:t>
            </w:r>
          </w:p>
        </w:tc>
      </w:tr>
      <w:tr w14:paraId="3536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2" w:type="dxa"/>
            <w:shd w:val="clear" w:color="auto" w:fill="auto"/>
          </w:tcPr>
          <w:p w14:paraId="179EF880">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上市公司接待人员姓名</w:t>
            </w:r>
          </w:p>
        </w:tc>
        <w:tc>
          <w:tcPr>
            <w:tcW w:w="6212" w:type="dxa"/>
            <w:shd w:val="clear" w:color="auto" w:fill="auto"/>
          </w:tcPr>
          <w:p w14:paraId="62DB2AB3">
            <w:pPr>
              <w:spacing w:line="360" w:lineRule="auto"/>
              <w:rPr>
                <w:rFonts w:hint="default" w:ascii="宋体" w:hAnsi="宋体" w:eastAsia="宋体" w:cs="宋体"/>
                <w:bCs/>
                <w:iCs/>
                <w:sz w:val="24"/>
                <w:szCs w:val="24"/>
                <w:highlight w:val="none"/>
                <w:lang w:val="en-US" w:eastAsia="zh-CN"/>
              </w:rPr>
            </w:pPr>
            <w:r>
              <w:rPr>
                <w:rFonts w:hint="eastAsia" w:ascii="宋体" w:hAnsi="宋体" w:cs="宋体"/>
                <w:bCs/>
                <w:iCs/>
                <w:sz w:val="24"/>
                <w:szCs w:val="24"/>
                <w:highlight w:val="none"/>
                <w:lang w:val="en-US" w:eastAsia="zh-CN"/>
              </w:rPr>
              <w:t>董事长、总经理：刘建波（第一场）</w:t>
            </w:r>
          </w:p>
          <w:p w14:paraId="0F050D67">
            <w:pPr>
              <w:spacing w:line="360" w:lineRule="auto"/>
              <w:rPr>
                <w:rFonts w:hint="eastAsia" w:ascii="宋体" w:hAnsi="宋体" w:eastAsia="宋体" w:cs="宋体"/>
                <w:bCs/>
                <w:iCs/>
                <w:sz w:val="24"/>
                <w:szCs w:val="24"/>
                <w:highlight w:val="none"/>
              </w:rPr>
            </w:pPr>
            <w:r>
              <w:rPr>
                <w:rFonts w:hint="eastAsia" w:ascii="宋体" w:hAnsi="宋体" w:cs="宋体"/>
                <w:bCs/>
                <w:iCs/>
                <w:sz w:val="24"/>
                <w:szCs w:val="24"/>
                <w:highlight w:val="none"/>
                <w:lang w:val="en-US" w:eastAsia="zh-CN"/>
              </w:rPr>
              <w:t>新能源事业部总经理：张振（第一、二场）</w:t>
            </w:r>
          </w:p>
          <w:p w14:paraId="2E8B20F1">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240" w:lineRule="auto"/>
              <w:ind w:left="0" w:leftChars="0" w:firstLine="0" w:firstLineChars="0"/>
              <w:jc w:val="both"/>
              <w:textAlignment w:val="auto"/>
              <w:rPr>
                <w:rFonts w:hint="default" w:ascii="宋体" w:hAnsi="宋体" w:eastAsia="宋体" w:cs="宋体"/>
                <w:bCs/>
                <w:iCs/>
                <w:sz w:val="24"/>
                <w:szCs w:val="24"/>
                <w:highlight w:val="none"/>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董事会秘书：徐佩佩（第一、二、三</w:t>
            </w:r>
            <w:bookmarkStart w:id="0" w:name="_GoBack"/>
            <w:bookmarkEnd w:id="0"/>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场）</w:t>
            </w:r>
          </w:p>
        </w:tc>
      </w:tr>
      <w:tr w14:paraId="3E31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762" w:type="dxa"/>
            <w:shd w:val="clear" w:color="auto" w:fill="auto"/>
            <w:vAlign w:val="center"/>
          </w:tcPr>
          <w:p w14:paraId="52A7A6F4">
            <w:pPr>
              <w:spacing w:line="360" w:lineRule="auto"/>
              <w:rPr>
                <w:rFonts w:hint="eastAsia" w:asciiTheme="minorEastAsia" w:hAnsiTheme="minorEastAsia" w:eastAsiaTheme="minorEastAsia" w:cstheme="minorEastAsia"/>
                <w:b/>
                <w:bCs/>
                <w:iCs/>
                <w:sz w:val="24"/>
                <w:szCs w:val="24"/>
              </w:rPr>
            </w:pPr>
            <w:r>
              <w:rPr>
                <w:rFonts w:hint="eastAsia" w:asciiTheme="minorEastAsia" w:hAnsiTheme="minorEastAsia" w:eastAsiaTheme="minorEastAsia" w:cstheme="minorEastAsia"/>
                <w:b/>
                <w:sz w:val="24"/>
                <w:szCs w:val="24"/>
              </w:rPr>
              <w:t>投资者关系活动内容记录</w:t>
            </w:r>
          </w:p>
        </w:tc>
        <w:tc>
          <w:tcPr>
            <w:tcW w:w="6212" w:type="dxa"/>
            <w:shd w:val="clear" w:color="auto" w:fill="auto"/>
          </w:tcPr>
          <w:p w14:paraId="22FFABCF">
            <w:pPr>
              <w:widowControl/>
              <w:numPr>
                <w:ilvl w:val="0"/>
                <w:numId w:val="0"/>
              </w:numPr>
              <w:autoSpaceDE w:val="0"/>
              <w:autoSpaceDN w:val="0"/>
              <w:adjustRightInd w:val="0"/>
              <w:snapToGrid w:val="0"/>
              <w:spacing w:before="50" w:after="156" w:afterLines="50"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主要问题：</w:t>
            </w:r>
          </w:p>
          <w:p w14:paraId="680AA199">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根据公司半年报披露的合同负债可以看出公司订单增加不少，公司产能是否能够满足订单需求？</w:t>
            </w:r>
          </w:p>
          <w:p w14:paraId="50ED818C">
            <w:pPr>
              <w:widowControl w:val="0"/>
              <w:numPr>
                <w:ilvl w:val="0"/>
                <w:numId w:val="0"/>
              </w:numPr>
              <w:autoSpaceDE w:val="0"/>
              <w:autoSpaceDN w:val="0"/>
              <w:adjustRightInd w:val="0"/>
              <w:snapToGrid w:val="0"/>
              <w:spacing w:before="50" w:after="156" w:afterLines="50" w:line="360" w:lineRule="auto"/>
              <w:jc w:val="both"/>
              <w:rPr>
                <w:rFonts w:hint="default"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因行业景气度持续提高，公司获得的订单量增幅加大，公司通过科学有序排产，积极进行业务订单协调，整体产能利用率较高。公司目前有四百多亩土地，有将近20万平方的建筑厂房，整个集团一共有六家公司，一个母公司，五个子公司。设备生产速度较快，但收入确认会相对滞后一些，主要原因是公司产品为大型设备，在运输、安装、调试、验收环节所需时间较长，尤其发到东南亚的设备运输时间更长。因此对于公司来说目前产能没有瓶颈，但生产以外流程需要较长的时间。谢谢！</w:t>
            </w:r>
          </w:p>
          <w:p w14:paraId="090BC470">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PCB扩建的景气度非常旺盛，公司觉得这个景气度能持续到什么时候？请问公司订单海外占比如何？</w:t>
            </w:r>
          </w:p>
          <w:p w14:paraId="0DA1CB0B">
            <w:pPr>
              <w:numPr>
                <w:ilvl w:val="0"/>
                <w:numId w:val="0"/>
              </w:numPr>
              <w:autoSpaceDE w:val="0"/>
              <w:autoSpaceDN w:val="0"/>
              <w:adjustRightInd w:val="0"/>
              <w:snapToGrid w:val="0"/>
              <w:spacing w:before="50" w:after="156" w:afterLines="50" w:line="360" w:lineRule="auto"/>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答：得益于PCB东南亚投资潮</w:t>
            </w:r>
            <w:r>
              <w:rPr>
                <w:rFonts w:hint="eastAsia" w:asciiTheme="minorEastAsia" w:hAnsiTheme="minorEastAsia" w:cstheme="minorEastAsia"/>
                <w:color w:val="262626"/>
                <w:sz w:val="24"/>
                <w:szCs w:val="24"/>
                <w:shd w:val="clear" w:color="auto" w:fill="FFFFFF"/>
                <w:lang w:val="en-US" w:eastAsia="zh-CN"/>
              </w:rPr>
              <w:t>、</w:t>
            </w:r>
            <w:r>
              <w:rPr>
                <w:rFonts w:hint="eastAsia" w:asciiTheme="minorEastAsia" w:hAnsiTheme="minorEastAsia" w:cstheme="minorEastAsia"/>
                <w:color w:val="262626"/>
                <w:sz w:val="24"/>
                <w:szCs w:val="24"/>
                <w:shd w:val="clear" w:color="auto" w:fill="FFFFFF"/>
              </w:rPr>
              <w:t>AI智能相关的大数据存储器</w:t>
            </w:r>
            <w:r>
              <w:rPr>
                <w:rFonts w:hint="eastAsia" w:asciiTheme="minorEastAsia" w:hAnsiTheme="minorEastAsia" w:cstheme="minorEastAsia"/>
                <w:color w:val="262626"/>
                <w:sz w:val="24"/>
                <w:szCs w:val="24"/>
                <w:shd w:val="clear" w:color="auto" w:fill="FFFFFF"/>
                <w:lang w:val="en-US" w:eastAsia="zh-CN"/>
              </w:rPr>
              <w:t>等领域快速发展带来的新机遇，高端板材电镀设备需求增加，公司设备出口量增加，</w:t>
            </w: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海外收入占比由2024年同期的不足10%增长至目前的20%以上</w:t>
            </w:r>
            <w:r>
              <w:rPr>
                <w:rFonts w:hint="eastAsia" w:asciiTheme="minorEastAsia" w:hAnsiTheme="minorEastAsia" w:cstheme="minorEastAsia"/>
                <w:color w:val="262626"/>
                <w:sz w:val="24"/>
                <w:szCs w:val="24"/>
                <w:shd w:val="clear" w:color="auto" w:fill="FFFFFF"/>
                <w:lang w:val="en-US" w:eastAsia="zh-CN"/>
              </w:rPr>
              <w:t>。</w:t>
            </w:r>
            <w:r>
              <w:rPr>
                <w:rFonts w:hint="eastAsia" w:asciiTheme="minorEastAsia" w:hAnsiTheme="minorEastAsia" w:cstheme="minorEastAsia"/>
                <w:color w:val="262626"/>
                <w:sz w:val="24"/>
                <w:szCs w:val="24"/>
                <w:shd w:val="clear" w:color="auto" w:fill="FFFFFF"/>
              </w:rPr>
              <w:t>PCB板某些高端板的细分领域上增长速度还是比较快</w:t>
            </w:r>
            <w:r>
              <w:rPr>
                <w:rFonts w:hint="eastAsia" w:asciiTheme="minorEastAsia" w:hAnsiTheme="minorEastAsia" w:cstheme="minorEastAsia"/>
                <w:color w:val="262626"/>
                <w:sz w:val="24"/>
                <w:szCs w:val="24"/>
                <w:shd w:val="clear" w:color="auto" w:fill="FFFFFF"/>
                <w:lang w:eastAsia="zh-CN"/>
              </w:rPr>
              <w:t>的</w:t>
            </w:r>
            <w:r>
              <w:rPr>
                <w:rFonts w:hint="eastAsia" w:asciiTheme="minorEastAsia" w:hAnsiTheme="minorEastAsia" w:cstheme="minorEastAsia"/>
                <w:color w:val="262626"/>
                <w:sz w:val="24"/>
                <w:szCs w:val="24"/>
                <w:shd w:val="clear" w:color="auto" w:fill="FFFFFF"/>
              </w:rPr>
              <w:t>，所以对电镀设备，特别是做高端精密的PCB板的电镀设备企业来讲，</w:t>
            </w:r>
            <w:r>
              <w:rPr>
                <w:rFonts w:hint="eastAsia" w:asciiTheme="minorEastAsia" w:hAnsiTheme="minorEastAsia" w:cstheme="minorEastAsia"/>
                <w:color w:val="262626"/>
                <w:sz w:val="24"/>
                <w:szCs w:val="24"/>
                <w:shd w:val="clear" w:color="auto" w:fill="FFFFFF"/>
                <w:lang w:val="en-US" w:eastAsia="zh-CN"/>
              </w:rPr>
              <w:t>对未来市场</w:t>
            </w:r>
            <w:r>
              <w:rPr>
                <w:rFonts w:hint="eastAsia" w:asciiTheme="minorEastAsia" w:hAnsiTheme="minorEastAsia" w:cstheme="minorEastAsia"/>
                <w:color w:val="262626"/>
                <w:sz w:val="24"/>
                <w:szCs w:val="24"/>
                <w:shd w:val="clear" w:color="auto" w:fill="FFFFFF"/>
              </w:rPr>
              <w:t>增长还是保持乐观的态度。</w:t>
            </w:r>
            <w:r>
              <w:rPr>
                <w:rFonts w:hint="eastAsia" w:asciiTheme="minorEastAsia" w:hAnsiTheme="minorEastAsia" w:cstheme="minorEastAsia"/>
                <w:color w:val="262626"/>
                <w:sz w:val="24"/>
                <w:szCs w:val="24"/>
                <w:shd w:val="clear" w:color="auto" w:fill="FFFFFF"/>
                <w:lang w:val="en-US" w:eastAsia="zh-CN"/>
              </w:rPr>
              <w:t>谢谢！</w:t>
            </w:r>
          </w:p>
          <w:p w14:paraId="199EC52A">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公司三合一水平电镀设备目前是什么进展？</w:t>
            </w:r>
          </w:p>
          <w:p w14:paraId="57273D3B">
            <w:pPr>
              <w:keepNext w:val="0"/>
              <w:keepLines w:val="0"/>
              <w:pageBreakBefore w:val="0"/>
              <w:widowControl/>
              <w:numPr>
                <w:ilvl w:val="0"/>
                <w:numId w:val="0"/>
              </w:numPr>
              <w:kinsoku/>
              <w:wordWrap/>
              <w:overflowPunct/>
              <w:topLinePunct w:val="0"/>
              <w:autoSpaceDE w:val="0"/>
              <w:autoSpaceDN w:val="0"/>
              <w:bidi w:val="0"/>
              <w:adjustRightInd w:val="0"/>
              <w:snapToGrid w:val="0"/>
              <w:spacing w:before="50" w:after="156" w:afterLines="50" w:line="360" w:lineRule="auto"/>
              <w:jc w:val="both"/>
              <w:textAlignment w:val="auto"/>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pPr>
            <w:r>
              <w:rPr>
                <w:rFonts w:hint="eastAsia" w:asciiTheme="minorEastAsia" w:hAnsiTheme="minorEastAsia" w:eastAsiaTheme="minorEastAsia" w:cstheme="minorEastAsia"/>
                <w:b w:val="0"/>
                <w:bCs w:val="0"/>
                <w:color w:val="262626"/>
                <w:sz w:val="24"/>
                <w:szCs w:val="24"/>
                <w:highlight w:val="none"/>
                <w:shd w:val="clear" w:color="auto" w:fill="FFFFFF"/>
                <w:lang w:val="en-US" w:eastAsia="zh-CN"/>
              </w:rPr>
              <w:t>答：在AI、高阶伺服器、电动车的高速发展下，对厚铜、细线路、高阶HDI板需求递增，市场上对水平镀三合一设备的需求也有所增加。公司生产的水平镀三合一设备实现了海外设备的国产替代，获得客户高度认可。目前已有5家客户采购了该款设备，同时，多家国内头部板厂正在与公司洽谈相关业务，预计明年将有较大增长空间。谢谢！</w:t>
            </w:r>
          </w:p>
          <w:p w14:paraId="013DA40A">
            <w:pPr>
              <w:numPr>
                <w:ilvl w:val="0"/>
                <w:numId w:val="2"/>
              </w:numPr>
              <w:autoSpaceDE w:val="0"/>
              <w:autoSpaceDN w:val="0"/>
              <w:adjustRightInd w:val="0"/>
              <w:snapToGrid w:val="0"/>
              <w:spacing w:before="50" w:after="156" w:afterLines="50" w:line="360" w:lineRule="auto"/>
              <w:ind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我们看到下游PCB这一轮的扩产，HDI、多层板等高端产品占比增加。这种类型的变化对电镀这个环节的设备上，包括价值量等有什么样的一些影响？以及毛利率会有什么变化？</w:t>
            </w:r>
          </w:p>
          <w:p w14:paraId="1A1FD3F1">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PCB板从过去的低层数到高层数，从普通板到HDI这种高端产品的占比的增加，最近这两年跟十多年前比较，客户对设备品质、性能提出了更高的要求。比如客户要求电路板受到多次热冲击之后电阻不能发生变化；还有一些厚板需要用脉冲设备来提升孔里面的电镀品质，这些都是促使更换设备或者是升级设备的原因，总之电镀设备的生产效率、品质等各方面都会有所提升，电镀设备的价值量也会相应提升，毛利率会略高一点，大概在40%左右，如果大规模量产的话，利润率有望更高一些。谢谢！</w:t>
            </w:r>
          </w:p>
          <w:p w14:paraId="1ABB6079">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这个PCP电镀设备，从客户给公司下订单到确收大概要多长周期？</w:t>
            </w:r>
          </w:p>
          <w:p w14:paraId="58AB4D16">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平均是6到9个月，确收周期主要根据客户的订单量来看，如果是小一点的订单，从签单开始，三个月时间制造，一个月安装调试，还有两个月左右时间的试生产，一般在六个月就可以确认收入。如果订单量比较大或者客户场地有限制的话有可能会延长到1年至1年半。谢谢！</w:t>
            </w:r>
          </w:p>
          <w:p w14:paraId="67E5A5A3">
            <w:pPr>
              <w:numPr>
                <w:ilvl w:val="0"/>
                <w:numId w:val="2"/>
              </w:numPr>
              <w:autoSpaceDE w:val="0"/>
              <w:autoSpaceDN w:val="0"/>
              <w:adjustRightInd w:val="0"/>
              <w:snapToGrid w:val="0"/>
              <w:spacing w:before="50" w:after="156" w:afterLines="50" w:line="360" w:lineRule="auto"/>
              <w:ind w:left="0" w:leftChars="0" w:firstLine="482" w:firstLineChars="200"/>
              <w:rPr>
                <w:rFonts w:hint="default"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最近HVLP铜箔比较受市场关注，东威的双边夹电镀设备可以做复合铜箔，是否也可以做HVLP铜箔？</w:t>
            </w:r>
          </w:p>
          <w:p w14:paraId="5D540739">
            <w:pPr>
              <w:numPr>
                <w:ilvl w:val="255"/>
                <w:numId w:val="0"/>
              </w:numPr>
              <w:autoSpaceDE w:val="0"/>
              <w:autoSpaceDN w:val="0"/>
              <w:adjustRightInd w:val="0"/>
              <w:snapToGrid w:val="0"/>
              <w:spacing w:before="50" w:after="156" w:afterLines="50" w:line="360" w:lineRule="auto"/>
              <w:ind w:firstLine="480" w:firstLineChars="200"/>
              <w:rPr>
                <w:rFonts w:hint="eastAsia"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公司的双边夹电镀设备可用于生产HVLP铜箔，近期就有一家客户订购了我们的磁控溅射及双边夹电镀设备生产HVLP铜箔。另外有一家客户订购双边夹设备是用于生产低轮廓铜箔，应用于类载板。此外还有客户使用我们的设备做屏显材料并已实现量产，双边夹电镀设备的应用领域不断拓展。谢谢！</w:t>
            </w:r>
          </w:p>
          <w:p w14:paraId="556396B3">
            <w:pPr>
              <w:numPr>
                <w:ilvl w:val="0"/>
                <w:numId w:val="2"/>
              </w:numPr>
              <w:autoSpaceDE w:val="0"/>
              <w:autoSpaceDN w:val="0"/>
              <w:adjustRightInd w:val="0"/>
              <w:snapToGrid w:val="0"/>
              <w:spacing w:before="50" w:after="156" w:afterLines="50" w:line="360" w:lineRule="auto"/>
              <w:ind w:left="0" w:leftChars="0" w:firstLine="482" w:firstLineChars="200"/>
              <w:rPr>
                <w:rFonts w:hint="default"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请问东威的设备对比于目前生产HVLP铜箔的设备，设备的优势在哪里？</w:t>
            </w:r>
          </w:p>
          <w:p w14:paraId="382B0415">
            <w:pPr>
              <w:numPr>
                <w:ilvl w:val="255"/>
                <w:numId w:val="0"/>
              </w:numPr>
              <w:autoSpaceDE w:val="0"/>
              <w:autoSpaceDN w:val="0"/>
              <w:adjustRightInd w:val="0"/>
              <w:snapToGrid w:val="0"/>
              <w:spacing w:before="50" w:after="156" w:afterLines="50" w:line="360" w:lineRule="auto"/>
              <w:ind w:firstLine="480" w:firstLineChars="200"/>
              <w:rPr>
                <w:rFonts w:hint="default"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公司的设备优势在于低温低电流能够让表面更致密和平整，降低了粗糙度，非接触式设备，使产品具有更好的外观；一体式电镀，连续镀出铜层具有更可靠物理性能。同时，使用我们的设备及工艺可以大幅降低生产成本。谢谢！</w:t>
            </w:r>
          </w:p>
          <w:p w14:paraId="351F6CB1">
            <w:pPr>
              <w:numPr>
                <w:ilvl w:val="0"/>
                <w:numId w:val="2"/>
              </w:numPr>
              <w:autoSpaceDE w:val="0"/>
              <w:autoSpaceDN w:val="0"/>
              <w:adjustRightInd w:val="0"/>
              <w:snapToGrid w:val="0"/>
              <w:spacing w:before="50" w:after="156" w:afterLines="50" w:line="360" w:lineRule="auto"/>
              <w:ind w:left="0" w:leftChars="0" w:firstLine="482" w:firstLineChars="200"/>
              <w:rPr>
                <w:rFonts w:hint="eastAsia" w:asciiTheme="minorEastAsia" w:hAnsiTheme="minorEastAsia" w:cstheme="minorEastAsia"/>
                <w:b/>
                <w:bCs/>
                <w:color w:val="262626"/>
                <w:sz w:val="24"/>
                <w:szCs w:val="24"/>
                <w:shd w:val="clear" w:color="auto" w:fill="FFFFFF"/>
                <w:lang w:val="en-US" w:eastAsia="zh-CN"/>
              </w:rPr>
            </w:pPr>
            <w:r>
              <w:rPr>
                <w:rFonts w:hint="eastAsia" w:asciiTheme="minorEastAsia" w:hAnsiTheme="minorEastAsia" w:cstheme="minorEastAsia"/>
                <w:b/>
                <w:bCs/>
                <w:color w:val="262626"/>
                <w:sz w:val="24"/>
                <w:szCs w:val="24"/>
                <w:shd w:val="clear" w:color="auto" w:fill="FFFFFF"/>
                <w:lang w:val="en-US" w:eastAsia="zh-CN"/>
              </w:rPr>
              <w:t>请问东威有固态电池的客户吗？</w:t>
            </w:r>
          </w:p>
          <w:p w14:paraId="11004458">
            <w:pPr>
              <w:numPr>
                <w:ilvl w:val="255"/>
                <w:numId w:val="0"/>
              </w:numPr>
              <w:autoSpaceDE w:val="0"/>
              <w:autoSpaceDN w:val="0"/>
              <w:adjustRightInd w:val="0"/>
              <w:snapToGrid w:val="0"/>
              <w:spacing w:before="50" w:after="156" w:afterLines="50" w:line="360" w:lineRule="auto"/>
              <w:ind w:firstLine="480" w:firstLineChars="200"/>
              <w:rPr>
                <w:rFonts w:hint="default" w:asciiTheme="minorEastAsia" w:hAnsiTheme="minorEastAsia" w:cstheme="minorEastAsia"/>
                <w:color w:val="262626"/>
                <w:sz w:val="24"/>
                <w:szCs w:val="24"/>
                <w:shd w:val="clear" w:color="auto" w:fill="FFFFFF"/>
                <w:lang w:val="en-US" w:eastAsia="zh-CN"/>
              </w:rPr>
            </w:pPr>
            <w:r>
              <w:rPr>
                <w:rFonts w:hint="eastAsia" w:asciiTheme="minorEastAsia" w:hAnsiTheme="minorEastAsia" w:cstheme="minorEastAsia"/>
                <w:color w:val="262626"/>
                <w:sz w:val="24"/>
                <w:szCs w:val="24"/>
                <w:shd w:val="clear" w:color="auto" w:fill="FFFFFF"/>
                <w:lang w:val="en-US" w:eastAsia="zh-CN"/>
              </w:rPr>
              <w:t>答：东威没有直接的固态电池客户，但据了解我们的多家客户都有在给固态电池公司进行送样，谢谢！</w:t>
            </w:r>
          </w:p>
        </w:tc>
      </w:tr>
      <w:tr w14:paraId="2234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762" w:type="dxa"/>
            <w:shd w:val="clear" w:color="auto" w:fill="auto"/>
            <w:vAlign w:val="center"/>
          </w:tcPr>
          <w:p w14:paraId="330BE199">
            <w:pPr>
              <w:spacing w:line="360" w:lineRule="auto"/>
              <w:rPr>
                <w:rFonts w:hint="eastAsia" w:ascii="宋体" w:hAnsi="宋体" w:eastAsia="宋体" w:cs="宋体"/>
                <w:b/>
                <w:bCs/>
                <w:iCs/>
                <w:sz w:val="24"/>
                <w:szCs w:val="24"/>
                <w:lang w:eastAsia="zh-CN"/>
              </w:rPr>
            </w:pPr>
            <w:r>
              <w:rPr>
                <w:rFonts w:hint="eastAsia" w:ascii="宋体" w:hAnsi="宋体" w:eastAsia="宋体" w:cs="宋体"/>
                <w:b/>
                <w:bCs/>
                <w:iCs/>
                <w:sz w:val="24"/>
                <w:szCs w:val="24"/>
              </w:rPr>
              <w:t>附件清单</w:t>
            </w:r>
          </w:p>
        </w:tc>
        <w:tc>
          <w:tcPr>
            <w:tcW w:w="6212" w:type="dxa"/>
            <w:shd w:val="clear" w:color="auto" w:fill="auto"/>
          </w:tcPr>
          <w:p w14:paraId="39FAFE8A">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无</w:t>
            </w:r>
          </w:p>
        </w:tc>
      </w:tr>
      <w:tr w14:paraId="5C95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2762" w:type="dxa"/>
            <w:shd w:val="clear" w:color="auto" w:fill="auto"/>
            <w:vAlign w:val="center"/>
          </w:tcPr>
          <w:p w14:paraId="1C391B63">
            <w:pPr>
              <w:spacing w:line="360" w:lineRule="auto"/>
              <w:rPr>
                <w:rFonts w:hint="eastAsia" w:ascii="宋体" w:hAnsi="宋体" w:eastAsia="宋体" w:cs="宋体"/>
                <w:b/>
                <w:bCs/>
                <w:iCs/>
                <w:sz w:val="24"/>
                <w:szCs w:val="24"/>
              </w:rPr>
            </w:pPr>
            <w:r>
              <w:rPr>
                <w:rFonts w:hint="eastAsia" w:ascii="宋体" w:hAnsi="宋体" w:eastAsia="宋体" w:cs="宋体"/>
                <w:b/>
                <w:bCs/>
                <w:iCs/>
                <w:sz w:val="24"/>
                <w:szCs w:val="24"/>
              </w:rPr>
              <w:t>日期</w:t>
            </w:r>
          </w:p>
        </w:tc>
        <w:tc>
          <w:tcPr>
            <w:tcW w:w="6212" w:type="dxa"/>
            <w:shd w:val="clear" w:color="auto" w:fill="auto"/>
            <w:vAlign w:val="center"/>
          </w:tcPr>
          <w:p w14:paraId="25FE59B7">
            <w:pPr>
              <w:spacing w:line="360" w:lineRule="auto"/>
              <w:rPr>
                <w:rFonts w:hint="default" w:ascii="宋体" w:hAnsi="宋体" w:eastAsia="宋体" w:cs="宋体"/>
                <w:iCs/>
                <w:sz w:val="24"/>
                <w:szCs w:val="24"/>
                <w:lang w:val="en-US" w:eastAsia="zh-CN"/>
              </w:rPr>
            </w:pPr>
            <w:r>
              <w:rPr>
                <w:rFonts w:hint="eastAsia" w:ascii="宋体" w:hAnsi="宋体" w:cs="宋体"/>
                <w:sz w:val="24"/>
                <w:highlight w:val="none"/>
                <w:lang w:val="en-US" w:eastAsia="zh-CN"/>
              </w:rPr>
              <w:t>2025年9月3日</w:t>
            </w:r>
          </w:p>
        </w:tc>
      </w:tr>
    </w:tbl>
    <w:p w14:paraId="4B2612C2">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23024"/>
    <w:multiLevelType w:val="singleLevel"/>
    <w:tmpl w:val="B5123024"/>
    <w:lvl w:ilvl="0" w:tentative="0">
      <w:start w:val="1"/>
      <w:numFmt w:val="decimal"/>
      <w:suff w:val="nothing"/>
      <w:lvlText w:val="%1、"/>
      <w:lvlJc w:val="left"/>
    </w:lvl>
  </w:abstractNum>
  <w:abstractNum w:abstractNumId="1">
    <w:nsid w:val="DBBD34E2"/>
    <w:multiLevelType w:val="singleLevel"/>
    <w:tmpl w:val="DBBD34E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NmFjZDI5NWE4ODU3YTRjZjhhMDU2ZmMyMmI1YzIifQ=="/>
  </w:docVars>
  <w:rsids>
    <w:rsidRoot w:val="00B836D3"/>
    <w:rsid w:val="00070F07"/>
    <w:rsid w:val="00423C6D"/>
    <w:rsid w:val="006B1C87"/>
    <w:rsid w:val="00910209"/>
    <w:rsid w:val="00AD2796"/>
    <w:rsid w:val="00B836D3"/>
    <w:rsid w:val="00BA7CA7"/>
    <w:rsid w:val="00ED1A6D"/>
    <w:rsid w:val="015123B9"/>
    <w:rsid w:val="0184653E"/>
    <w:rsid w:val="02447890"/>
    <w:rsid w:val="024702E2"/>
    <w:rsid w:val="02702D13"/>
    <w:rsid w:val="02C32E43"/>
    <w:rsid w:val="02DC0E30"/>
    <w:rsid w:val="02E627C6"/>
    <w:rsid w:val="03575C81"/>
    <w:rsid w:val="036D0FA9"/>
    <w:rsid w:val="0385459C"/>
    <w:rsid w:val="03A34722"/>
    <w:rsid w:val="03A6036B"/>
    <w:rsid w:val="03C455EC"/>
    <w:rsid w:val="03F81C56"/>
    <w:rsid w:val="040B08B6"/>
    <w:rsid w:val="040F3E66"/>
    <w:rsid w:val="04207E21"/>
    <w:rsid w:val="044845B6"/>
    <w:rsid w:val="04702B56"/>
    <w:rsid w:val="048009A6"/>
    <w:rsid w:val="04D946F0"/>
    <w:rsid w:val="04E83035"/>
    <w:rsid w:val="05191440"/>
    <w:rsid w:val="05327557"/>
    <w:rsid w:val="05467D5B"/>
    <w:rsid w:val="05C30B00"/>
    <w:rsid w:val="06073EB5"/>
    <w:rsid w:val="06430677"/>
    <w:rsid w:val="06B37672"/>
    <w:rsid w:val="06B42E63"/>
    <w:rsid w:val="06C06931"/>
    <w:rsid w:val="06C74ECC"/>
    <w:rsid w:val="06F5476D"/>
    <w:rsid w:val="07116897"/>
    <w:rsid w:val="077E1A2E"/>
    <w:rsid w:val="077E37DC"/>
    <w:rsid w:val="07BE4ACA"/>
    <w:rsid w:val="07F12200"/>
    <w:rsid w:val="08013722"/>
    <w:rsid w:val="080C7924"/>
    <w:rsid w:val="080F2686"/>
    <w:rsid w:val="0846477D"/>
    <w:rsid w:val="08BB280E"/>
    <w:rsid w:val="093162DB"/>
    <w:rsid w:val="09BA36EE"/>
    <w:rsid w:val="0A4F76B2"/>
    <w:rsid w:val="0A9207E7"/>
    <w:rsid w:val="0AA96DC2"/>
    <w:rsid w:val="0ADA6063"/>
    <w:rsid w:val="0AE11F88"/>
    <w:rsid w:val="0B520AFE"/>
    <w:rsid w:val="0B6E6B4B"/>
    <w:rsid w:val="0BFD04E0"/>
    <w:rsid w:val="0C000C64"/>
    <w:rsid w:val="0C8129D9"/>
    <w:rsid w:val="0CB8387B"/>
    <w:rsid w:val="0CCA74C4"/>
    <w:rsid w:val="0CD734C8"/>
    <w:rsid w:val="0CD74F7B"/>
    <w:rsid w:val="0CF12CA2"/>
    <w:rsid w:val="0D3951F5"/>
    <w:rsid w:val="0D5758FA"/>
    <w:rsid w:val="0D6B3607"/>
    <w:rsid w:val="0DC24E06"/>
    <w:rsid w:val="0DEB2A04"/>
    <w:rsid w:val="0DEF61C6"/>
    <w:rsid w:val="0DF91E0E"/>
    <w:rsid w:val="0E3C7F4D"/>
    <w:rsid w:val="0E6A6868"/>
    <w:rsid w:val="0ED11F58"/>
    <w:rsid w:val="0F0F425F"/>
    <w:rsid w:val="0F256C33"/>
    <w:rsid w:val="0F563291"/>
    <w:rsid w:val="0FCF44A8"/>
    <w:rsid w:val="0FEB1DAA"/>
    <w:rsid w:val="0FF56606"/>
    <w:rsid w:val="106A2B50"/>
    <w:rsid w:val="11276C93"/>
    <w:rsid w:val="11592BC4"/>
    <w:rsid w:val="119A6215"/>
    <w:rsid w:val="120267E0"/>
    <w:rsid w:val="123241A8"/>
    <w:rsid w:val="12575F0C"/>
    <w:rsid w:val="125900DB"/>
    <w:rsid w:val="12701617"/>
    <w:rsid w:val="128B3251"/>
    <w:rsid w:val="12A0236A"/>
    <w:rsid w:val="12BE1B5F"/>
    <w:rsid w:val="131B2BEA"/>
    <w:rsid w:val="13266402"/>
    <w:rsid w:val="136A62B6"/>
    <w:rsid w:val="138216F7"/>
    <w:rsid w:val="13CB4AFB"/>
    <w:rsid w:val="13DA7FEC"/>
    <w:rsid w:val="13E949C2"/>
    <w:rsid w:val="140C2170"/>
    <w:rsid w:val="141379A2"/>
    <w:rsid w:val="14157276"/>
    <w:rsid w:val="145558C5"/>
    <w:rsid w:val="14842F6A"/>
    <w:rsid w:val="14B30D64"/>
    <w:rsid w:val="151E03AD"/>
    <w:rsid w:val="154E6CD0"/>
    <w:rsid w:val="15976F4E"/>
    <w:rsid w:val="15F64E85"/>
    <w:rsid w:val="162A567A"/>
    <w:rsid w:val="16B0768E"/>
    <w:rsid w:val="170A1316"/>
    <w:rsid w:val="17667DE9"/>
    <w:rsid w:val="17683B61"/>
    <w:rsid w:val="177C0785"/>
    <w:rsid w:val="182171CB"/>
    <w:rsid w:val="185365BF"/>
    <w:rsid w:val="19304030"/>
    <w:rsid w:val="195425EF"/>
    <w:rsid w:val="19B1359D"/>
    <w:rsid w:val="19CB627B"/>
    <w:rsid w:val="19E952E0"/>
    <w:rsid w:val="1A626914"/>
    <w:rsid w:val="1A6E76E0"/>
    <w:rsid w:val="1B7218B7"/>
    <w:rsid w:val="1BF97D4B"/>
    <w:rsid w:val="1CB739C6"/>
    <w:rsid w:val="1CEF2569"/>
    <w:rsid w:val="1D0945BC"/>
    <w:rsid w:val="1D4318A3"/>
    <w:rsid w:val="1D903E12"/>
    <w:rsid w:val="1E171E3D"/>
    <w:rsid w:val="1E8943E5"/>
    <w:rsid w:val="1F3C5360"/>
    <w:rsid w:val="1F4C0D3E"/>
    <w:rsid w:val="1F6F79DD"/>
    <w:rsid w:val="1FE7136A"/>
    <w:rsid w:val="1FF13AA8"/>
    <w:rsid w:val="203C4E63"/>
    <w:rsid w:val="20407429"/>
    <w:rsid w:val="207417C9"/>
    <w:rsid w:val="20957F0B"/>
    <w:rsid w:val="20B6088B"/>
    <w:rsid w:val="20DB53A4"/>
    <w:rsid w:val="20FC3C98"/>
    <w:rsid w:val="211A3C0A"/>
    <w:rsid w:val="212A3B93"/>
    <w:rsid w:val="212E1150"/>
    <w:rsid w:val="215E35E6"/>
    <w:rsid w:val="218121CC"/>
    <w:rsid w:val="21C7706C"/>
    <w:rsid w:val="21FF1698"/>
    <w:rsid w:val="222A65E3"/>
    <w:rsid w:val="22615F0B"/>
    <w:rsid w:val="22D84291"/>
    <w:rsid w:val="237A0EA4"/>
    <w:rsid w:val="23BA73A5"/>
    <w:rsid w:val="24262DDA"/>
    <w:rsid w:val="24E63917"/>
    <w:rsid w:val="24EF729B"/>
    <w:rsid w:val="24FA6740"/>
    <w:rsid w:val="252B661C"/>
    <w:rsid w:val="25305C3C"/>
    <w:rsid w:val="25E35543"/>
    <w:rsid w:val="25EB37CF"/>
    <w:rsid w:val="2607591B"/>
    <w:rsid w:val="26251EF4"/>
    <w:rsid w:val="262F3EE3"/>
    <w:rsid w:val="263317DE"/>
    <w:rsid w:val="26FB22FC"/>
    <w:rsid w:val="272D0A59"/>
    <w:rsid w:val="285C14C0"/>
    <w:rsid w:val="286A42FF"/>
    <w:rsid w:val="28DF6797"/>
    <w:rsid w:val="293A3114"/>
    <w:rsid w:val="29964AEA"/>
    <w:rsid w:val="299D5218"/>
    <w:rsid w:val="29B334E6"/>
    <w:rsid w:val="2A101DB3"/>
    <w:rsid w:val="2A1E016D"/>
    <w:rsid w:val="2A25420A"/>
    <w:rsid w:val="2A3E6FA8"/>
    <w:rsid w:val="2A6B59EA"/>
    <w:rsid w:val="2A8A100D"/>
    <w:rsid w:val="2A9860B3"/>
    <w:rsid w:val="2AB27175"/>
    <w:rsid w:val="2ACE1AD5"/>
    <w:rsid w:val="2AE0355B"/>
    <w:rsid w:val="2AE957C0"/>
    <w:rsid w:val="2AEA6EEB"/>
    <w:rsid w:val="2B084FE7"/>
    <w:rsid w:val="2B683CD8"/>
    <w:rsid w:val="2B6C537E"/>
    <w:rsid w:val="2B734AF1"/>
    <w:rsid w:val="2BA2543C"/>
    <w:rsid w:val="2BEA1055"/>
    <w:rsid w:val="2C0806A8"/>
    <w:rsid w:val="2C387B4E"/>
    <w:rsid w:val="2D966F7E"/>
    <w:rsid w:val="2DAE06CE"/>
    <w:rsid w:val="2DC773DC"/>
    <w:rsid w:val="2DF950BB"/>
    <w:rsid w:val="2E11614A"/>
    <w:rsid w:val="2EEA721D"/>
    <w:rsid w:val="2EEC2C46"/>
    <w:rsid w:val="2F4C2A75"/>
    <w:rsid w:val="2F68074A"/>
    <w:rsid w:val="2F7E7F6E"/>
    <w:rsid w:val="2F8656F4"/>
    <w:rsid w:val="2FDB1EBD"/>
    <w:rsid w:val="3062519A"/>
    <w:rsid w:val="30654C8A"/>
    <w:rsid w:val="3091174B"/>
    <w:rsid w:val="31230DCD"/>
    <w:rsid w:val="31723B02"/>
    <w:rsid w:val="31994192"/>
    <w:rsid w:val="31C97E3A"/>
    <w:rsid w:val="32044F36"/>
    <w:rsid w:val="320F3450"/>
    <w:rsid w:val="327B0795"/>
    <w:rsid w:val="32AC1FAE"/>
    <w:rsid w:val="33811DDB"/>
    <w:rsid w:val="338E0AA4"/>
    <w:rsid w:val="33DD45D8"/>
    <w:rsid w:val="33F24A86"/>
    <w:rsid w:val="34242A8F"/>
    <w:rsid w:val="342A2472"/>
    <w:rsid w:val="343B01DB"/>
    <w:rsid w:val="345E3ECA"/>
    <w:rsid w:val="34853B4C"/>
    <w:rsid w:val="34885869"/>
    <w:rsid w:val="351D3D85"/>
    <w:rsid w:val="35860AB3"/>
    <w:rsid w:val="35A61AD3"/>
    <w:rsid w:val="35B86362"/>
    <w:rsid w:val="35D00DF7"/>
    <w:rsid w:val="363E3FB3"/>
    <w:rsid w:val="367D669C"/>
    <w:rsid w:val="368F6DB0"/>
    <w:rsid w:val="36EE3C2B"/>
    <w:rsid w:val="3701121D"/>
    <w:rsid w:val="371C61D5"/>
    <w:rsid w:val="37607F59"/>
    <w:rsid w:val="37B92F56"/>
    <w:rsid w:val="37FD2665"/>
    <w:rsid w:val="385C6A0A"/>
    <w:rsid w:val="38EC7CF6"/>
    <w:rsid w:val="39E15381"/>
    <w:rsid w:val="39F33306"/>
    <w:rsid w:val="3A4912AC"/>
    <w:rsid w:val="3A663AD8"/>
    <w:rsid w:val="3A8F302F"/>
    <w:rsid w:val="3C0637C5"/>
    <w:rsid w:val="3C137C90"/>
    <w:rsid w:val="3CAF79B9"/>
    <w:rsid w:val="3CBA4870"/>
    <w:rsid w:val="3CCB0A1D"/>
    <w:rsid w:val="3CD218F9"/>
    <w:rsid w:val="3D5642D8"/>
    <w:rsid w:val="3DEE4B95"/>
    <w:rsid w:val="3EE01D9D"/>
    <w:rsid w:val="3F0833B0"/>
    <w:rsid w:val="3F0F295E"/>
    <w:rsid w:val="3F283A52"/>
    <w:rsid w:val="3FA76A89"/>
    <w:rsid w:val="3FF266C5"/>
    <w:rsid w:val="3FF67946"/>
    <w:rsid w:val="403A3A3D"/>
    <w:rsid w:val="40745FBA"/>
    <w:rsid w:val="40D7128C"/>
    <w:rsid w:val="41810733"/>
    <w:rsid w:val="41B771B3"/>
    <w:rsid w:val="41B82734"/>
    <w:rsid w:val="41DF023D"/>
    <w:rsid w:val="4222708E"/>
    <w:rsid w:val="42DC0DDB"/>
    <w:rsid w:val="42DE2DA6"/>
    <w:rsid w:val="42EA174A"/>
    <w:rsid w:val="430B16C1"/>
    <w:rsid w:val="43272646"/>
    <w:rsid w:val="43543B33"/>
    <w:rsid w:val="43A63197"/>
    <w:rsid w:val="445C5F76"/>
    <w:rsid w:val="44692963"/>
    <w:rsid w:val="448E6105"/>
    <w:rsid w:val="449649FB"/>
    <w:rsid w:val="44972925"/>
    <w:rsid w:val="44B250A6"/>
    <w:rsid w:val="44DD0E3B"/>
    <w:rsid w:val="4518343C"/>
    <w:rsid w:val="45236B86"/>
    <w:rsid w:val="45552E8A"/>
    <w:rsid w:val="4574179F"/>
    <w:rsid w:val="45AF27D7"/>
    <w:rsid w:val="46A63BDA"/>
    <w:rsid w:val="46F30DEA"/>
    <w:rsid w:val="479A3013"/>
    <w:rsid w:val="482A5F77"/>
    <w:rsid w:val="4873716D"/>
    <w:rsid w:val="48B87BF5"/>
    <w:rsid w:val="490C7F41"/>
    <w:rsid w:val="49177011"/>
    <w:rsid w:val="49557B3A"/>
    <w:rsid w:val="498126DD"/>
    <w:rsid w:val="4A454F7B"/>
    <w:rsid w:val="4A547DF1"/>
    <w:rsid w:val="4AB50890"/>
    <w:rsid w:val="4B7F0E9E"/>
    <w:rsid w:val="4B906C07"/>
    <w:rsid w:val="4BE34F89"/>
    <w:rsid w:val="4C39729F"/>
    <w:rsid w:val="4C777B36"/>
    <w:rsid w:val="4CD967F3"/>
    <w:rsid w:val="4D1C7F7C"/>
    <w:rsid w:val="4D491763"/>
    <w:rsid w:val="4D713A70"/>
    <w:rsid w:val="4DFD57E6"/>
    <w:rsid w:val="4E143B1F"/>
    <w:rsid w:val="4EB64BD7"/>
    <w:rsid w:val="4F0516BA"/>
    <w:rsid w:val="4F4F6674"/>
    <w:rsid w:val="4F6E5BBB"/>
    <w:rsid w:val="4FAC7D88"/>
    <w:rsid w:val="50700DB5"/>
    <w:rsid w:val="51322CE6"/>
    <w:rsid w:val="513D4311"/>
    <w:rsid w:val="5151508A"/>
    <w:rsid w:val="51C92E73"/>
    <w:rsid w:val="51FB5FF4"/>
    <w:rsid w:val="52070FB5"/>
    <w:rsid w:val="52526750"/>
    <w:rsid w:val="5272519E"/>
    <w:rsid w:val="52E635B0"/>
    <w:rsid w:val="52E8669F"/>
    <w:rsid w:val="53220A8C"/>
    <w:rsid w:val="53585D65"/>
    <w:rsid w:val="53863F9F"/>
    <w:rsid w:val="539D1939"/>
    <w:rsid w:val="53D85C9D"/>
    <w:rsid w:val="54134879"/>
    <w:rsid w:val="542B137C"/>
    <w:rsid w:val="54474CF1"/>
    <w:rsid w:val="54C46950"/>
    <w:rsid w:val="54DF6509"/>
    <w:rsid w:val="55FD30EB"/>
    <w:rsid w:val="56336B0D"/>
    <w:rsid w:val="574F737F"/>
    <w:rsid w:val="57623B4D"/>
    <w:rsid w:val="576634EA"/>
    <w:rsid w:val="57FF1BD8"/>
    <w:rsid w:val="58160494"/>
    <w:rsid w:val="58317531"/>
    <w:rsid w:val="583354EA"/>
    <w:rsid w:val="588875E4"/>
    <w:rsid w:val="58931AE5"/>
    <w:rsid w:val="58DC110D"/>
    <w:rsid w:val="592F3F03"/>
    <w:rsid w:val="596B480F"/>
    <w:rsid w:val="597F4342"/>
    <w:rsid w:val="59C713B2"/>
    <w:rsid w:val="5A025174"/>
    <w:rsid w:val="5A584D94"/>
    <w:rsid w:val="5A7F25D4"/>
    <w:rsid w:val="5AB741B0"/>
    <w:rsid w:val="5AD85BEC"/>
    <w:rsid w:val="5AE8639F"/>
    <w:rsid w:val="5AF853BD"/>
    <w:rsid w:val="5B0F614B"/>
    <w:rsid w:val="5B1207B2"/>
    <w:rsid w:val="5B1E422F"/>
    <w:rsid w:val="5B9242D5"/>
    <w:rsid w:val="5BAF6C35"/>
    <w:rsid w:val="5BD14DFE"/>
    <w:rsid w:val="5BDA5B74"/>
    <w:rsid w:val="5C4001D5"/>
    <w:rsid w:val="5C451348"/>
    <w:rsid w:val="5C4F5A65"/>
    <w:rsid w:val="5C8E4547"/>
    <w:rsid w:val="5C9C18B0"/>
    <w:rsid w:val="5CA40A47"/>
    <w:rsid w:val="5CEB6393"/>
    <w:rsid w:val="5D5977A1"/>
    <w:rsid w:val="5D6323CD"/>
    <w:rsid w:val="5D8B47EF"/>
    <w:rsid w:val="5DC541E0"/>
    <w:rsid w:val="5DF1672A"/>
    <w:rsid w:val="5DFD65A1"/>
    <w:rsid w:val="5E0A5B42"/>
    <w:rsid w:val="5E3E24F3"/>
    <w:rsid w:val="5ED05841"/>
    <w:rsid w:val="5EF164E6"/>
    <w:rsid w:val="5F083003"/>
    <w:rsid w:val="5F096FA4"/>
    <w:rsid w:val="5F48187B"/>
    <w:rsid w:val="5FAC3B0D"/>
    <w:rsid w:val="5FBA7881"/>
    <w:rsid w:val="6046120A"/>
    <w:rsid w:val="60483AFC"/>
    <w:rsid w:val="605F73EF"/>
    <w:rsid w:val="608E59B3"/>
    <w:rsid w:val="60D34166"/>
    <w:rsid w:val="61021EFD"/>
    <w:rsid w:val="61306A6A"/>
    <w:rsid w:val="61537797"/>
    <w:rsid w:val="618B0C81"/>
    <w:rsid w:val="619D444E"/>
    <w:rsid w:val="61A82AA5"/>
    <w:rsid w:val="61E41603"/>
    <w:rsid w:val="631F6D97"/>
    <w:rsid w:val="636C365E"/>
    <w:rsid w:val="63BA086D"/>
    <w:rsid w:val="63BD3EBA"/>
    <w:rsid w:val="63BF6533"/>
    <w:rsid w:val="63CB3C77"/>
    <w:rsid w:val="64030466"/>
    <w:rsid w:val="64216B3E"/>
    <w:rsid w:val="647B184A"/>
    <w:rsid w:val="647B4B09"/>
    <w:rsid w:val="64A357A5"/>
    <w:rsid w:val="64AE7F2C"/>
    <w:rsid w:val="65197815"/>
    <w:rsid w:val="65695F30"/>
    <w:rsid w:val="65B157BC"/>
    <w:rsid w:val="65B85A06"/>
    <w:rsid w:val="66212E26"/>
    <w:rsid w:val="66AC6B93"/>
    <w:rsid w:val="67000C8D"/>
    <w:rsid w:val="671F44BA"/>
    <w:rsid w:val="67FD0505"/>
    <w:rsid w:val="680846A1"/>
    <w:rsid w:val="680E142B"/>
    <w:rsid w:val="68303896"/>
    <w:rsid w:val="6832131A"/>
    <w:rsid w:val="68791C70"/>
    <w:rsid w:val="69055E3F"/>
    <w:rsid w:val="69360996"/>
    <w:rsid w:val="69765236"/>
    <w:rsid w:val="69860950"/>
    <w:rsid w:val="6A097538"/>
    <w:rsid w:val="6A4E7F61"/>
    <w:rsid w:val="6A5B7C61"/>
    <w:rsid w:val="6A6432E1"/>
    <w:rsid w:val="6A7D43A3"/>
    <w:rsid w:val="6AC124E1"/>
    <w:rsid w:val="6ACE4BFE"/>
    <w:rsid w:val="6AD0136A"/>
    <w:rsid w:val="6B166157"/>
    <w:rsid w:val="6B4C0E55"/>
    <w:rsid w:val="6BF40694"/>
    <w:rsid w:val="6CB3722D"/>
    <w:rsid w:val="6CD75FEC"/>
    <w:rsid w:val="6D0D4104"/>
    <w:rsid w:val="6D17288C"/>
    <w:rsid w:val="6D9168C9"/>
    <w:rsid w:val="6D934609"/>
    <w:rsid w:val="6DA8735F"/>
    <w:rsid w:val="6E7E6914"/>
    <w:rsid w:val="6E7E74C8"/>
    <w:rsid w:val="6E8932F7"/>
    <w:rsid w:val="6E8977BA"/>
    <w:rsid w:val="6F8475A9"/>
    <w:rsid w:val="6F8D5088"/>
    <w:rsid w:val="6FCA1E38"/>
    <w:rsid w:val="6FE8130D"/>
    <w:rsid w:val="6FFC2CD4"/>
    <w:rsid w:val="70033666"/>
    <w:rsid w:val="70AB3A18"/>
    <w:rsid w:val="71640FD8"/>
    <w:rsid w:val="717E737E"/>
    <w:rsid w:val="718524BB"/>
    <w:rsid w:val="71A04F87"/>
    <w:rsid w:val="72253C9E"/>
    <w:rsid w:val="7238752D"/>
    <w:rsid w:val="725C04A6"/>
    <w:rsid w:val="728269FA"/>
    <w:rsid w:val="72CB42BB"/>
    <w:rsid w:val="72CC4119"/>
    <w:rsid w:val="73137F9A"/>
    <w:rsid w:val="73A702A0"/>
    <w:rsid w:val="74275AAB"/>
    <w:rsid w:val="742F670E"/>
    <w:rsid w:val="74414816"/>
    <w:rsid w:val="745169AA"/>
    <w:rsid w:val="74687E72"/>
    <w:rsid w:val="749B1FF5"/>
    <w:rsid w:val="74BD2453"/>
    <w:rsid w:val="750758DC"/>
    <w:rsid w:val="758E3908"/>
    <w:rsid w:val="75FA06CE"/>
    <w:rsid w:val="75FF0362"/>
    <w:rsid w:val="76072C5C"/>
    <w:rsid w:val="76392B57"/>
    <w:rsid w:val="7682521B"/>
    <w:rsid w:val="76E1462B"/>
    <w:rsid w:val="76FF4ABD"/>
    <w:rsid w:val="77A15B74"/>
    <w:rsid w:val="77A25449"/>
    <w:rsid w:val="77D51D79"/>
    <w:rsid w:val="77DC095A"/>
    <w:rsid w:val="77E81002"/>
    <w:rsid w:val="77FA5285"/>
    <w:rsid w:val="780A42DC"/>
    <w:rsid w:val="788259A6"/>
    <w:rsid w:val="78917997"/>
    <w:rsid w:val="78FD502C"/>
    <w:rsid w:val="78FD60DA"/>
    <w:rsid w:val="78FF6FF6"/>
    <w:rsid w:val="795F5CE7"/>
    <w:rsid w:val="796F7C88"/>
    <w:rsid w:val="79CF2B10"/>
    <w:rsid w:val="7A0423EA"/>
    <w:rsid w:val="7A44304E"/>
    <w:rsid w:val="7A733910"/>
    <w:rsid w:val="7A8E2818"/>
    <w:rsid w:val="7A9674E6"/>
    <w:rsid w:val="7AEB6A83"/>
    <w:rsid w:val="7B6475E5"/>
    <w:rsid w:val="7B7A2964"/>
    <w:rsid w:val="7B8E01BE"/>
    <w:rsid w:val="7BF32717"/>
    <w:rsid w:val="7C09238C"/>
    <w:rsid w:val="7C4E00A9"/>
    <w:rsid w:val="7C574A54"/>
    <w:rsid w:val="7C772F8A"/>
    <w:rsid w:val="7CE935DC"/>
    <w:rsid w:val="7D12484B"/>
    <w:rsid w:val="7D16490F"/>
    <w:rsid w:val="7D7B6E68"/>
    <w:rsid w:val="7DBA173E"/>
    <w:rsid w:val="7E124D01"/>
    <w:rsid w:val="7ED04D2E"/>
    <w:rsid w:val="7F0D50B3"/>
    <w:rsid w:val="7F1F3D78"/>
    <w:rsid w:val="7F480FCB"/>
    <w:rsid w:val="7F4F1C38"/>
    <w:rsid w:val="7F665B4E"/>
    <w:rsid w:val="7F8C2C66"/>
    <w:rsid w:val="7FA9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703"/>
    </w:pPr>
    <w:rPr>
      <w:sz w:val="24"/>
      <w:szCs w:val="24"/>
    </w:rPr>
  </w:style>
  <w:style w:type="paragraph" w:styleId="3">
    <w:name w:val="Plain Text"/>
    <w:basedOn w:val="1"/>
    <w:autoRedefine/>
    <w:qFormat/>
    <w:uiPriority w:val="0"/>
    <w:rPr>
      <w:rFonts w:hint="eastAsia" w:ascii="宋体" w:hAnsi="Courier New" w:eastAsia="宋体" w:cs="Times New Roman"/>
      <w:szCs w:val="21"/>
    </w:rPr>
  </w:style>
  <w:style w:type="paragraph" w:styleId="4">
    <w:name w:val="footer"/>
    <w:basedOn w:val="1"/>
    <w:link w:val="18"/>
    <w:autoRedefine/>
    <w:unhideWhenUsed/>
    <w:qFormat/>
    <w:uiPriority w:val="99"/>
    <w:pPr>
      <w:tabs>
        <w:tab w:val="center" w:pos="4153"/>
        <w:tab w:val="right" w:pos="8306"/>
      </w:tabs>
      <w:snapToGrid w:val="0"/>
      <w:jc w:val="left"/>
    </w:pPr>
    <w:rPr>
      <w:sz w:val="18"/>
      <w:szCs w:val="18"/>
    </w:rPr>
  </w:style>
  <w:style w:type="paragraph" w:styleId="5">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rPr>
      <w:i/>
    </w:rPr>
  </w:style>
  <w:style w:type="character" w:styleId="11">
    <w:name w:val="HTML Acronym"/>
    <w:basedOn w:val="8"/>
    <w:autoRedefine/>
    <w:semiHidden/>
    <w:unhideWhenUsed/>
    <w:qFormat/>
    <w:uiPriority w:val="99"/>
    <w:rPr>
      <w:caps/>
      <w:spacing w:val="15"/>
    </w:rPr>
  </w:style>
  <w:style w:type="character" w:styleId="12">
    <w:name w:val="HTML Variable"/>
    <w:basedOn w:val="8"/>
    <w:autoRedefine/>
    <w:semiHidden/>
    <w:unhideWhenUsed/>
    <w:qFormat/>
    <w:uiPriority w:val="99"/>
    <w:rPr>
      <w:rFonts w:hint="default" w:ascii="monospace" w:hAnsi="monospace" w:eastAsia="monospace" w:cs="monospace"/>
      <w:i/>
      <w:sz w:val="24"/>
      <w:szCs w:val="24"/>
    </w:rPr>
  </w:style>
  <w:style w:type="character" w:styleId="13">
    <w:name w:val="Hyperlink"/>
    <w:basedOn w:val="8"/>
    <w:autoRedefine/>
    <w:semiHidden/>
    <w:unhideWhenUsed/>
    <w:qFormat/>
    <w:uiPriority w:val="99"/>
    <w:rPr>
      <w:color w:val="333333"/>
      <w:u w:val="none"/>
    </w:rPr>
  </w:style>
  <w:style w:type="character" w:styleId="14">
    <w:name w:val="HTML Code"/>
    <w:basedOn w:val="8"/>
    <w:autoRedefine/>
    <w:semiHidden/>
    <w:unhideWhenUsed/>
    <w:qFormat/>
    <w:uiPriority w:val="99"/>
    <w:rPr>
      <w:rFonts w:hint="default" w:ascii="monospace" w:hAnsi="monospace" w:eastAsia="monospace" w:cs="monospace"/>
      <w:color w:val="555555"/>
      <w:sz w:val="24"/>
      <w:szCs w:val="24"/>
    </w:rPr>
  </w:style>
  <w:style w:type="character" w:styleId="15">
    <w:name w:val="HTML Keyboard"/>
    <w:basedOn w:val="8"/>
    <w:autoRedefine/>
    <w:semiHidden/>
    <w:unhideWhenUsed/>
    <w:qFormat/>
    <w:uiPriority w:val="99"/>
    <w:rPr>
      <w:rFonts w:ascii="monospace" w:hAnsi="monospace" w:eastAsia="monospace" w:cs="monospace"/>
      <w:sz w:val="24"/>
      <w:szCs w:val="24"/>
    </w:rPr>
  </w:style>
  <w:style w:type="character" w:styleId="16">
    <w:name w:val="HTML Sample"/>
    <w:basedOn w:val="8"/>
    <w:autoRedefine/>
    <w:semiHidden/>
    <w:unhideWhenUsed/>
    <w:qFormat/>
    <w:uiPriority w:val="99"/>
    <w:rPr>
      <w:rFonts w:hint="default" w:ascii="monospace" w:hAnsi="monospace" w:eastAsia="monospace" w:cs="monospace"/>
      <w:sz w:val="24"/>
      <w:szCs w:val="24"/>
    </w:rPr>
  </w:style>
  <w:style w:type="character" w:customStyle="1" w:styleId="17">
    <w:name w:val="页眉 字符"/>
    <w:basedOn w:val="8"/>
    <w:link w:val="5"/>
    <w:autoRedefine/>
    <w:qFormat/>
    <w:uiPriority w:val="99"/>
    <w:rPr>
      <w:rFonts w:ascii="Calibri" w:hAnsi="Calibri" w:eastAsia="宋体" w:cs="宋体"/>
      <w:kern w:val="2"/>
      <w:sz w:val="18"/>
      <w:szCs w:val="18"/>
    </w:rPr>
  </w:style>
  <w:style w:type="character" w:customStyle="1" w:styleId="18">
    <w:name w:val="页脚 字符"/>
    <w:basedOn w:val="8"/>
    <w:link w:val="4"/>
    <w:autoRedefine/>
    <w:qFormat/>
    <w:uiPriority w:val="99"/>
    <w:rPr>
      <w:rFonts w:ascii="Calibri" w:hAnsi="Calibri" w:eastAsia="宋体" w:cs="宋体"/>
      <w:kern w:val="2"/>
      <w:sz w:val="18"/>
      <w:szCs w:val="18"/>
    </w:rPr>
  </w:style>
  <w:style w:type="character" w:customStyle="1" w:styleId="19">
    <w:name w:val="layui-laydate-preview"/>
    <w:basedOn w:val="8"/>
    <w:autoRedefine/>
    <w:qFormat/>
    <w:uiPriority w:val="0"/>
  </w:style>
  <w:style w:type="character" w:customStyle="1" w:styleId="20">
    <w:name w:val="hover11"/>
    <w:basedOn w:val="8"/>
    <w:autoRedefine/>
    <w:qFormat/>
    <w:uiPriority w:val="0"/>
    <w:rPr>
      <w:color w:val="5FB878"/>
    </w:rPr>
  </w:style>
  <w:style w:type="character" w:customStyle="1" w:styleId="21">
    <w:name w:val="hover12"/>
    <w:basedOn w:val="8"/>
    <w:autoRedefine/>
    <w:qFormat/>
    <w:uiPriority w:val="0"/>
    <w:rPr>
      <w:color w:val="5FB878"/>
    </w:rPr>
  </w:style>
  <w:style w:type="character" w:customStyle="1" w:styleId="22">
    <w:name w:val="hover13"/>
    <w:basedOn w:val="8"/>
    <w:autoRedefine/>
    <w:qFormat/>
    <w:uiPriority w:val="0"/>
    <w:rPr>
      <w:color w:val="FFFFFF"/>
    </w:rPr>
  </w:style>
  <w:style w:type="character" w:customStyle="1" w:styleId="23">
    <w:name w:val="layui-laypage-curr"/>
    <w:basedOn w:val="8"/>
    <w:autoRedefine/>
    <w:qFormat/>
    <w:uiPriority w:val="0"/>
  </w:style>
  <w:style w:type="character" w:customStyle="1" w:styleId="24">
    <w:name w:val="layui-this4"/>
    <w:basedOn w:val="8"/>
    <w:autoRedefine/>
    <w:qFormat/>
    <w:uiPriority w:val="0"/>
    <w:rPr>
      <w:bdr w:val="single" w:color="EEEEEE" w:sz="6" w:space="0"/>
      <w:shd w:val="clear" w:fill="FFFFFF"/>
    </w:rPr>
  </w:style>
  <w:style w:type="character" w:customStyle="1" w:styleId="25">
    <w:name w:val="first-child"/>
    <w:basedOn w:val="8"/>
    <w:autoRedefine/>
    <w:qFormat/>
    <w:uiPriority w:val="0"/>
  </w:style>
  <w:style w:type="character" w:customStyle="1" w:styleId="26">
    <w:name w:val="font-gray1"/>
    <w:basedOn w:val="8"/>
    <w:autoRedefine/>
    <w:qFormat/>
    <w:uiPriority w:val="0"/>
    <w:rPr>
      <w:color w:val="A7A7A7"/>
    </w:rPr>
  </w:style>
  <w:style w:type="character" w:customStyle="1" w:styleId="27">
    <w:name w:val="jbox-icon-success"/>
    <w:basedOn w:val="8"/>
    <w:autoRedefine/>
    <w:qFormat/>
    <w:uiPriority w:val="0"/>
  </w:style>
  <w:style w:type="character" w:customStyle="1" w:styleId="28">
    <w:name w:val="s_bg4_c1"/>
    <w:basedOn w:val="8"/>
    <w:autoRedefine/>
    <w:qFormat/>
    <w:uiPriority w:val="0"/>
  </w:style>
  <w:style w:type="character" w:customStyle="1" w:styleId="29">
    <w:name w:val="s_bg4_c11"/>
    <w:basedOn w:val="8"/>
    <w:autoRedefine/>
    <w:qFormat/>
    <w:uiPriority w:val="0"/>
  </w:style>
  <w:style w:type="character" w:customStyle="1" w:styleId="30">
    <w:name w:val="s_bg4_c2"/>
    <w:basedOn w:val="8"/>
    <w:autoRedefine/>
    <w:qFormat/>
    <w:uiPriority w:val="0"/>
  </w:style>
  <w:style w:type="character" w:customStyle="1" w:styleId="31">
    <w:name w:val="s_bg4_c21"/>
    <w:basedOn w:val="8"/>
    <w:autoRedefine/>
    <w:qFormat/>
    <w:uiPriority w:val="0"/>
  </w:style>
  <w:style w:type="character" w:customStyle="1" w:styleId="32">
    <w:name w:val="jbox-icon-none"/>
    <w:basedOn w:val="8"/>
    <w:autoRedefine/>
    <w:qFormat/>
    <w:uiPriority w:val="0"/>
    <w:rPr>
      <w:vanish/>
    </w:rPr>
  </w:style>
  <w:style w:type="character" w:customStyle="1" w:styleId="33">
    <w:name w:val="jbox-icon-error"/>
    <w:basedOn w:val="8"/>
    <w:autoRedefine/>
    <w:qFormat/>
    <w:uiPriority w:val="0"/>
  </w:style>
  <w:style w:type="character" w:customStyle="1" w:styleId="34">
    <w:name w:val="jbox-icon-info"/>
    <w:basedOn w:val="8"/>
    <w:autoRedefine/>
    <w:qFormat/>
    <w:uiPriority w:val="0"/>
  </w:style>
  <w:style w:type="character" w:customStyle="1" w:styleId="35">
    <w:name w:val="jbox-icon"/>
    <w:basedOn w:val="8"/>
    <w:autoRedefine/>
    <w:qFormat/>
    <w:uiPriority w:val="0"/>
  </w:style>
  <w:style w:type="character" w:customStyle="1" w:styleId="36">
    <w:name w:val="jbox-icon-question"/>
    <w:basedOn w:val="8"/>
    <w:autoRedefine/>
    <w:qFormat/>
    <w:uiPriority w:val="0"/>
  </w:style>
  <w:style w:type="character" w:customStyle="1" w:styleId="37">
    <w:name w:val="jbox-icon-warning"/>
    <w:basedOn w:val="8"/>
    <w:autoRedefine/>
    <w:qFormat/>
    <w:uiPriority w:val="0"/>
  </w:style>
  <w:style w:type="character" w:customStyle="1" w:styleId="38">
    <w:name w:val="jbox-icon-loading"/>
    <w:basedOn w:val="8"/>
    <w:autoRedefine/>
    <w:qFormat/>
    <w:uiPriority w:val="0"/>
  </w:style>
  <w:style w:type="character" w:customStyle="1" w:styleId="39">
    <w:name w:val="emotion"/>
    <w:basedOn w:val="8"/>
    <w:autoRedefine/>
    <w:qFormat/>
    <w:uiPriority w:val="0"/>
    <w:rPr>
      <w:vanish/>
      <w:sz w:val="22"/>
      <w:szCs w:val="22"/>
    </w:rPr>
  </w:style>
  <w:style w:type="character" w:customStyle="1" w:styleId="40">
    <w:name w:val="s_bg4_c12"/>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2281</Words>
  <Characters>2349</Characters>
  <Lines>35</Lines>
  <Paragraphs>9</Paragraphs>
  <TotalTime>39</TotalTime>
  <ScaleCrop>false</ScaleCrop>
  <LinksUpToDate>false</LinksUpToDate>
  <CharactersWithSpaces>2480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2022-09-15T03:35:00Z</dcterms:created>
  <dc:creator>周湘荣</dc:creator>
  <cp:lastModifiedBy>xupp</cp:lastModifiedBy>
  <cp:lastPrinted>2023-11-02T06:12:00Z</cp:lastPrinted>
  <dcterms:modified xsi:type="dcterms:W3CDTF">2025-09-03T13:50:52Z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389437C37F5D4C1599E228DB5E05D685_13</vt:lpwstr>
  </property>
  <property fmtid="{D5CDD505-2E9C-101B-9397-08002B2CF9AE}" pid="4" name="KSOTemplateDocerSaveRecord">
    <vt:lpwstr>eyJoZGlkIjoiOWZhNjEzNGE5ZmU2Mjk5ZDUyZTkxMWQxN2ZlNDE4YjQiLCJ1c2VySWQiOiI1MDc3ODk2MzQifQ==</vt:lpwstr>
  </property>
</Properties>
</file>