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0DE63">
      <w:pPr>
        <w:jc w:val="center"/>
        <w:rPr>
          <w:rFonts w:ascii="华文中宋" w:hAnsi="华文中宋" w:eastAsia="华文中宋"/>
          <w:b/>
          <w:sz w:val="32"/>
          <w:szCs w:val="32"/>
        </w:rPr>
      </w:pPr>
      <w:r>
        <w:rPr>
          <w:rFonts w:hint="eastAsia" w:ascii="华文中宋" w:hAnsi="华文中宋" w:eastAsia="华文中宋"/>
          <w:b/>
          <w:sz w:val="32"/>
          <w:szCs w:val="32"/>
          <w:lang w:val="en-US" w:eastAsia="zh-CN"/>
        </w:rPr>
        <w:t>中国电器科学研究院</w:t>
      </w:r>
      <w:r>
        <w:rPr>
          <w:rFonts w:hint="eastAsia" w:ascii="华文中宋" w:hAnsi="华文中宋" w:eastAsia="华文中宋"/>
          <w:b/>
          <w:sz w:val="32"/>
          <w:szCs w:val="32"/>
        </w:rPr>
        <w:t>股份有限公司</w:t>
      </w:r>
    </w:p>
    <w:p w14:paraId="3E651E58">
      <w:pPr>
        <w:jc w:val="center"/>
        <w:rPr>
          <w:rFonts w:ascii="华文中宋" w:hAnsi="华文中宋" w:eastAsia="华文中宋"/>
          <w:b/>
          <w:sz w:val="32"/>
          <w:szCs w:val="32"/>
        </w:rPr>
      </w:pPr>
      <w:r>
        <w:rPr>
          <w:rFonts w:hint="eastAsia" w:ascii="华文中宋" w:hAnsi="华文中宋" w:eastAsia="华文中宋"/>
          <w:b/>
          <w:sz w:val="32"/>
          <w:szCs w:val="32"/>
        </w:rPr>
        <w:t>投资者关系活动记录表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62E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668" w:type="dxa"/>
            <w:vAlign w:val="center"/>
          </w:tcPr>
          <w:p w14:paraId="28B1949D">
            <w:pPr>
              <w:jc w:val="center"/>
              <w:rPr>
                <w:rFonts w:asciiTheme="minorEastAsia" w:hAnsiTheme="minorEastAsia"/>
                <w:b/>
                <w:sz w:val="24"/>
                <w:szCs w:val="24"/>
              </w:rPr>
            </w:pPr>
            <w:r>
              <w:rPr>
                <w:rFonts w:hint="eastAsia" w:asciiTheme="minorEastAsia" w:hAnsiTheme="minorEastAsia"/>
                <w:b/>
                <w:sz w:val="24"/>
                <w:szCs w:val="24"/>
              </w:rPr>
              <w:t>投资者关系</w:t>
            </w:r>
          </w:p>
          <w:p w14:paraId="6FA0E504">
            <w:pPr>
              <w:jc w:val="center"/>
              <w:rPr>
                <w:rFonts w:asciiTheme="minorEastAsia" w:hAnsiTheme="minorEastAsia"/>
                <w:b/>
                <w:sz w:val="24"/>
                <w:szCs w:val="24"/>
              </w:rPr>
            </w:pPr>
            <w:r>
              <w:rPr>
                <w:rFonts w:hint="eastAsia" w:asciiTheme="minorEastAsia" w:hAnsiTheme="minorEastAsia"/>
                <w:b/>
                <w:sz w:val="24"/>
                <w:szCs w:val="24"/>
              </w:rPr>
              <w:t>活动类别</w:t>
            </w:r>
          </w:p>
        </w:tc>
        <w:tc>
          <w:tcPr>
            <w:tcW w:w="6854" w:type="dxa"/>
          </w:tcPr>
          <w:p w14:paraId="2B01A752">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□特定对象调研</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□分析师会议</w:t>
            </w:r>
          </w:p>
          <w:p w14:paraId="3CB85C2F">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□媒体采访</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□业绩说明会</w:t>
            </w:r>
          </w:p>
          <w:p w14:paraId="00EDE57B">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□新闻发布会</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□路演活动</w:t>
            </w:r>
          </w:p>
          <w:p w14:paraId="373176BA">
            <w:pPr>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□现场参观</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√其他</w:t>
            </w:r>
            <w:r>
              <w:rPr>
                <w:rFonts w:hint="eastAsia" w:cs="Arial" w:asciiTheme="minorEastAsia" w:hAnsiTheme="minorEastAsia"/>
                <w:sz w:val="24"/>
                <w:szCs w:val="24"/>
                <w:shd w:val="clear" w:color="auto" w:fill="FFFFFF"/>
              </w:rPr>
              <w:t xml:space="preserve"> </w:t>
            </w:r>
          </w:p>
          <w:p w14:paraId="3E53AC69">
            <w:pPr>
              <w:rPr>
                <w:rFonts w:cs="Arial" w:asciiTheme="minorEastAsia" w:hAnsiTheme="minorEastAsia"/>
                <w:sz w:val="24"/>
                <w:szCs w:val="24"/>
                <w:shd w:val="clear" w:color="auto" w:fill="FFFFFF"/>
              </w:rPr>
            </w:pPr>
            <w:r>
              <w:rPr>
                <w:rFonts w:hint="eastAsia" w:cs="Arial" w:asciiTheme="minorEastAsia" w:hAnsiTheme="minorEastAsia"/>
                <w:sz w:val="24"/>
                <w:szCs w:val="24"/>
                <w:u w:val="single"/>
                <w:shd w:val="clear" w:color="auto" w:fill="FFFFFF"/>
              </w:rPr>
              <w:t>国机集团2</w:t>
            </w:r>
            <w:r>
              <w:rPr>
                <w:rFonts w:cs="Arial" w:asciiTheme="minorEastAsia" w:hAnsiTheme="minorEastAsia"/>
                <w:sz w:val="24"/>
                <w:szCs w:val="24"/>
                <w:u w:val="single"/>
                <w:shd w:val="clear" w:color="auto" w:fill="FFFFFF"/>
              </w:rPr>
              <w:t>0</w:t>
            </w:r>
            <w:r>
              <w:rPr>
                <w:rFonts w:hint="eastAsia" w:cs="Arial" w:asciiTheme="minorEastAsia" w:hAnsiTheme="minorEastAsia"/>
                <w:sz w:val="24"/>
                <w:szCs w:val="24"/>
                <w:u w:val="single"/>
                <w:shd w:val="clear" w:color="auto" w:fill="FFFFFF"/>
                <w:lang w:val="en-US" w:eastAsia="zh-CN"/>
              </w:rPr>
              <w:t>25</w:t>
            </w:r>
            <w:r>
              <w:rPr>
                <w:rFonts w:hint="eastAsia" w:cs="Arial" w:asciiTheme="minorEastAsia" w:hAnsiTheme="minorEastAsia"/>
                <w:sz w:val="24"/>
                <w:szCs w:val="24"/>
                <w:u w:val="single"/>
                <w:shd w:val="clear" w:color="auto" w:fill="FFFFFF"/>
              </w:rPr>
              <w:t>年上市公司集体投资者交流活动</w:t>
            </w:r>
          </w:p>
        </w:tc>
      </w:tr>
      <w:tr w14:paraId="7E89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668" w:type="dxa"/>
            <w:vAlign w:val="center"/>
          </w:tcPr>
          <w:p w14:paraId="5AD59ACE">
            <w:pPr>
              <w:jc w:val="center"/>
              <w:rPr>
                <w:rFonts w:asciiTheme="minorEastAsia" w:hAnsiTheme="minorEastAsia"/>
                <w:b/>
                <w:sz w:val="24"/>
                <w:szCs w:val="24"/>
              </w:rPr>
            </w:pPr>
            <w:r>
              <w:rPr>
                <w:rFonts w:hint="eastAsia" w:asciiTheme="minorEastAsia" w:hAnsiTheme="minorEastAsia"/>
                <w:b/>
                <w:sz w:val="24"/>
                <w:szCs w:val="24"/>
              </w:rPr>
              <w:t>参与单位名称及人员姓名</w:t>
            </w:r>
          </w:p>
        </w:tc>
        <w:tc>
          <w:tcPr>
            <w:tcW w:w="6854" w:type="dxa"/>
            <w:vAlign w:val="center"/>
          </w:tcPr>
          <w:p w14:paraId="18001AA7">
            <w:pP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中信建投：陶强</w:t>
            </w:r>
            <w:r>
              <w:rPr>
                <w:rFonts w:hint="eastAsia" w:asciiTheme="minorEastAsia" w:hAnsiTheme="minorEastAsia"/>
                <w:sz w:val="24"/>
                <w:szCs w:val="24"/>
              </w:rPr>
              <w:t>、</w:t>
            </w:r>
            <w:r>
              <w:rPr>
                <w:rFonts w:hint="eastAsia" w:asciiTheme="minorEastAsia" w:hAnsiTheme="minorEastAsia"/>
                <w:sz w:val="24"/>
                <w:szCs w:val="24"/>
                <w:lang w:val="en-US" w:eastAsia="zh-CN"/>
              </w:rPr>
              <w:t>籍星博</w:t>
            </w:r>
          </w:p>
          <w:p w14:paraId="35D4F7DC">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广发证券：代川</w:t>
            </w:r>
          </w:p>
          <w:p w14:paraId="095E67D9">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华泰证券：黄波</w:t>
            </w:r>
          </w:p>
          <w:p w14:paraId="1B28BFA5">
            <w:pP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泓德基金：李昕阳</w:t>
            </w:r>
          </w:p>
          <w:p w14:paraId="51064A3D">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国盛证券：彭元立</w:t>
            </w:r>
          </w:p>
          <w:p w14:paraId="4E72BDF5">
            <w:pP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财通证券：张生</w:t>
            </w:r>
          </w:p>
          <w:p w14:paraId="540BE04F">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广州产投：苗田雨</w:t>
            </w:r>
            <w:r>
              <w:rPr>
                <w:rFonts w:hint="eastAsia" w:asciiTheme="minorEastAsia" w:hAnsiTheme="minorEastAsia"/>
                <w:sz w:val="24"/>
                <w:szCs w:val="24"/>
              </w:rPr>
              <w:t>、</w:t>
            </w:r>
            <w:r>
              <w:rPr>
                <w:rFonts w:hint="eastAsia" w:asciiTheme="minorEastAsia" w:hAnsiTheme="minorEastAsia"/>
                <w:sz w:val="24"/>
                <w:szCs w:val="24"/>
                <w:lang w:val="en-US" w:eastAsia="zh-CN"/>
              </w:rPr>
              <w:t>曾文静</w:t>
            </w:r>
          </w:p>
          <w:p w14:paraId="0E2BBF19">
            <w:pP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中国证券报：王欣子</w:t>
            </w:r>
            <w:r>
              <w:rPr>
                <w:rFonts w:hint="eastAsia" w:asciiTheme="minorEastAsia" w:hAnsiTheme="minorEastAsia"/>
                <w:sz w:val="24"/>
                <w:szCs w:val="24"/>
              </w:rPr>
              <w:t>、</w:t>
            </w:r>
            <w:r>
              <w:rPr>
                <w:rFonts w:hint="eastAsia" w:asciiTheme="minorEastAsia" w:hAnsiTheme="minorEastAsia"/>
                <w:sz w:val="24"/>
                <w:szCs w:val="24"/>
                <w:lang w:val="en-US" w:eastAsia="zh-CN"/>
              </w:rPr>
              <w:t>李锴</w:t>
            </w:r>
          </w:p>
        </w:tc>
      </w:tr>
      <w:tr w14:paraId="5E03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11D5A95">
            <w:pPr>
              <w:jc w:val="center"/>
              <w:rPr>
                <w:rFonts w:asciiTheme="minorEastAsia" w:hAnsiTheme="minorEastAsia"/>
                <w:b/>
                <w:sz w:val="24"/>
                <w:szCs w:val="24"/>
              </w:rPr>
            </w:pPr>
            <w:r>
              <w:rPr>
                <w:rFonts w:hint="eastAsia" w:asciiTheme="minorEastAsia" w:hAnsiTheme="minorEastAsia"/>
                <w:b/>
                <w:sz w:val="24"/>
                <w:szCs w:val="24"/>
              </w:rPr>
              <w:t>时间</w:t>
            </w:r>
          </w:p>
        </w:tc>
        <w:tc>
          <w:tcPr>
            <w:tcW w:w="6854" w:type="dxa"/>
          </w:tcPr>
          <w:p w14:paraId="5FD9DB0E">
            <w:pPr>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9</w:t>
            </w:r>
            <w:r>
              <w:rPr>
                <w:rFonts w:hint="eastAsia" w:asciiTheme="minorEastAsia" w:hAnsiTheme="minorEastAsia"/>
                <w:sz w:val="24"/>
                <w:szCs w:val="24"/>
              </w:rPr>
              <w:t>月</w:t>
            </w:r>
            <w:r>
              <w:rPr>
                <w:rFonts w:hint="eastAsia" w:asciiTheme="minorEastAsia" w:hAnsiTheme="minorEastAsia"/>
                <w:sz w:val="24"/>
                <w:szCs w:val="24"/>
                <w:lang w:val="en-US" w:eastAsia="zh-CN"/>
              </w:rPr>
              <w:t>5</w:t>
            </w:r>
            <w:r>
              <w:rPr>
                <w:rFonts w:hint="eastAsia" w:asciiTheme="minorEastAsia" w:hAnsiTheme="minorEastAsia"/>
                <w:sz w:val="24"/>
                <w:szCs w:val="24"/>
              </w:rPr>
              <w:t>日</w:t>
            </w:r>
          </w:p>
        </w:tc>
      </w:tr>
      <w:tr w14:paraId="31FC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2DB5B50">
            <w:pPr>
              <w:jc w:val="center"/>
              <w:rPr>
                <w:rFonts w:asciiTheme="minorEastAsia" w:hAnsiTheme="minorEastAsia"/>
                <w:b/>
                <w:sz w:val="24"/>
                <w:szCs w:val="24"/>
              </w:rPr>
            </w:pPr>
            <w:r>
              <w:rPr>
                <w:rFonts w:cs="Arial" w:asciiTheme="minorEastAsia" w:hAnsiTheme="minorEastAsia"/>
                <w:b/>
                <w:sz w:val="24"/>
                <w:szCs w:val="24"/>
                <w:shd w:val="clear" w:color="auto" w:fill="FFFFFF"/>
              </w:rPr>
              <w:t>地点</w:t>
            </w:r>
          </w:p>
        </w:tc>
        <w:tc>
          <w:tcPr>
            <w:tcW w:w="6854" w:type="dxa"/>
          </w:tcPr>
          <w:p w14:paraId="2639048D">
            <w:pP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广东省广州市</w:t>
            </w:r>
          </w:p>
        </w:tc>
      </w:tr>
      <w:tr w14:paraId="30EC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600A49ED">
            <w:pPr>
              <w:jc w:val="center"/>
              <w:rPr>
                <w:rFonts w:asciiTheme="minorEastAsia" w:hAnsiTheme="minorEastAsia"/>
                <w:b/>
                <w:sz w:val="24"/>
                <w:szCs w:val="24"/>
              </w:rPr>
            </w:pPr>
            <w:r>
              <w:rPr>
                <w:rFonts w:hint="eastAsia" w:asciiTheme="minorEastAsia" w:hAnsiTheme="minorEastAsia"/>
                <w:b/>
                <w:sz w:val="24"/>
                <w:szCs w:val="24"/>
              </w:rPr>
              <w:t>上市公司接待人员姓名</w:t>
            </w:r>
          </w:p>
        </w:tc>
        <w:tc>
          <w:tcPr>
            <w:tcW w:w="6854" w:type="dxa"/>
          </w:tcPr>
          <w:p w14:paraId="1E489D6E">
            <w:pPr>
              <w:spacing w:line="360" w:lineRule="atLeast"/>
              <w:rPr>
                <w:rFonts w:hint="eastAsia" w:asciiTheme="minorEastAsia" w:hAnsiTheme="minorEastAsia"/>
                <w:sz w:val="24"/>
                <w:szCs w:val="24"/>
                <w:lang w:val="en-US" w:eastAsia="zh-CN"/>
              </w:rPr>
            </w:pPr>
            <w:r>
              <w:rPr>
                <w:rFonts w:asciiTheme="minorEastAsia" w:hAnsiTheme="minorEastAsia"/>
                <w:sz w:val="24"/>
                <w:szCs w:val="24"/>
              </w:rPr>
              <w:t>董事长</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秦汉军</w:t>
            </w:r>
          </w:p>
          <w:p w14:paraId="2594F4A6">
            <w:pPr>
              <w:spacing w:line="360" w:lineRule="atLeast"/>
              <w:rPr>
                <w:rFonts w:hint="default" w:asciiTheme="minorEastAsia" w:hAnsiTheme="minorEastAsia" w:eastAsiaTheme="minorEastAsia"/>
                <w:sz w:val="24"/>
                <w:szCs w:val="24"/>
                <w:lang w:val="en-US" w:eastAsia="zh-CN"/>
              </w:rPr>
            </w:pPr>
            <w:r>
              <w:rPr>
                <w:rFonts w:asciiTheme="minorEastAsia" w:hAnsiTheme="minorEastAsia"/>
                <w:sz w:val="24"/>
                <w:szCs w:val="24"/>
              </w:rPr>
              <w:t>财务总监</w:t>
            </w:r>
            <w:r>
              <w:rPr>
                <w:rFonts w:hint="eastAsia" w:asciiTheme="minorEastAsia" w:hAnsiTheme="minorEastAsia"/>
                <w:sz w:val="24"/>
                <w:szCs w:val="24"/>
              </w:rPr>
              <w:t>：</w:t>
            </w:r>
            <w:r>
              <w:rPr>
                <w:rFonts w:hint="eastAsia" w:asciiTheme="minorEastAsia" w:hAnsiTheme="minorEastAsia"/>
                <w:sz w:val="24"/>
                <w:szCs w:val="24"/>
                <w:lang w:val="en-US" w:eastAsia="zh-CN"/>
              </w:rPr>
              <w:t>韩保进</w:t>
            </w:r>
          </w:p>
          <w:p w14:paraId="500B4A47">
            <w:pPr>
              <w:spacing w:line="360" w:lineRule="atLeas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副总经理</w:t>
            </w:r>
            <w:r>
              <w:rPr>
                <w:rFonts w:hint="eastAsia" w:asciiTheme="minorEastAsia" w:hAnsiTheme="minorEastAsia"/>
                <w:sz w:val="24"/>
                <w:szCs w:val="24"/>
              </w:rPr>
              <w:t>、</w:t>
            </w:r>
            <w:r>
              <w:rPr>
                <w:rFonts w:asciiTheme="minorEastAsia" w:hAnsiTheme="minorEastAsia"/>
                <w:sz w:val="24"/>
                <w:szCs w:val="24"/>
              </w:rPr>
              <w:t>董事会秘书</w:t>
            </w:r>
            <w:r>
              <w:rPr>
                <w:rFonts w:hint="eastAsia" w:asciiTheme="minorEastAsia" w:hAnsiTheme="minorEastAsia"/>
                <w:sz w:val="24"/>
                <w:szCs w:val="24"/>
              </w:rPr>
              <w:t>：</w:t>
            </w:r>
            <w:r>
              <w:rPr>
                <w:rFonts w:hint="eastAsia" w:asciiTheme="minorEastAsia" w:hAnsiTheme="minorEastAsia"/>
                <w:sz w:val="24"/>
                <w:szCs w:val="24"/>
                <w:lang w:val="en-US" w:eastAsia="zh-CN"/>
              </w:rPr>
              <w:t>王柳</w:t>
            </w:r>
          </w:p>
          <w:p w14:paraId="4748C576">
            <w:pPr>
              <w:spacing w:line="360" w:lineRule="atLeas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投资管理部部长：苏少锐</w:t>
            </w:r>
          </w:p>
        </w:tc>
      </w:tr>
      <w:tr w14:paraId="2B3A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1F4A8FED">
            <w:pPr>
              <w:jc w:val="center"/>
              <w:rPr>
                <w:rFonts w:asciiTheme="minorEastAsia" w:hAnsiTheme="minorEastAsia"/>
                <w:b/>
                <w:sz w:val="24"/>
                <w:szCs w:val="24"/>
              </w:rPr>
            </w:pPr>
            <w:r>
              <w:rPr>
                <w:rFonts w:hint="eastAsia" w:asciiTheme="minorEastAsia" w:hAnsiTheme="minorEastAsia"/>
                <w:b/>
                <w:sz w:val="24"/>
                <w:szCs w:val="24"/>
              </w:rPr>
              <w:t>投资者关系活动主要内容介绍</w:t>
            </w:r>
          </w:p>
        </w:tc>
        <w:tc>
          <w:tcPr>
            <w:tcW w:w="6854" w:type="dxa"/>
          </w:tcPr>
          <w:p w14:paraId="665DDFF7">
            <w:pPr>
              <w:spacing w:line="360" w:lineRule="exact"/>
              <w:rPr>
                <w:rFonts w:asciiTheme="minorEastAsia" w:hAnsiTheme="minorEastAsia"/>
                <w:sz w:val="24"/>
                <w:szCs w:val="21"/>
              </w:rPr>
            </w:pPr>
            <w:r>
              <w:rPr>
                <w:rFonts w:hint="eastAsia" w:asciiTheme="minorEastAsia" w:hAnsiTheme="minorEastAsia"/>
                <w:b/>
                <w:sz w:val="24"/>
                <w:szCs w:val="21"/>
              </w:rPr>
              <w:t xml:space="preserve"> </w:t>
            </w:r>
            <w:r>
              <w:rPr>
                <w:rFonts w:asciiTheme="minorEastAsia" w:hAnsiTheme="minorEastAsia"/>
                <w:b/>
                <w:sz w:val="24"/>
                <w:szCs w:val="21"/>
              </w:rPr>
              <w:t xml:space="preserve">  </w:t>
            </w:r>
            <w:bookmarkStart w:id="0" w:name="_GoBack"/>
            <w:bookmarkEnd w:id="0"/>
            <w:r>
              <w:rPr>
                <w:rFonts w:hint="eastAsia" w:asciiTheme="minorEastAsia" w:hAnsiTheme="minorEastAsia"/>
                <w:sz w:val="24"/>
                <w:szCs w:val="21"/>
              </w:rPr>
              <w:t>公司控股股东中国机械工业集团有限公司（以下简称国机集团）于202</w:t>
            </w:r>
            <w:r>
              <w:rPr>
                <w:rFonts w:hint="eastAsia" w:asciiTheme="minorEastAsia" w:hAnsiTheme="minorEastAsia"/>
                <w:sz w:val="24"/>
                <w:szCs w:val="21"/>
                <w:lang w:val="en-US" w:eastAsia="zh-CN"/>
              </w:rPr>
              <w:t>5</w:t>
            </w:r>
            <w:r>
              <w:rPr>
                <w:rFonts w:hint="eastAsia" w:asciiTheme="minorEastAsia" w:hAnsiTheme="minorEastAsia"/>
                <w:sz w:val="24"/>
                <w:szCs w:val="21"/>
              </w:rPr>
              <w:t>年</w:t>
            </w:r>
            <w:r>
              <w:rPr>
                <w:rFonts w:hint="eastAsia" w:asciiTheme="minorEastAsia" w:hAnsiTheme="minorEastAsia"/>
                <w:sz w:val="24"/>
                <w:szCs w:val="21"/>
                <w:lang w:val="en-US" w:eastAsia="zh-CN"/>
              </w:rPr>
              <w:t>9</w:t>
            </w:r>
            <w:r>
              <w:rPr>
                <w:rFonts w:hint="eastAsia" w:asciiTheme="minorEastAsia" w:hAnsiTheme="minorEastAsia"/>
                <w:sz w:val="24"/>
                <w:szCs w:val="21"/>
              </w:rPr>
              <w:t>月</w:t>
            </w:r>
            <w:r>
              <w:rPr>
                <w:rFonts w:hint="eastAsia" w:asciiTheme="minorEastAsia" w:hAnsiTheme="minorEastAsia"/>
                <w:sz w:val="24"/>
                <w:szCs w:val="21"/>
                <w:lang w:val="en-US" w:eastAsia="zh-CN"/>
              </w:rPr>
              <w:t>5</w:t>
            </w:r>
            <w:r>
              <w:rPr>
                <w:rFonts w:hint="eastAsia" w:asciiTheme="minorEastAsia" w:hAnsiTheme="minorEastAsia"/>
                <w:sz w:val="24"/>
                <w:szCs w:val="21"/>
              </w:rPr>
              <w:t>日举办国机集团202</w:t>
            </w:r>
            <w:r>
              <w:rPr>
                <w:rFonts w:hint="eastAsia" w:asciiTheme="minorEastAsia" w:hAnsiTheme="minorEastAsia"/>
                <w:sz w:val="24"/>
                <w:szCs w:val="21"/>
                <w:lang w:val="en-US" w:eastAsia="zh-CN"/>
              </w:rPr>
              <w:t>5</w:t>
            </w:r>
            <w:r>
              <w:rPr>
                <w:rFonts w:hint="eastAsia" w:asciiTheme="minorEastAsia" w:hAnsiTheme="minorEastAsia"/>
                <w:sz w:val="24"/>
                <w:szCs w:val="21"/>
              </w:rPr>
              <w:t>年上市公司集体投资者交流活动。</w:t>
            </w:r>
          </w:p>
          <w:p w14:paraId="392F3096">
            <w:pPr>
              <w:spacing w:line="360" w:lineRule="exact"/>
              <w:rPr>
                <w:rFonts w:hint="eastAsia" w:asciiTheme="minorEastAsia" w:hAnsiTheme="minorEastAsia"/>
                <w:b/>
                <w:sz w:val="24"/>
                <w:szCs w:val="21"/>
              </w:rPr>
            </w:pPr>
            <w:r>
              <w:rPr>
                <w:rFonts w:asciiTheme="minorEastAsia" w:hAnsiTheme="minorEastAsia"/>
                <w:b/>
                <w:sz w:val="24"/>
                <w:szCs w:val="21"/>
              </w:rPr>
              <w:t xml:space="preserve">   </w:t>
            </w:r>
            <w:r>
              <w:rPr>
                <w:rFonts w:hint="eastAsia" w:asciiTheme="minorEastAsia" w:hAnsiTheme="minorEastAsia"/>
                <w:b/>
                <w:sz w:val="24"/>
                <w:szCs w:val="21"/>
              </w:rPr>
              <w:t>1.公司各业务板块的资本开支计划及下游需求情况如何？</w:t>
            </w:r>
          </w:p>
          <w:p w14:paraId="710E0A99">
            <w:pPr>
              <w:spacing w:line="360" w:lineRule="exact"/>
              <w:ind w:firstLine="361" w:firstLineChars="150"/>
              <w:rPr>
                <w:rFonts w:hint="eastAsia" w:asciiTheme="minorEastAsia" w:hAnsiTheme="minorEastAsia"/>
                <w:b w:val="0"/>
                <w:bCs/>
                <w:sz w:val="24"/>
                <w:szCs w:val="21"/>
              </w:rPr>
            </w:pPr>
            <w:r>
              <w:rPr>
                <w:rFonts w:hint="eastAsia" w:asciiTheme="minorEastAsia" w:hAnsiTheme="minorEastAsia"/>
                <w:b/>
                <w:sz w:val="24"/>
                <w:szCs w:val="21"/>
              </w:rPr>
              <w:t>答：</w:t>
            </w:r>
            <w:r>
              <w:rPr>
                <w:rFonts w:hint="eastAsia" w:asciiTheme="minorEastAsia" w:hAnsiTheme="minorEastAsia"/>
                <w:b w:val="0"/>
                <w:bCs/>
                <w:sz w:val="24"/>
                <w:szCs w:val="21"/>
              </w:rPr>
              <w:t>（1）近年来，公司的资本性开支计划主要用于基础研发和产能扩建，以支持公司的长期发展战略。</w:t>
            </w:r>
          </w:p>
          <w:p w14:paraId="045E2C93">
            <w:pPr>
              <w:spacing w:line="360" w:lineRule="exact"/>
              <w:ind w:firstLine="360" w:firstLineChars="150"/>
              <w:rPr>
                <w:rFonts w:hint="eastAsia" w:asciiTheme="minorEastAsia" w:hAnsiTheme="minorEastAsia"/>
                <w:b w:val="0"/>
                <w:bCs/>
                <w:sz w:val="24"/>
                <w:szCs w:val="21"/>
              </w:rPr>
            </w:pPr>
            <w:r>
              <w:rPr>
                <w:rFonts w:hint="eastAsia" w:asciiTheme="minorEastAsia" w:hAnsiTheme="minorEastAsia"/>
                <w:b w:val="0"/>
                <w:bCs/>
                <w:sz w:val="24"/>
                <w:szCs w:val="21"/>
              </w:rPr>
              <w:t>公司质量技术服务业务板块大型的在建项目一是制造服务业创新基地项目，项目计划投资总额约5.7亿元。该扩建项目是对公司质量技术服务业务广州总部检测基地进行扩建改造，建筑面积约</w:t>
            </w:r>
            <w:r>
              <w:rPr>
                <w:rFonts w:hint="eastAsia" w:asciiTheme="minorEastAsia" w:hAnsiTheme="minorEastAsia"/>
                <w:b w:val="0"/>
                <w:bCs/>
                <w:sz w:val="24"/>
                <w:szCs w:val="21"/>
                <w:lang w:val="en-US" w:eastAsia="zh-CN"/>
              </w:rPr>
              <w:t>5</w:t>
            </w:r>
            <w:r>
              <w:rPr>
                <w:rFonts w:hint="eastAsia" w:asciiTheme="minorEastAsia" w:hAnsiTheme="minorEastAsia"/>
                <w:b w:val="0"/>
                <w:bCs/>
                <w:sz w:val="24"/>
                <w:szCs w:val="21"/>
              </w:rPr>
              <w:t>万平方米，主要用于检测服务、研发等；同时，面向智能家居、智能汽车、能源装备、医疗健康等战略性新兴领域搭建智能评价综合服务平台、可靠性评价综合服务平台、医疗健康及绿色低碳评价综合服务平台，以提升公司质量技术服务能力。二是在苏州新建长三角总部基地项目，该项目一部分涉及质量技术服务业务，另一部分涉及智能装备类的业务。项目计划总投资约12亿元人民币，其中一期投资约3亿元，二期投资计划拟根据一期运营情况、市场及产业需求等情况确定。项目旨在全面提升公司在华东地区的服务能力，开展标准规范制订、行业共性技术研究以及第三方测试研发服务，搭建智能家居、智能汽车等产业发展和共性技术推广的公共服务平台；建设新能源高端装备及试验装备新基地，成为长三角区域领先的“电器行业质量整体提升解决方案”提供者。项目一期将新建新能源汽车热管理零部件试验装备、制冷及家电试验装备、新能源电池生产线的后处理系统设备等相关装备生产厂房及制冷设备、新能源汽车热管理、新能源电池及光储充系统、医疗器械等相关检测实验室，总建筑面积约3万平方米，并购置相关生产、检测等设备。此外，环保涂料及树脂业务还在持续推进东莞立沙岛高性能环保涂料项目的建设，该项目计划投资约2.7亿元。</w:t>
            </w:r>
          </w:p>
          <w:p w14:paraId="4799258B">
            <w:pPr>
              <w:numPr>
                <w:ilvl w:val="0"/>
                <w:numId w:val="1"/>
              </w:numPr>
              <w:spacing w:line="360" w:lineRule="exact"/>
              <w:rPr>
                <w:rFonts w:hint="eastAsia" w:asciiTheme="minorEastAsia" w:hAnsiTheme="minorEastAsia"/>
                <w:b w:val="0"/>
                <w:bCs/>
                <w:sz w:val="24"/>
                <w:szCs w:val="21"/>
              </w:rPr>
            </w:pPr>
            <w:r>
              <w:rPr>
                <w:rFonts w:hint="eastAsia" w:asciiTheme="minorEastAsia" w:hAnsiTheme="minorEastAsia"/>
                <w:b w:val="0"/>
                <w:bCs/>
                <w:sz w:val="24"/>
                <w:szCs w:val="21"/>
              </w:rPr>
              <w:t>下游需求方面：</w:t>
            </w:r>
          </w:p>
          <w:p w14:paraId="455F9C41">
            <w:pPr>
              <w:numPr>
                <w:ilvl w:val="0"/>
                <w:numId w:val="0"/>
              </w:numPr>
              <w:spacing w:line="360" w:lineRule="exact"/>
              <w:ind w:firstLine="480" w:firstLineChars="200"/>
              <w:rPr>
                <w:rFonts w:hint="eastAsia" w:asciiTheme="minorEastAsia" w:hAnsiTheme="minorEastAsia"/>
                <w:b w:val="0"/>
                <w:bCs/>
                <w:sz w:val="24"/>
                <w:szCs w:val="21"/>
              </w:rPr>
            </w:pPr>
            <w:r>
              <w:rPr>
                <w:rFonts w:hint="eastAsia" w:asciiTheme="minorEastAsia" w:hAnsiTheme="minorEastAsia"/>
                <w:b w:val="0"/>
                <w:bCs/>
                <w:sz w:val="24"/>
                <w:szCs w:val="21"/>
              </w:rPr>
              <w:t>公司质量技术服务业务所属行业为“质检技术服务”，该行业是随着社会的进步和发展，基于全社会对QHSE（质量、健康、安全、环境）等方面要求的不断提高，并随着技术的不断进步而逐渐发展起来的行业。其“服务万业”的特点决定了其是一个空间巨大且极具潜力的市场，其市场规模随着下游市场规模的扩大而扩大。近年来，全球第三方检验检测行业保持稳定增长；国内第三方检验检测行业保持较强增长态势，尤其是电子电器等新兴领域的检测检验业务收入同比增长4.24%，收入增速是传统领域的近两倍，整体发展势头良好。</w:t>
            </w:r>
          </w:p>
          <w:p w14:paraId="7FEB4E54">
            <w:pPr>
              <w:spacing w:line="360" w:lineRule="exact"/>
              <w:ind w:firstLine="480" w:firstLineChars="200"/>
              <w:rPr>
                <w:rFonts w:hint="eastAsia" w:asciiTheme="minorEastAsia" w:hAnsiTheme="minorEastAsia"/>
                <w:b w:val="0"/>
                <w:bCs/>
                <w:sz w:val="24"/>
                <w:szCs w:val="21"/>
              </w:rPr>
            </w:pPr>
            <w:r>
              <w:rPr>
                <w:rFonts w:hint="eastAsia" w:asciiTheme="minorEastAsia" w:hAnsiTheme="minorEastAsia"/>
                <w:b w:val="0"/>
                <w:bCs/>
                <w:sz w:val="24"/>
                <w:szCs w:val="21"/>
              </w:rPr>
              <w:t>公司电气装备业务近年来的发展与绿色、清洁能源的生产、转换、存储、使用等行业密切相关。在绿色低碳的背景下，前述有关行业发展态势良好。锂电池行业延续增长态势，从需求侧看在汽车电动化和电化学储能需求的双重驱动下，能源结构转型加速，带动锂电池行业出货量呈现持续增长态势。据中国汽车动力电池产业创新联盟统计，2025年上半年我国动力和其他电池累计产量为697.3GWh，累计同比增长60.4%，增长态势明显；从供给端来看，工业和信息化部组织制定的强制性国家标准《电动汽车用动力蓄电池安全要求》（GB38031-2025）已由国家市场监督管理总局、国家标准化管理委员会批准发布。该标准的实施将加速动力电池行业的洗牌进程，促使无法满足新标准的落后产能被淘汰，这一变化将推动产业加快转型升级，同时驱动下游设备进入新一轮发展，推动整个产业链的协同发展。在电力市场方面，太阳能发电、风电、水电等为主体的可再生能源越来越受到重视，在电网中的装机及发电量比重持续增大。根据国家能源局数据，2025年一季度，全国可再生能源新增装机7,675万千瓦，同比增长21%，约占新增装机的90%。装机规模持续实现新突破，带动励磁装备等相关业务持续发展。此外，根据高工氢电产业研究所《中国电解水制氢项目数据库》，截至2025年5月，国内已建成绿氢项目制氢规模超过1.2GW，在建及公开规划绿氢项目制氢总规模超过110GW。随着绿氢项目的大规模投建，制氢电源等相关行业迎来了重要的发展机遇。</w:t>
            </w:r>
          </w:p>
          <w:p w14:paraId="74B5F886">
            <w:pPr>
              <w:spacing w:line="360" w:lineRule="exact"/>
              <w:ind w:firstLine="480" w:firstLineChars="200"/>
              <w:rPr>
                <w:rFonts w:hint="eastAsia" w:asciiTheme="minorEastAsia" w:hAnsiTheme="minorEastAsia"/>
                <w:b w:val="0"/>
                <w:bCs/>
                <w:sz w:val="24"/>
                <w:szCs w:val="21"/>
              </w:rPr>
            </w:pPr>
            <w:r>
              <w:rPr>
                <w:rFonts w:hint="eastAsia" w:asciiTheme="minorEastAsia" w:hAnsiTheme="minorEastAsia"/>
                <w:b w:val="0"/>
                <w:bCs/>
                <w:sz w:val="24"/>
                <w:szCs w:val="21"/>
              </w:rPr>
              <w:t>公司成套装备业务深耕家电领域，逐步拓展新能源热管理等新领域。在国内，尽管家电行业发展较为成熟，但产业结构升级、消费多元化、大规模设备更新与消费品以旧换新、国家政策对绿色和智能产业发展引导，以及家电行业产品标准升级等，都将为家电行业带来新的机遇和增长点，带动国内家电企业自动化、智能化改造，新建或更新生产线，家电智能装备需求增加。在国外，随着“一带一路”沿线发展中国家城市化进程的加速，家电进入快速普及期，各国政府在政策上鼓励本土化制造，家电智能装备需求量增加；同时，上述国家普遍缺乏熟练的产业工人，生产效率较低，对家电制造装备智能化、自动化的需求更为迫切，家电智能制造装备行业发展前景广阔。2025年上半年，我国家电行业呈现出“内稳外升”的发展态势，相关装备行业趋势向好。新能效标准及绿色制造要求推动企业产线升级改造，节能减碳相关设备（如新能源热管理系统）需求明显增长。</w:t>
            </w:r>
          </w:p>
          <w:p w14:paraId="17AC6B50">
            <w:pPr>
              <w:spacing w:line="360" w:lineRule="exact"/>
              <w:ind w:firstLine="480" w:firstLineChars="200"/>
              <w:rPr>
                <w:rFonts w:hint="eastAsia" w:asciiTheme="minorEastAsia" w:hAnsiTheme="minorEastAsia"/>
                <w:b/>
                <w:sz w:val="24"/>
                <w:szCs w:val="21"/>
              </w:rPr>
            </w:pPr>
            <w:r>
              <w:rPr>
                <w:rFonts w:hint="eastAsia" w:asciiTheme="minorEastAsia" w:hAnsiTheme="minorEastAsia"/>
                <w:b w:val="0"/>
                <w:bCs/>
                <w:sz w:val="24"/>
                <w:szCs w:val="21"/>
              </w:rPr>
              <w:t>公司环保涂料及树脂业务属于“化学原料及化学制品制造业”，在国家战略新兴产业分类中属于“新材料领域的先进石化化工新材料”。随着国家在“推进生态文明建设”“碳达峰、碳中和”“蓝天碧水净土保卫战”等一系列战略上的深入推进，“漆改粉”“油改水”趋势加快，以粉末涂料、水性涂料等为代表的环境友好型涂料在涂料市场中的整体占比不断提升，并加速向可持续化、多功能化及高性能领域拓展。聚酯树脂是热固性粉末涂料的关键原材料，聚酯树脂的需求量也随粉末涂料行业的发展而增长。2025年上半年，国内粉末涂料及聚酯树脂市场呈现增长态势。</w:t>
            </w:r>
          </w:p>
          <w:p w14:paraId="71394EE9">
            <w:pPr>
              <w:spacing w:line="360" w:lineRule="exact"/>
              <w:rPr>
                <w:rFonts w:hint="eastAsia" w:asciiTheme="minorEastAsia" w:hAnsiTheme="minorEastAsia"/>
                <w:b/>
                <w:sz w:val="24"/>
                <w:szCs w:val="21"/>
              </w:rPr>
            </w:pPr>
          </w:p>
          <w:p w14:paraId="43D6673A">
            <w:pPr>
              <w:spacing w:line="360" w:lineRule="exact"/>
              <w:ind w:firstLine="482" w:firstLineChars="200"/>
              <w:rPr>
                <w:rFonts w:hint="eastAsia" w:asciiTheme="minorEastAsia" w:hAnsiTheme="minorEastAsia"/>
                <w:b/>
                <w:sz w:val="24"/>
                <w:szCs w:val="21"/>
              </w:rPr>
            </w:pPr>
            <w:r>
              <w:rPr>
                <w:rFonts w:hint="default" w:asciiTheme="minorEastAsia" w:hAnsiTheme="minorEastAsia"/>
                <w:b/>
                <w:sz w:val="24"/>
                <w:szCs w:val="21"/>
                <w:lang w:val="en-US"/>
              </w:rPr>
              <w:t>2.</w:t>
            </w:r>
            <w:r>
              <w:rPr>
                <w:rFonts w:hint="eastAsia" w:asciiTheme="minorEastAsia" w:hAnsiTheme="minorEastAsia"/>
                <w:b/>
                <w:sz w:val="24"/>
                <w:szCs w:val="21"/>
              </w:rPr>
              <w:t>请介绍公司在汽车行业检测业务的布局情况。</w:t>
            </w:r>
          </w:p>
          <w:p w14:paraId="0D8A50E6">
            <w:pPr>
              <w:spacing w:line="360" w:lineRule="exact"/>
              <w:ind w:firstLine="480" w:firstLineChars="200"/>
              <w:rPr>
                <w:rFonts w:hint="eastAsia" w:asciiTheme="minorEastAsia" w:hAnsiTheme="minorEastAsia"/>
                <w:b w:val="0"/>
                <w:bCs/>
                <w:sz w:val="24"/>
                <w:szCs w:val="21"/>
              </w:rPr>
            </w:pPr>
            <w:r>
              <w:rPr>
                <w:rFonts w:hint="eastAsia" w:asciiTheme="minorEastAsia" w:hAnsiTheme="minorEastAsia"/>
                <w:b w:val="0"/>
                <w:bCs/>
                <w:sz w:val="24"/>
                <w:szCs w:val="21"/>
              </w:rPr>
              <w:t>答：目前布局：</w:t>
            </w:r>
          </w:p>
          <w:p w14:paraId="6E883D1C">
            <w:pPr>
              <w:spacing w:line="360" w:lineRule="exact"/>
              <w:ind w:firstLine="480" w:firstLineChars="200"/>
              <w:rPr>
                <w:rFonts w:hint="eastAsia" w:asciiTheme="minorEastAsia" w:hAnsiTheme="minorEastAsia"/>
                <w:b w:val="0"/>
                <w:bCs/>
                <w:sz w:val="24"/>
                <w:szCs w:val="21"/>
              </w:rPr>
            </w:pPr>
            <w:r>
              <w:rPr>
                <w:rFonts w:hint="eastAsia" w:asciiTheme="minorEastAsia" w:hAnsiTheme="minorEastAsia"/>
                <w:b w:val="0"/>
                <w:bCs/>
                <w:sz w:val="24"/>
                <w:szCs w:val="21"/>
              </w:rPr>
              <w:t>公司以新能源智能汽车为主要方向，以国家智能汽车零部件质量检验检测中心为依托，围绕整车、汽车电子、新能源智能汽车关键部件及结构件材料4个产品线重点开展能力布局与网点布局。</w:t>
            </w:r>
          </w:p>
          <w:p w14:paraId="560256EF">
            <w:pPr>
              <w:spacing w:line="360" w:lineRule="exact"/>
              <w:ind w:firstLine="240" w:firstLineChars="100"/>
              <w:rPr>
                <w:rFonts w:hint="eastAsia" w:asciiTheme="minorEastAsia" w:hAnsiTheme="minorEastAsia"/>
                <w:b w:val="0"/>
                <w:bCs/>
                <w:sz w:val="24"/>
                <w:szCs w:val="21"/>
              </w:rPr>
            </w:pPr>
            <w:r>
              <w:rPr>
                <w:rFonts w:hint="eastAsia" w:asciiTheme="minorEastAsia" w:hAnsiTheme="minorEastAsia"/>
                <w:b w:val="0"/>
                <w:bCs/>
                <w:sz w:val="24"/>
                <w:szCs w:val="21"/>
              </w:rPr>
              <w:t>（1）能力布局：整车方面，重点布局了整车暴晒、整车EMC、自动驾驶路试、法规准入等检测能力；汽车电子方面，重点布局了照明及信号装置、后视镜、喇叭等安全部件及空调、车机导航仪、行车记录仪、组合仪表等电器电子部件的检测能力；新能源智能汽车关键部件方面重点布局了新能源三电系统（动力电池、驱动电机和电控）、充电设施及接口、汽车热管理等检测能力；结构件及材料方面重点布局了腐蚀、耐候、理化性能及功能耐久等检测能力，协助车企提高品牌外购零部件DV&amp;PV验证的可靠度，提升零部件质量管理水平，继而保障整车功能有效性，增强品牌品质竞争力。</w:t>
            </w:r>
          </w:p>
          <w:p w14:paraId="760A1759">
            <w:pPr>
              <w:spacing w:line="360" w:lineRule="exact"/>
              <w:ind w:firstLine="240" w:firstLineChars="100"/>
              <w:rPr>
                <w:rFonts w:hint="eastAsia" w:asciiTheme="minorEastAsia" w:hAnsiTheme="minorEastAsia"/>
                <w:b w:val="0"/>
                <w:bCs/>
                <w:sz w:val="24"/>
                <w:szCs w:val="21"/>
              </w:rPr>
            </w:pPr>
            <w:r>
              <w:rPr>
                <w:rFonts w:hint="eastAsia" w:asciiTheme="minorEastAsia" w:hAnsiTheme="minorEastAsia"/>
                <w:b w:val="0"/>
                <w:bCs/>
                <w:sz w:val="24"/>
                <w:szCs w:val="21"/>
              </w:rPr>
              <w:t>（2）网点布局：以广州总部为中心，发挥上海、嘉兴、武汉等分支基地的作用，建成了覆盖华南、华东、华中产业集聚区域的汽车业务网络，形成网点之间的信息互联互通和高效协同机制，实现检测资源共享、业务协同调度与客户信息统一管理，提高整体运营效率与服务质量。</w:t>
            </w:r>
          </w:p>
          <w:p w14:paraId="786B8BCE">
            <w:pPr>
              <w:spacing w:line="360" w:lineRule="exact"/>
              <w:ind w:firstLine="241" w:firstLineChars="100"/>
              <w:rPr>
                <w:rFonts w:hint="eastAsia" w:asciiTheme="minorEastAsia" w:hAnsiTheme="minorEastAsia"/>
                <w:b/>
                <w:sz w:val="24"/>
                <w:szCs w:val="21"/>
              </w:rPr>
            </w:pPr>
            <w:r>
              <w:rPr>
                <w:rFonts w:hint="eastAsia" w:asciiTheme="minorEastAsia" w:hAnsiTheme="minorEastAsia"/>
                <w:b/>
                <w:sz w:val="24"/>
                <w:szCs w:val="21"/>
              </w:rPr>
              <w:t>未来规划：</w:t>
            </w:r>
          </w:p>
          <w:p w14:paraId="75077A08">
            <w:pPr>
              <w:numPr>
                <w:ilvl w:val="0"/>
                <w:numId w:val="2"/>
              </w:numPr>
              <w:spacing w:line="360" w:lineRule="exact"/>
              <w:ind w:firstLine="240" w:firstLineChars="100"/>
              <w:rPr>
                <w:rFonts w:hint="eastAsia" w:asciiTheme="minorEastAsia" w:hAnsiTheme="minorEastAsia"/>
                <w:b w:val="0"/>
                <w:bCs/>
                <w:sz w:val="24"/>
                <w:szCs w:val="21"/>
              </w:rPr>
            </w:pPr>
            <w:r>
              <w:rPr>
                <w:rFonts w:hint="eastAsia" w:asciiTheme="minorEastAsia" w:hAnsiTheme="minorEastAsia"/>
                <w:b w:val="0"/>
                <w:bCs/>
                <w:sz w:val="24"/>
                <w:szCs w:val="21"/>
              </w:rPr>
              <w:t>能力规划：公司未来将持续聚焦新能源智能汽车检测能力的构建，围绕新能源智能汽车及其关键零部件构建特色产品力，形成核心护城河。整车方面，重点规划新能源汽车海外路试、整车在</w:t>
            </w:r>
            <w:r>
              <w:rPr>
                <w:rFonts w:hint="eastAsia" w:asciiTheme="minorEastAsia" w:hAnsiTheme="minorEastAsia"/>
                <w:b w:val="0"/>
                <w:bCs/>
                <w:sz w:val="24"/>
                <w:szCs w:val="21"/>
                <w:lang w:val="en-US" w:eastAsia="zh-CN"/>
              </w:rPr>
              <w:t>环境</w:t>
            </w:r>
            <w:r>
              <w:rPr>
                <w:rFonts w:hint="eastAsia" w:asciiTheme="minorEastAsia" w:hAnsiTheme="minorEastAsia"/>
                <w:b w:val="0"/>
                <w:bCs/>
                <w:sz w:val="24"/>
                <w:szCs w:val="21"/>
              </w:rPr>
              <w:t>检测及能量管理评估能力，同时利用</w:t>
            </w:r>
            <w:r>
              <w:rPr>
                <w:rFonts w:hint="eastAsia" w:asciiTheme="minorEastAsia" w:hAnsiTheme="minorEastAsia"/>
                <w:b w:val="0"/>
                <w:bCs/>
                <w:sz w:val="24"/>
                <w:szCs w:val="21"/>
                <w:lang w:val="en-US" w:eastAsia="zh-CN"/>
              </w:rPr>
              <w:t>昆</w:t>
            </w:r>
            <w:r>
              <w:rPr>
                <w:rFonts w:hint="eastAsia" w:asciiTheme="minorEastAsia" w:hAnsiTheme="minorEastAsia"/>
                <w:b w:val="0"/>
                <w:bCs/>
                <w:sz w:val="24"/>
                <w:szCs w:val="21"/>
              </w:rPr>
              <w:t>明高海拔电器检测有限公司高海拔特殊环境优势，围绕新能源智能汽车特殊环境道路测试构建新业务，推动整车服务能力创新。智能网联关键部件方面，重点规划智能座舱、智能驾驶、信息安全检测能力。新能源关键部件方面，重点规划新能源高压电控系统、动力电池系统、高压附件检测能力。战新领域方面，布局低空飞行器、低碳轻量化等前沿领域，提供环境适应性、电磁兼容、互联互通及材料理化等共性技术解决方案。</w:t>
            </w:r>
          </w:p>
          <w:p w14:paraId="50B3714C">
            <w:pPr>
              <w:numPr>
                <w:ilvl w:val="0"/>
                <w:numId w:val="2"/>
              </w:numPr>
              <w:spacing w:line="360" w:lineRule="exact"/>
              <w:ind w:left="0" w:leftChars="0" w:firstLine="240" w:firstLineChars="100"/>
              <w:rPr>
                <w:rFonts w:hint="eastAsia" w:asciiTheme="minorEastAsia" w:hAnsiTheme="minorEastAsia"/>
                <w:b w:val="0"/>
                <w:bCs/>
                <w:sz w:val="24"/>
                <w:szCs w:val="21"/>
              </w:rPr>
            </w:pPr>
            <w:r>
              <w:rPr>
                <w:rFonts w:hint="eastAsia" w:asciiTheme="minorEastAsia" w:hAnsiTheme="minorEastAsia"/>
                <w:b w:val="0"/>
                <w:bCs/>
                <w:sz w:val="24"/>
                <w:szCs w:val="21"/>
              </w:rPr>
              <w:t>网点规划：国内规划以各分支基地为支点，利用上海、嘉兴、武汉、佛山、苏州等分支基地区位优势，加强全国主要产业聚集区的网点建设；国际规划以国际法规‌和国际路试‌为双轮驱动发展模式，拓展“一带一路”沿线国家车企主要出口目的地合作网点，助力中国新能源智能汽车全球化发展。</w:t>
            </w:r>
          </w:p>
          <w:p w14:paraId="47EA0A3C">
            <w:pPr>
              <w:numPr>
                <w:ilvl w:val="0"/>
                <w:numId w:val="0"/>
              </w:numPr>
              <w:spacing w:line="360" w:lineRule="exact"/>
              <w:ind w:leftChars="100"/>
              <w:rPr>
                <w:rFonts w:hint="eastAsia" w:asciiTheme="minorEastAsia" w:hAnsiTheme="minorEastAsia"/>
                <w:b w:val="0"/>
                <w:bCs/>
                <w:sz w:val="24"/>
                <w:szCs w:val="21"/>
              </w:rPr>
            </w:pPr>
          </w:p>
          <w:p w14:paraId="727025A1">
            <w:pPr>
              <w:spacing w:line="360" w:lineRule="exact"/>
              <w:ind w:firstLine="482" w:firstLineChars="200"/>
              <w:rPr>
                <w:rFonts w:hint="eastAsia" w:asciiTheme="minorEastAsia" w:hAnsiTheme="minorEastAsia"/>
                <w:b/>
                <w:sz w:val="24"/>
                <w:szCs w:val="21"/>
              </w:rPr>
            </w:pPr>
            <w:r>
              <w:rPr>
                <w:rFonts w:hint="eastAsia" w:asciiTheme="minorEastAsia" w:hAnsiTheme="minorEastAsia"/>
                <w:b/>
                <w:sz w:val="24"/>
                <w:szCs w:val="21"/>
              </w:rPr>
              <w:t>3.公司三个产业之间的协同性如何？</w:t>
            </w:r>
          </w:p>
          <w:p w14:paraId="42EBD361">
            <w:pPr>
              <w:spacing w:line="360" w:lineRule="exact"/>
              <w:ind w:firstLine="480" w:firstLineChars="200"/>
              <w:rPr>
                <w:rFonts w:hint="eastAsia" w:asciiTheme="minorEastAsia" w:hAnsiTheme="minorEastAsia"/>
                <w:b w:val="0"/>
                <w:bCs/>
                <w:sz w:val="24"/>
                <w:szCs w:val="21"/>
              </w:rPr>
            </w:pPr>
            <w:r>
              <w:rPr>
                <w:rFonts w:hint="eastAsia" w:asciiTheme="minorEastAsia" w:hAnsiTheme="minorEastAsia"/>
                <w:b w:val="0"/>
                <w:bCs/>
                <w:sz w:val="24"/>
                <w:szCs w:val="21"/>
              </w:rPr>
              <w:t>答：公司是科研院所转制而来，最初是从事电器产品环境适应性基本规律与机理研究，简单来说就是研究电器产品在不同的气候、机械、化学、电磁等复杂环境中的适应能力，并进行改进来提升电器产品质量水平。从公司业务发展脉络看，质量技术服务业务属于公司最早发展的业务，后续在长期共性技术研发和质量技术服务过程中，公司基于市场对于生产装备以及防护材料质量提升的需求，通过核心技术成果转化，进一步为客户提供智能装备、环保涂料及树脂等产品，协同质量技术服务业务提升电器制造行业整体技术水平，为电器产品质量提升提供系统解决方案，所以四大业务是具备一定的协同性的。</w:t>
            </w:r>
          </w:p>
          <w:p w14:paraId="0BA210CC">
            <w:pPr>
              <w:spacing w:line="360" w:lineRule="exact"/>
              <w:rPr>
                <w:rFonts w:hint="eastAsia" w:asciiTheme="minorEastAsia" w:hAnsiTheme="minorEastAsia"/>
                <w:b/>
                <w:sz w:val="24"/>
                <w:szCs w:val="21"/>
              </w:rPr>
            </w:pPr>
          </w:p>
          <w:p w14:paraId="50199D4C">
            <w:pPr>
              <w:spacing w:line="360" w:lineRule="exact"/>
              <w:ind w:firstLine="482" w:firstLineChars="200"/>
              <w:rPr>
                <w:rFonts w:hint="eastAsia" w:asciiTheme="minorEastAsia" w:hAnsiTheme="minorEastAsia"/>
                <w:b/>
                <w:sz w:val="24"/>
                <w:szCs w:val="21"/>
              </w:rPr>
            </w:pPr>
            <w:r>
              <w:rPr>
                <w:rFonts w:hint="eastAsia" w:asciiTheme="minorEastAsia" w:hAnsiTheme="minorEastAsia"/>
                <w:b/>
                <w:sz w:val="24"/>
                <w:szCs w:val="21"/>
              </w:rPr>
              <w:t>4.公司业绩增长的核心原因是什么？</w:t>
            </w:r>
          </w:p>
          <w:p w14:paraId="0E3BCADF">
            <w:pPr>
              <w:spacing w:line="360" w:lineRule="exact"/>
              <w:ind w:firstLine="480" w:firstLineChars="200"/>
              <w:rPr>
                <w:rFonts w:hint="eastAsia" w:asciiTheme="minorEastAsia" w:hAnsiTheme="minorEastAsia"/>
                <w:b w:val="0"/>
                <w:bCs/>
                <w:sz w:val="24"/>
                <w:szCs w:val="21"/>
              </w:rPr>
            </w:pPr>
            <w:r>
              <w:rPr>
                <w:rFonts w:hint="eastAsia" w:asciiTheme="minorEastAsia" w:hAnsiTheme="minorEastAsia"/>
                <w:b w:val="0"/>
                <w:bCs/>
                <w:sz w:val="24"/>
                <w:szCs w:val="21"/>
              </w:rPr>
              <w:t>答：公司业绩增长一方面是因为公司四大业务所属行业均属于国家战略新兴产业，发展前景良好。另一方面，从公司自身来说，具有以下优势：一是领先的技术及研发能力。公司由国家级研究院所转制而来，长期围绕电器及相关行业开展应用基础与共性技术研究、应用技术和关键技术研发、产品技术开发，在相关行业理解、研究条件、研究成果、技术及产品等方面具有一定的先发优势。公司建立了高效的研发体系和多层次的研发平台，依托全国重点实验室等国家级、省部级科研平台，在标准规范、检测评价、系统集成、电能转换、先进控制、环保材料等方面取得了一系列行业领先的具有自主知识产权的技术成果，拥有多项核心技术，主持完成了科技部863计划、973计划、“火炬计划”、国家科技支撑计划等中的多项重大科研项目，并获国家科学技术进步奖二等奖等多项科技进步奖项。同时，公司持续加强技术创新能力建设，不断深化科技创新体制机制改革，大力开展核心技术攻关，布局中长期技术储备，为保持长期领先的技术优势奠定了稳固基础。二是突出的技术标准创新能力。技术标准是市场竞争的制高点。公司一直致力于强化标准引领，提升中国产业的国际化竞争力。公司建有16个IEC国际标准对接平台、11个国家标准平台、1个国家技术标准创新基地和1个国家标准验证点，是国家标准委首批标准化服务业试点及首批国家级消费品标准化试点单位，拥有大量标准领域专家，其中IEC注册专家40名；共有4人次获得IEC1906奖，1人次获IEC托马斯.爱迪生奖。自2010年以来，公司累计主持和参与制修订超过1,000项国际、国家、行业、地方和团体标准，包括家电行业中首个由中国牵头制定的IEC国际标准“IEC62863：2017”等多项“首个”标准，引领行业技术发展，提升产业整体产品质量及技术水平。三是独具特色的综合服务能力。公司深耕电器产品生产技术、质量评价、基础材料等质量提升领域关键共性技术研究，对行业技术发展趋势有深刻的认识和理解，在各业务板块合作、协同发展的推动下，形成了为客户提供电器产品质量提升整体解决方案的综合服务能力，包括标准研究、技术研发、产品设计、工厂规划、装备制造、涂料涂装、检验检测、诊断（失效分析、缺陷分析）、改进（标杆对比提升、品控体系建立等）、认证推优的“全链条”服务，具有整体竞争优势，并不断完善在智能汽车、能源装备、医疗健康等领域产业的服务能力，打造更加完整的产业链。四是良好的品牌知名度和行业公信力品牌和公信力是公司稳健发展的关键因素之一。公司业务起源于20世纪50年代，经过六十余载对品质理念的不懈坚守，凭借雄厚的技术实力及创新能力、良好的服务质量、规范的管理模式，公司已在各业务的细分市场形成了显著的行业公信力，拥有优良的品牌知名度和美誉度。公司坚持打造自主品牌，致力于将“中国电研”打造成世界级质量技术服务机构，并顺应业务同心多元发展的需要，在不同的专业领域实施品牌细分，打造了“CVC威凯”“擎天”子品牌，得到了主管部门和行业客户的广泛信任和高度认可，为市场开拓奠定了基础。</w:t>
            </w:r>
          </w:p>
          <w:p w14:paraId="1C634B09">
            <w:pPr>
              <w:spacing w:line="360" w:lineRule="exact"/>
              <w:rPr>
                <w:rFonts w:hint="eastAsia" w:asciiTheme="minorEastAsia" w:hAnsiTheme="minorEastAsia"/>
                <w:b/>
                <w:sz w:val="24"/>
                <w:szCs w:val="21"/>
              </w:rPr>
            </w:pPr>
          </w:p>
          <w:p w14:paraId="0BF5E50B">
            <w:pPr>
              <w:spacing w:line="360" w:lineRule="exact"/>
              <w:ind w:firstLine="482" w:firstLineChars="200"/>
              <w:rPr>
                <w:rFonts w:hint="eastAsia" w:asciiTheme="minorEastAsia" w:hAnsiTheme="minorEastAsia"/>
                <w:b/>
                <w:sz w:val="24"/>
                <w:szCs w:val="21"/>
              </w:rPr>
            </w:pPr>
            <w:r>
              <w:rPr>
                <w:rFonts w:hint="eastAsia" w:asciiTheme="minorEastAsia" w:hAnsiTheme="minorEastAsia"/>
                <w:b/>
                <w:sz w:val="24"/>
                <w:szCs w:val="21"/>
              </w:rPr>
              <w:t>5.公司四块业务发展展望？</w:t>
            </w:r>
          </w:p>
          <w:p w14:paraId="3DF7B789">
            <w:pPr>
              <w:spacing w:line="360" w:lineRule="exact"/>
              <w:ind w:firstLine="480" w:firstLineChars="200"/>
              <w:rPr>
                <w:rFonts w:hint="eastAsia" w:asciiTheme="minorEastAsia" w:hAnsiTheme="minorEastAsia"/>
                <w:b w:val="0"/>
                <w:bCs/>
                <w:sz w:val="24"/>
                <w:szCs w:val="21"/>
              </w:rPr>
            </w:pPr>
            <w:r>
              <w:rPr>
                <w:rFonts w:hint="eastAsia" w:asciiTheme="minorEastAsia" w:hAnsiTheme="minorEastAsia"/>
                <w:b w:val="0"/>
                <w:bCs/>
                <w:sz w:val="24"/>
                <w:szCs w:val="21"/>
              </w:rPr>
              <w:t>答：质量技术服务业务是公司最早发展的业务，也是公司的核心业务，即公司发展战略的重点。质量技术服务业务将继续从自身优势领域出发，加快关键核心资质授权的获取和能力的建设，扩大服务领域进入更多新的细分市场，为业务带来新的增长点；加快国内国际区域布局，结合区域产业特点，加快业务网点铺设，通过为当地企业提供本地化服务的模式提升获客能力；持续推进数字化转型，不断提高内部运行效率和客户服务质量；提升设备管理水平，着力提高稼动率和场地利用率，以“纵向拓深、横向拓宽、精益管理”为主线，在实现营业收入增长的同时在对公司总体利润贡献率上继续保持优势。</w:t>
            </w:r>
          </w:p>
          <w:p w14:paraId="28F8A5F5">
            <w:pPr>
              <w:spacing w:line="360" w:lineRule="exact"/>
              <w:ind w:firstLine="480" w:firstLineChars="200"/>
              <w:rPr>
                <w:rFonts w:hint="eastAsia" w:asciiTheme="minorEastAsia" w:hAnsiTheme="minorEastAsia"/>
                <w:b w:val="0"/>
                <w:bCs/>
                <w:sz w:val="24"/>
                <w:szCs w:val="21"/>
              </w:rPr>
            </w:pPr>
            <w:r>
              <w:rPr>
                <w:rFonts w:hint="eastAsia" w:asciiTheme="minorEastAsia" w:hAnsiTheme="minorEastAsia"/>
                <w:b w:val="0"/>
                <w:bCs/>
                <w:sz w:val="24"/>
                <w:szCs w:val="21"/>
              </w:rPr>
              <w:t>电气装备业务将继续以技术创新为内生动力、以产品出新为具体抓手，持续推进整流、逆变、储能充放电等关键技术的研发和制造中台建设，以先进的电力电子技术为核心，结合智能制造技术和系统集成能力，以满足不同行业的应用需求，积极开创技术、产品双轮驱动的良好局面。同时，鉴于业务非标设备的定制特性及其规模限制，对项目管理和制造管理能力均提出较高要求，电气装备业务将着力提升项目管理水平，强化项目预算管理，严格执行项目预算，提高项目成本管控水平。</w:t>
            </w:r>
          </w:p>
          <w:p w14:paraId="1B4BEAFF">
            <w:pPr>
              <w:spacing w:line="360" w:lineRule="exact"/>
              <w:ind w:firstLine="480" w:firstLineChars="200"/>
              <w:rPr>
                <w:rFonts w:hint="eastAsia" w:asciiTheme="minorEastAsia" w:hAnsiTheme="minorEastAsia"/>
                <w:b w:val="0"/>
                <w:bCs/>
                <w:sz w:val="24"/>
                <w:szCs w:val="21"/>
              </w:rPr>
            </w:pPr>
            <w:r>
              <w:rPr>
                <w:rFonts w:hint="eastAsia" w:asciiTheme="minorEastAsia" w:hAnsiTheme="minorEastAsia"/>
                <w:b w:val="0"/>
                <w:bCs/>
                <w:sz w:val="24"/>
                <w:szCs w:val="21"/>
              </w:rPr>
              <w:t>成套装备业务将持续做好国内、国外两个市场布局，继续深耕“一带一路”国家家电装备业务，逐步实现业务由点到面再到多层次深入拓展的局面；同时积极参与国内高端家电装备及欧美家电制造装备的市场竞争，在竞争中保持技术先进性。此外，在继续巩固传统家电装备业务的同时，有序开拓新能源汽车热管理综合检测试验设备、立库、家电产业链上游装备及零部件等业务，积极拓展成长新赛道。</w:t>
            </w:r>
          </w:p>
          <w:p w14:paraId="49AE124C">
            <w:pPr>
              <w:spacing w:line="360" w:lineRule="exact"/>
              <w:ind w:firstLine="480" w:firstLineChars="200"/>
              <w:rPr>
                <w:rFonts w:asciiTheme="minorEastAsia" w:hAnsiTheme="minorEastAsia"/>
                <w:sz w:val="24"/>
                <w:szCs w:val="24"/>
              </w:rPr>
            </w:pPr>
            <w:r>
              <w:rPr>
                <w:rFonts w:hint="eastAsia" w:asciiTheme="minorEastAsia" w:hAnsiTheme="minorEastAsia"/>
                <w:b w:val="0"/>
                <w:bCs/>
                <w:sz w:val="24"/>
                <w:szCs w:val="21"/>
              </w:rPr>
              <w:t>环保涂料及树脂业务将通过持续的研发投入，加快新产品研发以面向更多不同行业、更多应用场景提供产品，应对下游需求变化；持续提升生产管理和生产工艺，在降低成本的同时保持产品的质量性能优势，强化客户粘性，进一步提高市场占有率；继续推进产能建设，通过规模效应和上下游一体化，增强抵御周期波动的能力。</w:t>
            </w:r>
          </w:p>
        </w:tc>
      </w:tr>
      <w:tr w14:paraId="6094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04C0B88B">
            <w:pPr>
              <w:jc w:val="center"/>
              <w:rPr>
                <w:rFonts w:asciiTheme="minorEastAsia" w:hAnsiTheme="minorEastAsia"/>
                <w:b/>
                <w:sz w:val="24"/>
                <w:szCs w:val="24"/>
              </w:rPr>
            </w:pPr>
            <w:r>
              <w:rPr>
                <w:rFonts w:hint="eastAsia" w:asciiTheme="minorEastAsia" w:hAnsiTheme="minorEastAsia"/>
                <w:b/>
                <w:sz w:val="24"/>
                <w:szCs w:val="24"/>
              </w:rPr>
              <w:t>附件清单</w:t>
            </w:r>
          </w:p>
          <w:p w14:paraId="28EDD2AD">
            <w:pPr>
              <w:jc w:val="center"/>
              <w:rPr>
                <w:rFonts w:asciiTheme="minorEastAsia" w:hAnsiTheme="minorEastAsia"/>
                <w:b/>
                <w:sz w:val="24"/>
                <w:szCs w:val="24"/>
              </w:rPr>
            </w:pPr>
            <w:r>
              <w:rPr>
                <w:rFonts w:hint="eastAsia" w:asciiTheme="minorEastAsia" w:hAnsiTheme="minorEastAsia"/>
                <w:b/>
                <w:sz w:val="24"/>
                <w:szCs w:val="24"/>
              </w:rPr>
              <w:t>（如有）</w:t>
            </w:r>
          </w:p>
        </w:tc>
        <w:tc>
          <w:tcPr>
            <w:tcW w:w="6854" w:type="dxa"/>
          </w:tcPr>
          <w:p w14:paraId="6759FE64">
            <w:pPr>
              <w:pStyle w:val="13"/>
              <w:spacing w:line="360" w:lineRule="exact"/>
              <w:ind w:firstLine="0" w:firstLineChars="0"/>
              <w:rPr>
                <w:rFonts w:asciiTheme="minorEastAsia" w:hAnsiTheme="minorEastAsia"/>
                <w:b w:val="0"/>
                <w:bCs/>
                <w:sz w:val="24"/>
                <w:szCs w:val="21"/>
              </w:rPr>
            </w:pPr>
            <w:r>
              <w:rPr>
                <w:rFonts w:hint="eastAsia" w:asciiTheme="minorEastAsia" w:hAnsiTheme="minorEastAsia"/>
                <w:b w:val="0"/>
                <w:bCs/>
                <w:sz w:val="24"/>
                <w:szCs w:val="21"/>
              </w:rPr>
              <w:t>无</w:t>
            </w:r>
          </w:p>
        </w:tc>
      </w:tr>
      <w:tr w14:paraId="4996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05F52142">
            <w:pPr>
              <w:jc w:val="center"/>
              <w:rPr>
                <w:rFonts w:asciiTheme="minorEastAsia" w:hAnsiTheme="minorEastAsia"/>
                <w:b/>
                <w:sz w:val="24"/>
                <w:szCs w:val="24"/>
              </w:rPr>
            </w:pPr>
            <w:r>
              <w:rPr>
                <w:rFonts w:hint="eastAsia" w:asciiTheme="minorEastAsia" w:hAnsiTheme="minorEastAsia"/>
                <w:b/>
                <w:sz w:val="24"/>
                <w:szCs w:val="24"/>
              </w:rPr>
              <w:t>日期</w:t>
            </w:r>
          </w:p>
        </w:tc>
        <w:tc>
          <w:tcPr>
            <w:tcW w:w="6854" w:type="dxa"/>
          </w:tcPr>
          <w:p w14:paraId="6DB95D3B">
            <w:pPr>
              <w:rPr>
                <w:rFonts w:asciiTheme="minorEastAsia" w:hAnsiTheme="minorEastAsia"/>
                <w:b w:val="0"/>
                <w:bCs/>
                <w:sz w:val="24"/>
                <w:szCs w:val="21"/>
              </w:rPr>
            </w:pPr>
            <w:r>
              <w:rPr>
                <w:rFonts w:hint="eastAsia" w:asciiTheme="minorEastAsia" w:hAnsiTheme="minorEastAsia"/>
                <w:b w:val="0"/>
                <w:bCs/>
                <w:sz w:val="24"/>
                <w:szCs w:val="21"/>
              </w:rPr>
              <w:t>2</w:t>
            </w:r>
            <w:r>
              <w:rPr>
                <w:rFonts w:asciiTheme="minorEastAsia" w:hAnsiTheme="minorEastAsia"/>
                <w:b w:val="0"/>
                <w:bCs/>
                <w:sz w:val="24"/>
                <w:szCs w:val="21"/>
              </w:rPr>
              <w:t>02</w:t>
            </w:r>
            <w:r>
              <w:rPr>
                <w:rFonts w:hint="eastAsia" w:asciiTheme="minorEastAsia" w:hAnsiTheme="minorEastAsia"/>
                <w:b w:val="0"/>
                <w:bCs/>
                <w:sz w:val="24"/>
                <w:szCs w:val="21"/>
                <w:lang w:val="en-US" w:eastAsia="zh-CN"/>
              </w:rPr>
              <w:t>5</w:t>
            </w:r>
            <w:r>
              <w:rPr>
                <w:rFonts w:hint="eastAsia" w:asciiTheme="minorEastAsia" w:hAnsiTheme="minorEastAsia"/>
                <w:b w:val="0"/>
                <w:bCs/>
                <w:sz w:val="24"/>
                <w:szCs w:val="21"/>
              </w:rPr>
              <w:t>年</w:t>
            </w:r>
            <w:r>
              <w:rPr>
                <w:rFonts w:hint="eastAsia" w:asciiTheme="minorEastAsia" w:hAnsiTheme="minorEastAsia"/>
                <w:b w:val="0"/>
                <w:bCs/>
                <w:sz w:val="24"/>
                <w:szCs w:val="21"/>
                <w:lang w:val="en-US" w:eastAsia="zh-CN"/>
              </w:rPr>
              <w:t>9</w:t>
            </w:r>
            <w:r>
              <w:rPr>
                <w:rFonts w:hint="eastAsia" w:asciiTheme="minorEastAsia" w:hAnsiTheme="minorEastAsia"/>
                <w:b w:val="0"/>
                <w:bCs/>
                <w:sz w:val="24"/>
                <w:szCs w:val="21"/>
              </w:rPr>
              <w:t>月</w:t>
            </w:r>
            <w:r>
              <w:rPr>
                <w:rFonts w:hint="eastAsia" w:asciiTheme="minorEastAsia" w:hAnsiTheme="minorEastAsia"/>
                <w:b w:val="0"/>
                <w:bCs/>
                <w:sz w:val="24"/>
                <w:szCs w:val="21"/>
                <w:lang w:val="en-US" w:eastAsia="zh-CN"/>
              </w:rPr>
              <w:t>5</w:t>
            </w:r>
            <w:r>
              <w:rPr>
                <w:rFonts w:hint="eastAsia" w:asciiTheme="minorEastAsia" w:hAnsiTheme="minorEastAsia"/>
                <w:b w:val="0"/>
                <w:bCs/>
                <w:sz w:val="24"/>
                <w:szCs w:val="21"/>
              </w:rPr>
              <w:t>日</w:t>
            </w:r>
          </w:p>
        </w:tc>
      </w:tr>
    </w:tbl>
    <w:p w14:paraId="6EEFFC53">
      <w:pPr>
        <w:rPr>
          <w:highlight w:val="yellow"/>
        </w:rPr>
      </w:pPr>
    </w:p>
    <w:p w14:paraId="63F66199"/>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50C26">
    <w:pPr>
      <w:pStyle w:val="5"/>
      <w:jc w:val="left"/>
      <w:rPr>
        <w:rFonts w:hint="default" w:eastAsiaTheme="minorEastAsia"/>
        <w:lang w:val="en-US" w:eastAsia="zh-CN"/>
      </w:rPr>
    </w:pPr>
    <w:r>
      <w:rPr>
        <w:rFonts w:hint="eastAsia"/>
      </w:rPr>
      <w:t>证券代码：</w:t>
    </w:r>
    <w:r>
      <w:rPr>
        <w:rFonts w:hint="eastAsia"/>
        <w:lang w:val="en-US" w:eastAsia="zh-CN"/>
      </w:rPr>
      <w:t>688128</w:t>
    </w:r>
    <w:r>
      <w:rPr>
        <w:rFonts w:hint="eastAsia"/>
      </w:rPr>
      <w:t xml:space="preserve"> </w:t>
    </w:r>
    <w:r>
      <w:t xml:space="preserve">                                                       </w:t>
    </w:r>
    <w:r>
      <w:rPr>
        <w:rFonts w:hint="eastAsia"/>
      </w:rPr>
      <w:t>证券简称：</w:t>
    </w:r>
    <w:r>
      <w:rPr>
        <w:rFonts w:hint="eastAsia"/>
        <w:lang w:val="en-US" w:eastAsia="zh-CN"/>
      </w:rPr>
      <w:t>中国电研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D056D"/>
    <w:multiLevelType w:val="singleLevel"/>
    <w:tmpl w:val="A2FD056D"/>
    <w:lvl w:ilvl="0" w:tentative="0">
      <w:start w:val="1"/>
      <w:numFmt w:val="decimal"/>
      <w:suff w:val="nothing"/>
      <w:lvlText w:val="（%1）"/>
      <w:lvlJc w:val="left"/>
    </w:lvl>
  </w:abstractNum>
  <w:abstractNum w:abstractNumId="1">
    <w:nsid w:val="FC9EB7BC"/>
    <w:multiLevelType w:val="singleLevel"/>
    <w:tmpl w:val="FC9EB7B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OWU4YmU5Y2JjODBkNTE5N2EyZmZiOWZiYjVjODMifQ=="/>
  </w:docVars>
  <w:rsids>
    <w:rsidRoot w:val="00847310"/>
    <w:rsid w:val="00002FE6"/>
    <w:rsid w:val="00004A2F"/>
    <w:rsid w:val="00011FEB"/>
    <w:rsid w:val="000132DE"/>
    <w:rsid w:val="000149BD"/>
    <w:rsid w:val="00016FA6"/>
    <w:rsid w:val="0001798C"/>
    <w:rsid w:val="000221F3"/>
    <w:rsid w:val="00030B2D"/>
    <w:rsid w:val="000356A4"/>
    <w:rsid w:val="00044D4D"/>
    <w:rsid w:val="00051055"/>
    <w:rsid w:val="00054114"/>
    <w:rsid w:val="000631D4"/>
    <w:rsid w:val="00063582"/>
    <w:rsid w:val="000635BF"/>
    <w:rsid w:val="00063773"/>
    <w:rsid w:val="0006483A"/>
    <w:rsid w:val="000668CC"/>
    <w:rsid w:val="00071E83"/>
    <w:rsid w:val="0007490D"/>
    <w:rsid w:val="000866E5"/>
    <w:rsid w:val="00092159"/>
    <w:rsid w:val="00095FF1"/>
    <w:rsid w:val="00097CA6"/>
    <w:rsid w:val="000A3C5D"/>
    <w:rsid w:val="000B15AD"/>
    <w:rsid w:val="000B2511"/>
    <w:rsid w:val="000B3253"/>
    <w:rsid w:val="000B558B"/>
    <w:rsid w:val="000C7159"/>
    <w:rsid w:val="000E47AB"/>
    <w:rsid w:val="000E634C"/>
    <w:rsid w:val="000F5ACB"/>
    <w:rsid w:val="00100F44"/>
    <w:rsid w:val="00114DE5"/>
    <w:rsid w:val="00116DD7"/>
    <w:rsid w:val="00120CC5"/>
    <w:rsid w:val="00123673"/>
    <w:rsid w:val="00126FBE"/>
    <w:rsid w:val="0014753D"/>
    <w:rsid w:val="00147C4F"/>
    <w:rsid w:val="001530C2"/>
    <w:rsid w:val="001603CD"/>
    <w:rsid w:val="00160DBC"/>
    <w:rsid w:val="001618BA"/>
    <w:rsid w:val="0016348D"/>
    <w:rsid w:val="00171788"/>
    <w:rsid w:val="00175BCF"/>
    <w:rsid w:val="00175F5C"/>
    <w:rsid w:val="0017752B"/>
    <w:rsid w:val="00177D6C"/>
    <w:rsid w:val="00180C23"/>
    <w:rsid w:val="001833BA"/>
    <w:rsid w:val="00183C7C"/>
    <w:rsid w:val="00186E00"/>
    <w:rsid w:val="00194600"/>
    <w:rsid w:val="00196CEC"/>
    <w:rsid w:val="001A03E5"/>
    <w:rsid w:val="001A18BF"/>
    <w:rsid w:val="001A31AE"/>
    <w:rsid w:val="001A487A"/>
    <w:rsid w:val="001A5535"/>
    <w:rsid w:val="001A6893"/>
    <w:rsid w:val="001B21A5"/>
    <w:rsid w:val="001B4016"/>
    <w:rsid w:val="001B75D4"/>
    <w:rsid w:val="001C1FFA"/>
    <w:rsid w:val="001C70B8"/>
    <w:rsid w:val="001D7E7F"/>
    <w:rsid w:val="001E33BA"/>
    <w:rsid w:val="001E511A"/>
    <w:rsid w:val="001F03E9"/>
    <w:rsid w:val="001F6A7A"/>
    <w:rsid w:val="00200CA5"/>
    <w:rsid w:val="00201459"/>
    <w:rsid w:val="0020473A"/>
    <w:rsid w:val="00205E7B"/>
    <w:rsid w:val="0021001D"/>
    <w:rsid w:val="00216C5F"/>
    <w:rsid w:val="00224836"/>
    <w:rsid w:val="00225E22"/>
    <w:rsid w:val="00230488"/>
    <w:rsid w:val="00231929"/>
    <w:rsid w:val="00235FDD"/>
    <w:rsid w:val="00245A3A"/>
    <w:rsid w:val="00245E78"/>
    <w:rsid w:val="0024685C"/>
    <w:rsid w:val="002468E6"/>
    <w:rsid w:val="00246FB3"/>
    <w:rsid w:val="0025254F"/>
    <w:rsid w:val="00254CB5"/>
    <w:rsid w:val="00257651"/>
    <w:rsid w:val="002624B3"/>
    <w:rsid w:val="00267005"/>
    <w:rsid w:val="0027082F"/>
    <w:rsid w:val="00273E64"/>
    <w:rsid w:val="00274CAB"/>
    <w:rsid w:val="00284E80"/>
    <w:rsid w:val="00285231"/>
    <w:rsid w:val="002879DD"/>
    <w:rsid w:val="002940FE"/>
    <w:rsid w:val="002A74C7"/>
    <w:rsid w:val="002C2C42"/>
    <w:rsid w:val="002C3BAA"/>
    <w:rsid w:val="002D28A0"/>
    <w:rsid w:val="002E2B8F"/>
    <w:rsid w:val="002F20A9"/>
    <w:rsid w:val="002F6EF9"/>
    <w:rsid w:val="00302430"/>
    <w:rsid w:val="003045AC"/>
    <w:rsid w:val="00305B7F"/>
    <w:rsid w:val="00317955"/>
    <w:rsid w:val="00321574"/>
    <w:rsid w:val="0032487F"/>
    <w:rsid w:val="003258C7"/>
    <w:rsid w:val="00327DF8"/>
    <w:rsid w:val="00332430"/>
    <w:rsid w:val="0033370F"/>
    <w:rsid w:val="003402CF"/>
    <w:rsid w:val="0034235C"/>
    <w:rsid w:val="00354ED6"/>
    <w:rsid w:val="003645C8"/>
    <w:rsid w:val="00365F0B"/>
    <w:rsid w:val="00371A49"/>
    <w:rsid w:val="0037333E"/>
    <w:rsid w:val="003763A7"/>
    <w:rsid w:val="00380B6D"/>
    <w:rsid w:val="003965F3"/>
    <w:rsid w:val="00397164"/>
    <w:rsid w:val="003A1577"/>
    <w:rsid w:val="003A202A"/>
    <w:rsid w:val="003A4C4B"/>
    <w:rsid w:val="003B20B9"/>
    <w:rsid w:val="003B63C0"/>
    <w:rsid w:val="003C11AA"/>
    <w:rsid w:val="003C7B62"/>
    <w:rsid w:val="003D13EA"/>
    <w:rsid w:val="003D166E"/>
    <w:rsid w:val="003D1B9B"/>
    <w:rsid w:val="003E55A0"/>
    <w:rsid w:val="003E6B0D"/>
    <w:rsid w:val="003E7CC7"/>
    <w:rsid w:val="003F026F"/>
    <w:rsid w:val="003F31A8"/>
    <w:rsid w:val="003F4929"/>
    <w:rsid w:val="003F60DB"/>
    <w:rsid w:val="003F6F66"/>
    <w:rsid w:val="00400238"/>
    <w:rsid w:val="004033FC"/>
    <w:rsid w:val="004066BC"/>
    <w:rsid w:val="00407202"/>
    <w:rsid w:val="00407CBC"/>
    <w:rsid w:val="00407F35"/>
    <w:rsid w:val="004101BE"/>
    <w:rsid w:val="0041101C"/>
    <w:rsid w:val="004110EB"/>
    <w:rsid w:val="0041249B"/>
    <w:rsid w:val="00414080"/>
    <w:rsid w:val="004171D5"/>
    <w:rsid w:val="00423717"/>
    <w:rsid w:val="004244CC"/>
    <w:rsid w:val="004252E9"/>
    <w:rsid w:val="00427FD9"/>
    <w:rsid w:val="00430012"/>
    <w:rsid w:val="004301BF"/>
    <w:rsid w:val="00434FE4"/>
    <w:rsid w:val="00435ED3"/>
    <w:rsid w:val="0045020E"/>
    <w:rsid w:val="004578D3"/>
    <w:rsid w:val="00460345"/>
    <w:rsid w:val="00465EFA"/>
    <w:rsid w:val="0046668B"/>
    <w:rsid w:val="00466CA7"/>
    <w:rsid w:val="00467C31"/>
    <w:rsid w:val="00470EA6"/>
    <w:rsid w:val="004778AD"/>
    <w:rsid w:val="0049008C"/>
    <w:rsid w:val="00491FB3"/>
    <w:rsid w:val="00493B3F"/>
    <w:rsid w:val="00497C3E"/>
    <w:rsid w:val="004A0C59"/>
    <w:rsid w:val="004A4F02"/>
    <w:rsid w:val="004A5378"/>
    <w:rsid w:val="004A5A35"/>
    <w:rsid w:val="004A60BE"/>
    <w:rsid w:val="004A748E"/>
    <w:rsid w:val="004B4737"/>
    <w:rsid w:val="004D1021"/>
    <w:rsid w:val="004D7DA5"/>
    <w:rsid w:val="004E09D2"/>
    <w:rsid w:val="004E54FC"/>
    <w:rsid w:val="004E694D"/>
    <w:rsid w:val="004E70D8"/>
    <w:rsid w:val="004E7496"/>
    <w:rsid w:val="004F0375"/>
    <w:rsid w:val="004F09D5"/>
    <w:rsid w:val="004F29A7"/>
    <w:rsid w:val="005000DD"/>
    <w:rsid w:val="005078F1"/>
    <w:rsid w:val="00510102"/>
    <w:rsid w:val="00522345"/>
    <w:rsid w:val="005256B6"/>
    <w:rsid w:val="005268D3"/>
    <w:rsid w:val="005324EE"/>
    <w:rsid w:val="00532CFD"/>
    <w:rsid w:val="005336FA"/>
    <w:rsid w:val="0053401B"/>
    <w:rsid w:val="00534D86"/>
    <w:rsid w:val="00536BC4"/>
    <w:rsid w:val="005377BF"/>
    <w:rsid w:val="00550B33"/>
    <w:rsid w:val="005522C1"/>
    <w:rsid w:val="0055355E"/>
    <w:rsid w:val="00553D41"/>
    <w:rsid w:val="005547C8"/>
    <w:rsid w:val="00556677"/>
    <w:rsid w:val="00562268"/>
    <w:rsid w:val="005722D1"/>
    <w:rsid w:val="005735E2"/>
    <w:rsid w:val="00582F37"/>
    <w:rsid w:val="00585DCD"/>
    <w:rsid w:val="0059203A"/>
    <w:rsid w:val="00592B92"/>
    <w:rsid w:val="00597D77"/>
    <w:rsid w:val="005A0C7A"/>
    <w:rsid w:val="005A14FA"/>
    <w:rsid w:val="005A1628"/>
    <w:rsid w:val="005A28B7"/>
    <w:rsid w:val="005A7471"/>
    <w:rsid w:val="005B10D0"/>
    <w:rsid w:val="005B1CA1"/>
    <w:rsid w:val="005B2C0D"/>
    <w:rsid w:val="005B4529"/>
    <w:rsid w:val="005B777D"/>
    <w:rsid w:val="005C41E5"/>
    <w:rsid w:val="005D0C20"/>
    <w:rsid w:val="005D6656"/>
    <w:rsid w:val="005D7CFA"/>
    <w:rsid w:val="005E3BA2"/>
    <w:rsid w:val="005E4130"/>
    <w:rsid w:val="005E71AD"/>
    <w:rsid w:val="005F13D4"/>
    <w:rsid w:val="005F6375"/>
    <w:rsid w:val="005F7F0F"/>
    <w:rsid w:val="006017D6"/>
    <w:rsid w:val="00606C9E"/>
    <w:rsid w:val="00607D0A"/>
    <w:rsid w:val="006151FA"/>
    <w:rsid w:val="00616BBB"/>
    <w:rsid w:val="0061710F"/>
    <w:rsid w:val="00624948"/>
    <w:rsid w:val="00626243"/>
    <w:rsid w:val="00634524"/>
    <w:rsid w:val="00641F61"/>
    <w:rsid w:val="00642CBA"/>
    <w:rsid w:val="00643F32"/>
    <w:rsid w:val="00644B96"/>
    <w:rsid w:val="006464C4"/>
    <w:rsid w:val="0065074C"/>
    <w:rsid w:val="00650B2A"/>
    <w:rsid w:val="00653321"/>
    <w:rsid w:val="006575A7"/>
    <w:rsid w:val="006640D8"/>
    <w:rsid w:val="006659A8"/>
    <w:rsid w:val="0066696D"/>
    <w:rsid w:val="006705A3"/>
    <w:rsid w:val="00673734"/>
    <w:rsid w:val="00680090"/>
    <w:rsid w:val="006854FC"/>
    <w:rsid w:val="00685774"/>
    <w:rsid w:val="00687F7A"/>
    <w:rsid w:val="00690867"/>
    <w:rsid w:val="00694C74"/>
    <w:rsid w:val="006963B7"/>
    <w:rsid w:val="006A051F"/>
    <w:rsid w:val="006A654C"/>
    <w:rsid w:val="006B7787"/>
    <w:rsid w:val="006C0438"/>
    <w:rsid w:val="006C1ABF"/>
    <w:rsid w:val="006C2F9C"/>
    <w:rsid w:val="006E25C7"/>
    <w:rsid w:val="006E3AAA"/>
    <w:rsid w:val="006E764E"/>
    <w:rsid w:val="006F1611"/>
    <w:rsid w:val="006F57A6"/>
    <w:rsid w:val="006F59D6"/>
    <w:rsid w:val="006F6603"/>
    <w:rsid w:val="006F6B7F"/>
    <w:rsid w:val="00703FF0"/>
    <w:rsid w:val="00704C4D"/>
    <w:rsid w:val="007107F4"/>
    <w:rsid w:val="00711F65"/>
    <w:rsid w:val="00712630"/>
    <w:rsid w:val="00713035"/>
    <w:rsid w:val="007148E8"/>
    <w:rsid w:val="00720A6E"/>
    <w:rsid w:val="007316C3"/>
    <w:rsid w:val="0073306C"/>
    <w:rsid w:val="007379A8"/>
    <w:rsid w:val="00742727"/>
    <w:rsid w:val="0074314B"/>
    <w:rsid w:val="007465F1"/>
    <w:rsid w:val="0075501B"/>
    <w:rsid w:val="00763133"/>
    <w:rsid w:val="00770A33"/>
    <w:rsid w:val="00774260"/>
    <w:rsid w:val="00776199"/>
    <w:rsid w:val="00783367"/>
    <w:rsid w:val="00787E50"/>
    <w:rsid w:val="007905F1"/>
    <w:rsid w:val="007911D9"/>
    <w:rsid w:val="007A13E2"/>
    <w:rsid w:val="007A2E12"/>
    <w:rsid w:val="007A2E76"/>
    <w:rsid w:val="007A3947"/>
    <w:rsid w:val="007B02B9"/>
    <w:rsid w:val="007B043A"/>
    <w:rsid w:val="007B2C11"/>
    <w:rsid w:val="007C36F7"/>
    <w:rsid w:val="007C37F1"/>
    <w:rsid w:val="007C5B1E"/>
    <w:rsid w:val="007C5EDA"/>
    <w:rsid w:val="007C7ECE"/>
    <w:rsid w:val="007D274C"/>
    <w:rsid w:val="007D6842"/>
    <w:rsid w:val="007E4157"/>
    <w:rsid w:val="007F176B"/>
    <w:rsid w:val="007F1D6D"/>
    <w:rsid w:val="007F1DB7"/>
    <w:rsid w:val="007F2AA8"/>
    <w:rsid w:val="007F3C28"/>
    <w:rsid w:val="007F5A59"/>
    <w:rsid w:val="007F6F02"/>
    <w:rsid w:val="007F7292"/>
    <w:rsid w:val="00800A58"/>
    <w:rsid w:val="008052BD"/>
    <w:rsid w:val="00810A43"/>
    <w:rsid w:val="008335E9"/>
    <w:rsid w:val="00847310"/>
    <w:rsid w:val="008547FE"/>
    <w:rsid w:val="00867379"/>
    <w:rsid w:val="00867D64"/>
    <w:rsid w:val="00870CB1"/>
    <w:rsid w:val="008711A4"/>
    <w:rsid w:val="0087592C"/>
    <w:rsid w:val="0087599E"/>
    <w:rsid w:val="00887B46"/>
    <w:rsid w:val="00892621"/>
    <w:rsid w:val="00893905"/>
    <w:rsid w:val="0089656C"/>
    <w:rsid w:val="008A13E4"/>
    <w:rsid w:val="008A2AD5"/>
    <w:rsid w:val="008A6843"/>
    <w:rsid w:val="008B1271"/>
    <w:rsid w:val="008B3157"/>
    <w:rsid w:val="008C5224"/>
    <w:rsid w:val="008C5D01"/>
    <w:rsid w:val="008D2972"/>
    <w:rsid w:val="008D3043"/>
    <w:rsid w:val="008D6623"/>
    <w:rsid w:val="008E0228"/>
    <w:rsid w:val="008E3306"/>
    <w:rsid w:val="008E4E42"/>
    <w:rsid w:val="008F0A13"/>
    <w:rsid w:val="008F1665"/>
    <w:rsid w:val="008F23AC"/>
    <w:rsid w:val="008F4B6B"/>
    <w:rsid w:val="008F6A1C"/>
    <w:rsid w:val="0090034F"/>
    <w:rsid w:val="0090124C"/>
    <w:rsid w:val="00905771"/>
    <w:rsid w:val="00916CE7"/>
    <w:rsid w:val="00923859"/>
    <w:rsid w:val="00927234"/>
    <w:rsid w:val="00931741"/>
    <w:rsid w:val="009336F6"/>
    <w:rsid w:val="009370D6"/>
    <w:rsid w:val="009453D3"/>
    <w:rsid w:val="009466DA"/>
    <w:rsid w:val="00952EF8"/>
    <w:rsid w:val="00953C9A"/>
    <w:rsid w:val="00954E35"/>
    <w:rsid w:val="009619BF"/>
    <w:rsid w:val="00961BB4"/>
    <w:rsid w:val="00965795"/>
    <w:rsid w:val="00970648"/>
    <w:rsid w:val="009778A2"/>
    <w:rsid w:val="00986471"/>
    <w:rsid w:val="0098763F"/>
    <w:rsid w:val="0099049D"/>
    <w:rsid w:val="0099094C"/>
    <w:rsid w:val="00992664"/>
    <w:rsid w:val="009956FD"/>
    <w:rsid w:val="00997F92"/>
    <w:rsid w:val="009A6CE4"/>
    <w:rsid w:val="009A7AA8"/>
    <w:rsid w:val="009B2F59"/>
    <w:rsid w:val="009B35B6"/>
    <w:rsid w:val="009C0101"/>
    <w:rsid w:val="009C1691"/>
    <w:rsid w:val="009C3FE3"/>
    <w:rsid w:val="009E066A"/>
    <w:rsid w:val="009F32F2"/>
    <w:rsid w:val="00A03572"/>
    <w:rsid w:val="00A04BA1"/>
    <w:rsid w:val="00A07CB7"/>
    <w:rsid w:val="00A14F62"/>
    <w:rsid w:val="00A20634"/>
    <w:rsid w:val="00A23A11"/>
    <w:rsid w:val="00A23B08"/>
    <w:rsid w:val="00A30613"/>
    <w:rsid w:val="00A330B0"/>
    <w:rsid w:val="00A33671"/>
    <w:rsid w:val="00A346AB"/>
    <w:rsid w:val="00A35CDD"/>
    <w:rsid w:val="00A43B12"/>
    <w:rsid w:val="00A44B0B"/>
    <w:rsid w:val="00A52364"/>
    <w:rsid w:val="00A56FC2"/>
    <w:rsid w:val="00A57599"/>
    <w:rsid w:val="00A57C60"/>
    <w:rsid w:val="00A64D24"/>
    <w:rsid w:val="00A65D66"/>
    <w:rsid w:val="00A735C4"/>
    <w:rsid w:val="00A74007"/>
    <w:rsid w:val="00A77D52"/>
    <w:rsid w:val="00A811B1"/>
    <w:rsid w:val="00A8728D"/>
    <w:rsid w:val="00A91B2D"/>
    <w:rsid w:val="00AA064E"/>
    <w:rsid w:val="00AA4A61"/>
    <w:rsid w:val="00AB3B1B"/>
    <w:rsid w:val="00AB4B72"/>
    <w:rsid w:val="00AB783F"/>
    <w:rsid w:val="00AD2613"/>
    <w:rsid w:val="00AD4BC9"/>
    <w:rsid w:val="00AE3280"/>
    <w:rsid w:val="00AE4A9C"/>
    <w:rsid w:val="00AF26E3"/>
    <w:rsid w:val="00AF6BD5"/>
    <w:rsid w:val="00B024B5"/>
    <w:rsid w:val="00B0399E"/>
    <w:rsid w:val="00B046BC"/>
    <w:rsid w:val="00B04941"/>
    <w:rsid w:val="00B052BC"/>
    <w:rsid w:val="00B05691"/>
    <w:rsid w:val="00B10DED"/>
    <w:rsid w:val="00B13932"/>
    <w:rsid w:val="00B1697B"/>
    <w:rsid w:val="00B23DD6"/>
    <w:rsid w:val="00B407CC"/>
    <w:rsid w:val="00B41286"/>
    <w:rsid w:val="00B44B6E"/>
    <w:rsid w:val="00B45759"/>
    <w:rsid w:val="00B4628F"/>
    <w:rsid w:val="00B53285"/>
    <w:rsid w:val="00B628D9"/>
    <w:rsid w:val="00B64101"/>
    <w:rsid w:val="00B64D9D"/>
    <w:rsid w:val="00B66799"/>
    <w:rsid w:val="00B76E42"/>
    <w:rsid w:val="00B829EE"/>
    <w:rsid w:val="00B84803"/>
    <w:rsid w:val="00B868CD"/>
    <w:rsid w:val="00B9272C"/>
    <w:rsid w:val="00B97134"/>
    <w:rsid w:val="00BA07C6"/>
    <w:rsid w:val="00BA24A3"/>
    <w:rsid w:val="00BA3CF1"/>
    <w:rsid w:val="00BA4490"/>
    <w:rsid w:val="00BA5213"/>
    <w:rsid w:val="00BA559B"/>
    <w:rsid w:val="00BB05F8"/>
    <w:rsid w:val="00BB4F2D"/>
    <w:rsid w:val="00BB5DA7"/>
    <w:rsid w:val="00BB6B15"/>
    <w:rsid w:val="00BC0343"/>
    <w:rsid w:val="00BC1DE3"/>
    <w:rsid w:val="00BC4C2E"/>
    <w:rsid w:val="00BC521C"/>
    <w:rsid w:val="00BE08A0"/>
    <w:rsid w:val="00BE1656"/>
    <w:rsid w:val="00BE75D7"/>
    <w:rsid w:val="00BF5D37"/>
    <w:rsid w:val="00C02029"/>
    <w:rsid w:val="00C079A4"/>
    <w:rsid w:val="00C12193"/>
    <w:rsid w:val="00C2022A"/>
    <w:rsid w:val="00C24308"/>
    <w:rsid w:val="00C26417"/>
    <w:rsid w:val="00C26492"/>
    <w:rsid w:val="00C300FE"/>
    <w:rsid w:val="00C31FAA"/>
    <w:rsid w:val="00C34388"/>
    <w:rsid w:val="00C36218"/>
    <w:rsid w:val="00C36EC2"/>
    <w:rsid w:val="00C456B0"/>
    <w:rsid w:val="00C46C64"/>
    <w:rsid w:val="00C47148"/>
    <w:rsid w:val="00C529DA"/>
    <w:rsid w:val="00C5705B"/>
    <w:rsid w:val="00C61F54"/>
    <w:rsid w:val="00C63D9B"/>
    <w:rsid w:val="00C6454A"/>
    <w:rsid w:val="00C6773D"/>
    <w:rsid w:val="00C71F60"/>
    <w:rsid w:val="00C82178"/>
    <w:rsid w:val="00C8518E"/>
    <w:rsid w:val="00C92C20"/>
    <w:rsid w:val="00C93FF0"/>
    <w:rsid w:val="00C97491"/>
    <w:rsid w:val="00C979B5"/>
    <w:rsid w:val="00CA2F26"/>
    <w:rsid w:val="00CA3AC9"/>
    <w:rsid w:val="00CA69C7"/>
    <w:rsid w:val="00CB16E5"/>
    <w:rsid w:val="00CB490E"/>
    <w:rsid w:val="00CC4F73"/>
    <w:rsid w:val="00CC53FE"/>
    <w:rsid w:val="00CC6E2E"/>
    <w:rsid w:val="00CC6F3D"/>
    <w:rsid w:val="00CD2537"/>
    <w:rsid w:val="00CD7524"/>
    <w:rsid w:val="00CF02D8"/>
    <w:rsid w:val="00CF193A"/>
    <w:rsid w:val="00CF310C"/>
    <w:rsid w:val="00CF52E5"/>
    <w:rsid w:val="00D0029D"/>
    <w:rsid w:val="00D00A2A"/>
    <w:rsid w:val="00D03694"/>
    <w:rsid w:val="00D05C70"/>
    <w:rsid w:val="00D05DC3"/>
    <w:rsid w:val="00D11889"/>
    <w:rsid w:val="00D15DA9"/>
    <w:rsid w:val="00D1754F"/>
    <w:rsid w:val="00D22882"/>
    <w:rsid w:val="00D22B13"/>
    <w:rsid w:val="00D24837"/>
    <w:rsid w:val="00D25503"/>
    <w:rsid w:val="00D33B80"/>
    <w:rsid w:val="00D34294"/>
    <w:rsid w:val="00D4584C"/>
    <w:rsid w:val="00D464C3"/>
    <w:rsid w:val="00D509E2"/>
    <w:rsid w:val="00D50D03"/>
    <w:rsid w:val="00D51D79"/>
    <w:rsid w:val="00D67864"/>
    <w:rsid w:val="00D73C91"/>
    <w:rsid w:val="00D85AE6"/>
    <w:rsid w:val="00D86B92"/>
    <w:rsid w:val="00D915F7"/>
    <w:rsid w:val="00D92535"/>
    <w:rsid w:val="00DA003E"/>
    <w:rsid w:val="00DA18D0"/>
    <w:rsid w:val="00DA29F1"/>
    <w:rsid w:val="00DB5286"/>
    <w:rsid w:val="00DB65F2"/>
    <w:rsid w:val="00DC3045"/>
    <w:rsid w:val="00DC698F"/>
    <w:rsid w:val="00DD05BD"/>
    <w:rsid w:val="00DD1166"/>
    <w:rsid w:val="00DE007F"/>
    <w:rsid w:val="00DE2711"/>
    <w:rsid w:val="00DE2828"/>
    <w:rsid w:val="00DE702D"/>
    <w:rsid w:val="00E04956"/>
    <w:rsid w:val="00E0793F"/>
    <w:rsid w:val="00E21549"/>
    <w:rsid w:val="00E24DA6"/>
    <w:rsid w:val="00E2766F"/>
    <w:rsid w:val="00E35CC4"/>
    <w:rsid w:val="00E36A00"/>
    <w:rsid w:val="00E42E68"/>
    <w:rsid w:val="00E44DD4"/>
    <w:rsid w:val="00E479EF"/>
    <w:rsid w:val="00E47B85"/>
    <w:rsid w:val="00E53097"/>
    <w:rsid w:val="00E536E7"/>
    <w:rsid w:val="00E54142"/>
    <w:rsid w:val="00E5494E"/>
    <w:rsid w:val="00E5716E"/>
    <w:rsid w:val="00E61B7F"/>
    <w:rsid w:val="00E66243"/>
    <w:rsid w:val="00E67744"/>
    <w:rsid w:val="00E71360"/>
    <w:rsid w:val="00E72039"/>
    <w:rsid w:val="00E7468E"/>
    <w:rsid w:val="00E76CE0"/>
    <w:rsid w:val="00E77E0B"/>
    <w:rsid w:val="00E81D17"/>
    <w:rsid w:val="00E90303"/>
    <w:rsid w:val="00E93A3C"/>
    <w:rsid w:val="00E94534"/>
    <w:rsid w:val="00E97F39"/>
    <w:rsid w:val="00EB2D31"/>
    <w:rsid w:val="00EB4A15"/>
    <w:rsid w:val="00EC1A0C"/>
    <w:rsid w:val="00EC26A5"/>
    <w:rsid w:val="00EC4251"/>
    <w:rsid w:val="00ED2B62"/>
    <w:rsid w:val="00ED3574"/>
    <w:rsid w:val="00EE04E9"/>
    <w:rsid w:val="00EE0A0D"/>
    <w:rsid w:val="00EE14C2"/>
    <w:rsid w:val="00EE56AD"/>
    <w:rsid w:val="00EE5E00"/>
    <w:rsid w:val="00EE7869"/>
    <w:rsid w:val="00F01973"/>
    <w:rsid w:val="00F056E2"/>
    <w:rsid w:val="00F07A35"/>
    <w:rsid w:val="00F10F18"/>
    <w:rsid w:val="00F14540"/>
    <w:rsid w:val="00F2165E"/>
    <w:rsid w:val="00F23C39"/>
    <w:rsid w:val="00F257A2"/>
    <w:rsid w:val="00F27018"/>
    <w:rsid w:val="00F3113D"/>
    <w:rsid w:val="00F44110"/>
    <w:rsid w:val="00F53808"/>
    <w:rsid w:val="00F546F3"/>
    <w:rsid w:val="00F67357"/>
    <w:rsid w:val="00F7359B"/>
    <w:rsid w:val="00F74582"/>
    <w:rsid w:val="00F768C4"/>
    <w:rsid w:val="00F82CFA"/>
    <w:rsid w:val="00F83425"/>
    <w:rsid w:val="00F8732A"/>
    <w:rsid w:val="00F95483"/>
    <w:rsid w:val="00F9560A"/>
    <w:rsid w:val="00F9742A"/>
    <w:rsid w:val="00FA3046"/>
    <w:rsid w:val="00FA726B"/>
    <w:rsid w:val="00FB0344"/>
    <w:rsid w:val="00FB1E9F"/>
    <w:rsid w:val="00FB2E18"/>
    <w:rsid w:val="00FB4CEB"/>
    <w:rsid w:val="00FB70B8"/>
    <w:rsid w:val="00FC05CC"/>
    <w:rsid w:val="00FC30C7"/>
    <w:rsid w:val="00FC3A58"/>
    <w:rsid w:val="00FD2A06"/>
    <w:rsid w:val="00FD2A33"/>
    <w:rsid w:val="00FD5384"/>
    <w:rsid w:val="00FE090F"/>
    <w:rsid w:val="00FF4CEE"/>
    <w:rsid w:val="00FF524E"/>
    <w:rsid w:val="00FF668C"/>
    <w:rsid w:val="00FF67CE"/>
    <w:rsid w:val="07FF9314"/>
    <w:rsid w:val="0F6FB78B"/>
    <w:rsid w:val="1955538C"/>
    <w:rsid w:val="1CBA04A5"/>
    <w:rsid w:val="24C62503"/>
    <w:rsid w:val="2FF78D6A"/>
    <w:rsid w:val="3BD7F5FB"/>
    <w:rsid w:val="3BFA4929"/>
    <w:rsid w:val="3FFC279F"/>
    <w:rsid w:val="44FC39B7"/>
    <w:rsid w:val="47376F28"/>
    <w:rsid w:val="498BD4F9"/>
    <w:rsid w:val="49FF1C13"/>
    <w:rsid w:val="4D3FEC1B"/>
    <w:rsid w:val="4DDE9BBF"/>
    <w:rsid w:val="5AFF37D6"/>
    <w:rsid w:val="5B7BFDDF"/>
    <w:rsid w:val="5BBE5051"/>
    <w:rsid w:val="5BE43D12"/>
    <w:rsid w:val="5FAF3C6C"/>
    <w:rsid w:val="67BDDAFC"/>
    <w:rsid w:val="67EFED35"/>
    <w:rsid w:val="6B6FFB50"/>
    <w:rsid w:val="6BF2A411"/>
    <w:rsid w:val="6E77CC18"/>
    <w:rsid w:val="6E7F87FE"/>
    <w:rsid w:val="6EAC6718"/>
    <w:rsid w:val="6F7E3805"/>
    <w:rsid w:val="6F8DF923"/>
    <w:rsid w:val="72FF21AB"/>
    <w:rsid w:val="73F1D51C"/>
    <w:rsid w:val="75FF073D"/>
    <w:rsid w:val="76799F1A"/>
    <w:rsid w:val="767BB26D"/>
    <w:rsid w:val="77B1D7F5"/>
    <w:rsid w:val="77F77F46"/>
    <w:rsid w:val="77FE39DE"/>
    <w:rsid w:val="79AB55AF"/>
    <w:rsid w:val="7C7FB0B9"/>
    <w:rsid w:val="7CEE5F2C"/>
    <w:rsid w:val="7CFD3981"/>
    <w:rsid w:val="7E6F3626"/>
    <w:rsid w:val="7EDBD3F8"/>
    <w:rsid w:val="7FB79DFD"/>
    <w:rsid w:val="7FE6FE77"/>
    <w:rsid w:val="7FF3D720"/>
    <w:rsid w:val="7FF6CDBA"/>
    <w:rsid w:val="7FF99102"/>
    <w:rsid w:val="8FFB544D"/>
    <w:rsid w:val="90F310CA"/>
    <w:rsid w:val="A5FF5B5A"/>
    <w:rsid w:val="AEDF7906"/>
    <w:rsid w:val="AF6BEB30"/>
    <w:rsid w:val="AF879D76"/>
    <w:rsid w:val="AFFC9C70"/>
    <w:rsid w:val="B714F9BC"/>
    <w:rsid w:val="B87F5136"/>
    <w:rsid w:val="BBF44C00"/>
    <w:rsid w:val="BBFF2926"/>
    <w:rsid w:val="BDBE099B"/>
    <w:rsid w:val="BEEB104F"/>
    <w:rsid w:val="BF3F2059"/>
    <w:rsid w:val="C7F9BA7D"/>
    <w:rsid w:val="CE1B0BE3"/>
    <w:rsid w:val="CEC36D8F"/>
    <w:rsid w:val="CFEEFB8F"/>
    <w:rsid w:val="D9B53DD1"/>
    <w:rsid w:val="DF2E4B1D"/>
    <w:rsid w:val="DFB12718"/>
    <w:rsid w:val="DFEED000"/>
    <w:rsid w:val="DFF972A5"/>
    <w:rsid w:val="E76BE616"/>
    <w:rsid w:val="E7F64A0A"/>
    <w:rsid w:val="EFFE4695"/>
    <w:rsid w:val="F0516283"/>
    <w:rsid w:val="F1F5E3F3"/>
    <w:rsid w:val="F3FF7231"/>
    <w:rsid w:val="F5FFC0E7"/>
    <w:rsid w:val="FCF75C44"/>
    <w:rsid w:val="FD9B024C"/>
    <w:rsid w:val="FE3EA3DC"/>
    <w:rsid w:val="FF567AFD"/>
    <w:rsid w:val="FF5F7CE5"/>
    <w:rsid w:val="FFDBA266"/>
    <w:rsid w:val="FFDDB496"/>
    <w:rsid w:val="FFEFDA5E"/>
    <w:rsid w:val="FFF720F2"/>
    <w:rsid w:val="FFF7936C"/>
    <w:rsid w:val="FFFC01BB"/>
    <w:rsid w:val="FFFC67E0"/>
    <w:rsid w:val="FFFFDB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paragraph" w:styleId="13">
    <w:name w:val="List Paragraph"/>
    <w:basedOn w:val="1"/>
    <w:qFormat/>
    <w:uiPriority w:val="99"/>
    <w:pPr>
      <w:ind w:firstLine="420" w:firstLineChars="200"/>
    </w:p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fontstyle01"/>
    <w:basedOn w:val="9"/>
    <w:qFormat/>
    <w:uiPriority w:val="0"/>
    <w:rPr>
      <w:rFonts w:hint="eastAsia" w:ascii="宋体" w:hAnsi="宋体" w:eastAsia="宋体"/>
      <w:color w:val="000000"/>
      <w:sz w:val="20"/>
      <w:szCs w:val="20"/>
    </w:rPr>
  </w:style>
  <w:style w:type="character" w:customStyle="1" w:styleId="16">
    <w:name w:val="批注框文本 Char"/>
    <w:basedOn w:val="9"/>
    <w:link w:val="3"/>
    <w:semiHidden/>
    <w:qFormat/>
    <w:uiPriority w:val="99"/>
    <w:rPr>
      <w:kern w:val="2"/>
      <w:sz w:val="18"/>
      <w:szCs w:val="18"/>
    </w:rPr>
  </w:style>
  <w:style w:type="character" w:customStyle="1" w:styleId="17">
    <w:name w:val="批注文字 Char"/>
    <w:basedOn w:val="9"/>
    <w:link w:val="2"/>
    <w:semiHidden/>
    <w:qFormat/>
    <w:uiPriority w:val="99"/>
    <w:rPr>
      <w:kern w:val="2"/>
      <w:sz w:val="21"/>
      <w:szCs w:val="22"/>
    </w:rPr>
  </w:style>
  <w:style w:type="character" w:customStyle="1" w:styleId="18">
    <w:name w:val="批注主题 Char"/>
    <w:basedOn w:val="17"/>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y\Library\Containers\com.kingsoft.wpsoffice.mac\Data\C:\Users\guof\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5691</Words>
  <Characters>5824</Characters>
  <Lines>3</Lines>
  <Paragraphs>1</Paragraphs>
  <TotalTime>53</TotalTime>
  <ScaleCrop>false</ScaleCrop>
  <LinksUpToDate>false</LinksUpToDate>
  <CharactersWithSpaces>5863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2023-06-10T19:16:00Z</dcterms:created>
  <dc:creator>郭枫</dc:creator>
  <cp:lastModifiedBy>cunyi</cp:lastModifiedBy>
  <dcterms:modified xsi:type="dcterms:W3CDTF">2025-09-05T08:12:26Z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4F71F69B8EE4446DA1137A461CDB601A_13</vt:lpwstr>
  </property>
  <property fmtid="{D5CDD505-2E9C-101B-9397-08002B2CF9AE}" pid="4" name="KSOTemplateDocerSaveRecord">
    <vt:lpwstr>eyJoZGlkIjoiZTEwZTA2ZTdkZWE3NDRmYWNiMDVlZjE5NWNkY2RiZDQiLCJ1c2VySWQiOiI4NjgzNzM1NzUifQ==</vt:lpwstr>
  </property>
</Properties>
</file>