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A69F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688191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智洋创新</w:t>
      </w:r>
    </w:p>
    <w:p w14:paraId="2325510C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0B37ABF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智洋创新科技股份有限公司</w:t>
      </w:r>
    </w:p>
    <w:p w14:paraId="0E37CAE3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71C5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2FB7FFB2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15CE218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613C784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7467CC8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F2984AE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BA1A1B2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128368CB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2E9E6F9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  <w:bookmarkStart w:id="0" w:name="_GoBack"/>
            <w:bookmarkEnd w:id="0"/>
          </w:p>
          <w:p w14:paraId="258BF1C8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92E013C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2496225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58AED6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</w:tr>
      <w:tr w14:paraId="35A35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281B3B9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03993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="宋体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年半年度业绩说明会的投资者</w:t>
            </w:r>
          </w:p>
        </w:tc>
      </w:tr>
      <w:tr w14:paraId="20A1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8F18222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540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日 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  <w:t>00</w:t>
            </w:r>
          </w:p>
        </w:tc>
      </w:tr>
      <w:tr w14:paraId="3F3A9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A9F43E9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258D2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08827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08B1598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2C1E4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刘国永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谢嘉乐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胡学海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谭博学</w:t>
            </w:r>
          </w:p>
        </w:tc>
      </w:tr>
      <w:tr w14:paraId="6E024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5C2E7ACB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0935815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F7BD2FD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21FC980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045D4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1</w:t>
            </w:r>
            <w:r>
              <w:rPr>
                <w:rFonts w:ascii="宋体" w:hAnsi="宋体" w:eastAsia="宋体" w:cs="宋体"/>
                <w:b/>
                <w:sz w:val="20"/>
              </w:rPr>
              <w:t>.想了解公司下半年已确定的水利项目具体规模，这些项目预计能贡献多少营收占比？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2025</w:t>
            </w:r>
            <w:r>
              <w:rPr>
                <w:rFonts w:ascii="宋体" w:hAnsi="宋体" w:eastAsia="宋体" w:cs="宋体"/>
                <w:b w:val="0"/>
                <w:sz w:val="20"/>
              </w:rPr>
              <w:t>年上半年公司水利行业业务实现营业收入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</w:t>
            </w:r>
            <w:r>
              <w:rPr>
                <w:rFonts w:ascii="宋体" w:hAnsi="宋体" w:eastAsia="宋体" w:cs="宋体"/>
                <w:b w:val="0"/>
                <w:sz w:val="20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481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94</w:t>
            </w:r>
            <w:r>
              <w:rPr>
                <w:rFonts w:ascii="宋体" w:hAnsi="宋体" w:eastAsia="宋体" w:cs="宋体"/>
                <w:b w:val="0"/>
                <w:sz w:val="20"/>
              </w:rPr>
              <w:t>万元，同比增长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16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79</w:t>
            </w:r>
            <w:r>
              <w:rPr>
                <w:rFonts w:ascii="宋体" w:hAnsi="宋体" w:eastAsia="宋体" w:cs="宋体"/>
                <w:b w:val="0"/>
                <w:sz w:val="20"/>
              </w:rPr>
              <w:t>%，公司将持续加强水利领域的投入，具体内容请关注公司后续披露的相关公告，感谢您的关注。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2</w:t>
            </w:r>
            <w:r>
              <w:rPr>
                <w:rFonts w:ascii="宋体" w:hAnsi="宋体" w:eastAsia="宋体" w:cs="宋体"/>
                <w:b/>
                <w:sz w:val="20"/>
              </w:rPr>
              <w:t>.请问公司后续针对轨道交通业务有哪些具体的市场拓展调整策略？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答:尊敬的投资者，您好，公司在全国范围内积极拓展轨道交通业务，包括不限于高铁场景、普铁场景等业务场景，目前公司人工智能产品已经在全国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18</w:t>
            </w:r>
            <w:r>
              <w:rPr>
                <w:rFonts w:ascii="宋体" w:hAnsi="宋体" w:eastAsia="宋体" w:cs="宋体"/>
                <w:b w:val="0"/>
                <w:sz w:val="20"/>
              </w:rPr>
              <w:t>个铁路局进行试点应用，并已中标南宁、乌鲁木齐、济南、呼和浩特、西安、广州、南昌等多个铁路局的项目。感谢您的关注。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3</w:t>
            </w:r>
            <w:r>
              <w:rPr>
                <w:rFonts w:ascii="宋体" w:hAnsi="宋体" w:eastAsia="宋体" w:cs="宋体"/>
                <w:b/>
                <w:sz w:val="20"/>
              </w:rPr>
              <w:t>.前五大应收账款客户近期回款情况如何？是否有相应的风险控制措施？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答:尊敬的投资者，您好，公司建立了全流程的应收账款控制体系，从事前、事中、事后三个方面进行风险控制，公司将持续关注应收账款的管理，通过多种举措防范应收账款回款风险，感谢您的关注。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4</w:t>
            </w:r>
            <w:r>
              <w:rPr>
                <w:rFonts w:ascii="宋体" w:hAnsi="宋体" w:eastAsia="宋体" w:cs="宋体"/>
                <w:b/>
                <w:sz w:val="20"/>
              </w:rPr>
              <w:t>.报告期内新增的子公司的业务定位分别是什么呢？如何与现有业务形成协同？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答:尊敬的投资者，您好，公司坚持“人工智能+行业”的发展战略，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2025</w:t>
            </w:r>
            <w:r>
              <w:rPr>
                <w:rFonts w:ascii="宋体" w:hAnsi="宋体" w:eastAsia="宋体" w:cs="宋体"/>
                <w:b w:val="0"/>
                <w:sz w:val="20"/>
              </w:rPr>
              <w:t>年，公司在上海、深圳设立了全资子公司，依托长三角及珠三角成熟产业链及高端人才资源，分别围绕着人工智能三要素及具身智能方向补强公司产品体系、提升研发能力。感谢您的关注。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5</w:t>
            </w:r>
            <w:r>
              <w:rPr>
                <w:rFonts w:ascii="宋体" w:hAnsi="宋体" w:eastAsia="宋体" w:cs="宋体"/>
                <w:b/>
                <w:sz w:val="20"/>
              </w:rPr>
              <w:t>.看到公司制定了市值管理制度和舆情管理制度，请问后续具体会从哪些方面提升市值管理水平？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公司围绕“人工智能+行业”发展战略、技术创新、投资者回报、公司治理等核心领域持续推进各项相关工作。公司将持续规范资本市场管理体系及实践运作，增强投资者对公司的了解与信任，积极保护中小投资者的合法权益。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6</w:t>
            </w:r>
            <w:r>
              <w:rPr>
                <w:rFonts w:ascii="宋体" w:hAnsi="宋体" w:eastAsia="宋体" w:cs="宋体"/>
                <w:b/>
                <w:sz w:val="20"/>
              </w:rPr>
              <w:t>.请问公司有没有进入国际市场的计划？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答:尊敬的投资者，您好，公司目前未涉及海外业务，未来公司将持续关注海外市场，并积极探索相关机会。感谢您的关注。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7</w:t>
            </w:r>
            <w:r>
              <w:rPr>
                <w:rFonts w:ascii="宋体" w:hAnsi="宋体" w:eastAsia="宋体" w:cs="宋体"/>
                <w:b/>
                <w:sz w:val="20"/>
              </w:rPr>
              <w:t>.结合上半年经营情况和行业趋势，公司对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2025</w:t>
            </w:r>
            <w:r>
              <w:rPr>
                <w:rFonts w:ascii="宋体" w:hAnsi="宋体" w:eastAsia="宋体" w:cs="宋体"/>
                <w:b/>
                <w:sz w:val="20"/>
              </w:rPr>
              <w:t>年全年营收和净利润增长的预期目标是多少？下半年将重点推进哪些工作？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答:尊敬的投资者，您好，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2025</w:t>
            </w:r>
            <w:r>
              <w:rPr>
                <w:rFonts w:ascii="宋体" w:hAnsi="宋体" w:eastAsia="宋体" w:cs="宋体"/>
                <w:b w:val="0"/>
                <w:sz w:val="20"/>
              </w:rPr>
              <w:t>年上半年，公司实现营业收入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46</w:t>
            </w:r>
            <w:r>
              <w:rPr>
                <w:rFonts w:ascii="宋体" w:hAnsi="宋体" w:eastAsia="宋体" w:cs="宋体"/>
                <w:b w:val="0"/>
                <w:sz w:val="20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256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97</w:t>
            </w:r>
            <w:r>
              <w:rPr>
                <w:rFonts w:ascii="宋体" w:hAnsi="宋体" w:eastAsia="宋体" w:cs="宋体"/>
                <w:b w:val="0"/>
                <w:sz w:val="20"/>
              </w:rPr>
              <w:t>万元，同比增长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6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55</w:t>
            </w:r>
            <w:r>
              <w:rPr>
                <w:rFonts w:ascii="宋体" w:hAnsi="宋体" w:eastAsia="宋体" w:cs="宋体"/>
                <w:b w:val="0"/>
                <w:sz w:val="20"/>
              </w:rPr>
              <w:t>%。营业利润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</w:t>
            </w:r>
            <w:r>
              <w:rPr>
                <w:rFonts w:ascii="宋体" w:hAnsi="宋体" w:eastAsia="宋体" w:cs="宋体"/>
                <w:b w:val="0"/>
                <w:sz w:val="20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323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78</w:t>
            </w:r>
            <w:r>
              <w:rPr>
                <w:rFonts w:ascii="宋体" w:hAnsi="宋体" w:eastAsia="宋体" w:cs="宋体"/>
                <w:b w:val="0"/>
                <w:sz w:val="20"/>
              </w:rPr>
              <w:t>万元，同比减少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13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37</w:t>
            </w:r>
            <w:r>
              <w:rPr>
                <w:rFonts w:ascii="宋体" w:hAnsi="宋体" w:eastAsia="宋体" w:cs="宋体"/>
                <w:b w:val="0"/>
                <w:sz w:val="20"/>
              </w:rPr>
              <w:t>%；利润总额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</w:t>
            </w:r>
            <w:r>
              <w:rPr>
                <w:rFonts w:ascii="宋体" w:hAnsi="宋体" w:eastAsia="宋体" w:cs="宋体"/>
                <w:b w:val="0"/>
                <w:sz w:val="20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300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93</w:t>
            </w:r>
            <w:r>
              <w:rPr>
                <w:rFonts w:ascii="宋体" w:hAnsi="宋体" w:eastAsia="宋体" w:cs="宋体"/>
                <w:b w:val="0"/>
                <w:sz w:val="20"/>
              </w:rPr>
              <w:t>万元，同比减少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14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50</w:t>
            </w:r>
            <w:r>
              <w:rPr>
                <w:rFonts w:ascii="宋体" w:hAnsi="宋体" w:eastAsia="宋体" w:cs="宋体"/>
                <w:b w:val="0"/>
                <w:sz w:val="20"/>
              </w:rPr>
              <w:t>%；归属于母公司所有者的净利润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</w:t>
            </w:r>
            <w:r>
              <w:rPr>
                <w:rFonts w:ascii="宋体" w:hAnsi="宋体" w:eastAsia="宋体" w:cs="宋体"/>
                <w:b w:val="0"/>
                <w:sz w:val="20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907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88</w:t>
            </w:r>
            <w:r>
              <w:rPr>
                <w:rFonts w:ascii="宋体" w:hAnsi="宋体" w:eastAsia="宋体" w:cs="宋体"/>
                <w:b w:val="0"/>
                <w:sz w:val="20"/>
              </w:rPr>
              <w:t>万元，同比减少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24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71</w:t>
            </w:r>
            <w:r>
              <w:rPr>
                <w:rFonts w:ascii="宋体" w:hAnsi="宋体" w:eastAsia="宋体" w:cs="宋体"/>
                <w:b w:val="0"/>
                <w:sz w:val="20"/>
              </w:rPr>
              <w:t>%；归属于母公司所有者的扣除非经常性损益的净利润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</w:t>
            </w:r>
            <w:r>
              <w:rPr>
                <w:rFonts w:ascii="宋体" w:hAnsi="宋体" w:eastAsia="宋体" w:cs="宋体"/>
                <w:b w:val="0"/>
                <w:sz w:val="20"/>
              </w:rPr>
              <w:t>,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072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73</w:t>
            </w:r>
            <w:r>
              <w:rPr>
                <w:rFonts w:ascii="宋体" w:hAnsi="宋体" w:eastAsia="宋体" w:cs="宋体"/>
                <w:b w:val="0"/>
                <w:sz w:val="20"/>
              </w:rPr>
              <w:t>万元，同比减少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49</w:t>
            </w:r>
            <w:r>
              <w:rPr>
                <w:rFonts w:ascii="宋体" w:hAnsi="宋体" w:eastAsia="宋体" w:cs="宋体"/>
                <w:b w:val="0"/>
                <w:sz w:val="20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sz w:val="20"/>
              </w:rPr>
              <w:t>11</w:t>
            </w:r>
            <w:r>
              <w:rPr>
                <w:rFonts w:ascii="宋体" w:hAnsi="宋体" w:eastAsia="宋体" w:cs="宋体"/>
                <w:b w:val="0"/>
                <w:sz w:val="20"/>
              </w:rPr>
              <w:t>%。公司将持续加强各业务领域业务拓展，具体情况请关注公司后续披露的相关公告。感谢您的关注。</w:t>
            </w:r>
          </w:p>
        </w:tc>
      </w:tr>
      <w:tr w14:paraId="21FD1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7C5F6763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2DE2CD1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56EA7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5B326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717D776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44CA9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0071C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5333EA4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06BF9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2025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09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05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0552E406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C32032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046927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1406</Characters>
  <Lines>2</Lines>
  <Paragraphs>1</Paragraphs>
  <TotalTime>13</TotalTime>
  <ScaleCrop>false</ScaleCrop>
  <LinksUpToDate>false</LinksUpToDate>
  <CharactersWithSpaces>1534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Ivin</cp:lastModifiedBy>
  <dcterms:modified xsi:type="dcterms:W3CDTF">2025-09-05T09:13:06Z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eyJoZGlkIjoiYTVkN2FiZTA1NjZlMGUxMjcxN2IwMWFhYzQ4NGIxN2YiLCJ1c2VySWQiOiIyNjA2MTQ0NzgifQ==</vt:lpwstr>
  </property>
</Properties>
</file>