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证券简称：邦彦技术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0E1CFD59" w14:textId="61829294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Pr="002F2B7E"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385298"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1</w:t>
      </w:r>
      <w:r w:rsidR="008D3095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7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16AF3CB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□特定对象调研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</w:t>
            </w:r>
            <w:r w:rsidR="001635ED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51A4F443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1635ED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□现场参观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6CFA1ABD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  <w:r w:rsidR="00A74640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320C7A4C" w:rsidR="00BE0459" w:rsidRPr="002F2B7E" w:rsidRDefault="001635ED" w:rsidP="00624BD1">
            <w:pPr>
              <w:widowControl/>
              <w:spacing w:after="0" w:line="560" w:lineRule="exact"/>
              <w:textAlignment w:val="center"/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</w:pPr>
            <w:r w:rsidRPr="001635E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通过线上文字互动参与由上海证券交易所主办的</w:t>
            </w:r>
            <w:r w:rsidRPr="001635E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2025</w:t>
            </w:r>
            <w:r w:rsidRPr="001635E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年半年度</w:t>
            </w:r>
            <w:proofErr w:type="gramStart"/>
            <w:r w:rsidRPr="001635E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科创板</w:t>
            </w:r>
            <w:proofErr w:type="gramEnd"/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人工智能</w:t>
            </w:r>
            <w:r w:rsidRPr="001635E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行业集体业绩说明会并对公司进行提问的投资者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10D76363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5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3B530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9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8D309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9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日</w:t>
            </w:r>
            <w:r w:rsidR="001635ED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15:00-17:00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08BDF51F" w:rsidR="00BE0459" w:rsidRPr="002F2B7E" w:rsidRDefault="001635ED" w:rsidP="001635ED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上海证券交易所</w:t>
            </w:r>
            <w:proofErr w:type="gramStart"/>
            <w:r w:rsidRPr="001635ED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上证路演</w:t>
            </w:r>
            <w:proofErr w:type="gramEnd"/>
            <w:r w:rsidRPr="001635ED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中心（网址：</w:t>
            </w:r>
            <w:r w:rsidRPr="001635ED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http://roadshow.sseinfo.com/</w:t>
            </w:r>
            <w:r w:rsidRPr="001635ED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）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F5F" w14:textId="61950D64" w:rsidR="001635ED" w:rsidRDefault="001635ED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董事长、总经理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祝国胜</w:t>
            </w:r>
            <w:proofErr w:type="gramEnd"/>
          </w:p>
          <w:p w14:paraId="76C15AAC" w14:textId="03774357" w:rsidR="001635ED" w:rsidRDefault="001635ED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 w:hint="eastAsia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独立董事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吴保元</w:t>
            </w:r>
          </w:p>
          <w:p w14:paraId="475D6F7A" w14:textId="7A715F81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59EB" w14:textId="09D35816" w:rsidR="00BD35B7" w:rsidRDefault="00BD35B7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bookmarkStart w:id="0" w:name="_Toc149733612"/>
            <w:bookmarkStart w:id="1" w:name="_Toc144735704"/>
            <w:bookmarkStart w:id="2" w:name="OLE_LINK1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1</w:t>
            </w:r>
            <w:r w:rsidRPr="002F2B7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8D3095" w:rsidRPr="008D3095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下半年公司</w:t>
            </w:r>
            <w:r w:rsidR="008D3095" w:rsidRPr="008D3095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 xml:space="preserve"> AI </w:t>
            </w:r>
            <w:r w:rsidR="008D3095" w:rsidRPr="008D3095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业务的战略重点是什么？是否有重大产品发布或技术合作计划？在新兴应用场景领域有何布局？</w:t>
            </w:r>
          </w:p>
          <w:p w14:paraId="2F786029" w14:textId="77777777" w:rsidR="0058568C" w:rsidRDefault="0058568C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尊敬的投资者，您好！感谢您对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邦彦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技术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业务的关注。</w:t>
            </w:r>
          </w:p>
          <w:p w14:paraId="0A0A7D9F" w14:textId="1CC793A8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年下半年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业务战略重点如下</w:t>
            </w:r>
          </w:p>
          <w:p w14:paraId="4F81F22F" w14:textId="33402C82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推动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智能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体数字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人平台加速商业化落地，下半年公司将重点发力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to C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（面向消费者）赛道，通过“线上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线下”联动模式进行推广，致力于打造零门槛的个性化数字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IP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创作平台。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</w:p>
          <w:p w14:paraId="4734E278" w14:textId="3056F85F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深化“双脑架构”与大模型技术，公司将继续研发“智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lastRenderedPageBreak/>
              <w:t>商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情商”结合的“双脑架构”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智能体大模型，旨在提升数字人的感知、记忆、推理和规划能力，使其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交互更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拟人化。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</w:p>
          <w:p w14:paraId="52E0F6ED" w14:textId="2970D18F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赋能公司传统业务与内部增效，将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技术与传统的信息通信、信息安全业务（如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富媒体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指挥调度系统）深度融合，提升产品智能化水平和市场竞争力。</w:t>
            </w:r>
          </w:p>
          <w:p w14:paraId="1B6DBA11" w14:textId="4FB97EAD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构建“计算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存储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应用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安全”的全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栈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产品生态，下半年公司将持续完善从数据中心基础设施（如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PanstoneMatrix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服务器、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PanstoneStore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分布式存储）到边缘应用服务（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邦彦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云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PC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、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）的全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栈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布局。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</w:p>
          <w:p w14:paraId="5B87DB17" w14:textId="6BC91F47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重大产品发布与技术合作计划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</w:p>
          <w:p w14:paraId="05ECF50C" w14:textId="77E04E66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产品发布计划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AI Agent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产品方面，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7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月，世界人工智能大会（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WAIC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）举办期间，公司自主研发的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智能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体数字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人平台开始开放注册。公司计划在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年下半年正式发布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数字人产品，其基础平台可面向全行业推广使用。</w:t>
            </w:r>
          </w:p>
          <w:p w14:paraId="6E819237" w14:textId="7BF818E7" w:rsidR="001635ED" w:rsidRPr="001635ED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技术合作计划方面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公司下半年将进一步扩大研发投入，并积极引进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人才。截至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6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月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30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日，公司研发人员占比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40%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，上半年研发投入占营业收入比例高达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56.08%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。公司通过“投‘钱’与投‘人’”并重的方式持续提高竞争力，且其云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PC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产品支持国产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CPU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（海光、飞腾）和操作系统（麒麟、统信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UOS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）。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</w:p>
          <w:p w14:paraId="7BD34568" w14:textId="31DF0D8B" w:rsidR="001635ED" w:rsidRPr="001635ED" w:rsidRDefault="0058568C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</w:t>
            </w:r>
            <w:r w:rsidR="001635ED"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公司</w:t>
            </w:r>
            <w:r w:rsidR="001635ED"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="001635ED"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产品新兴应用场景布局</w:t>
            </w:r>
          </w:p>
          <w:p w14:paraId="7A54E8E8" w14:textId="77777777" w:rsidR="0058568C" w:rsidRDefault="001635ED" w:rsidP="001635E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面向未来人机共生生态，通过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“情商脑”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和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“智商脑”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 xml:space="preserve"> 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双脑驱动架构，赋予数字人语音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交互与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情感合成能力，可服务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B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端企业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客户（如营销、教育、政务、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文旅等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）和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C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端个人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创作者、自媒体、培训讲师乃至大众用户。其业务范围涵盖智能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体数字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人生成平台、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 ' s World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数字</w:t>
            </w:r>
            <w:proofErr w:type="gram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人内容</w:t>
            </w:r>
            <w:proofErr w:type="gram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空间，以及企业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员工、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讲解员、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主播等智能化应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lastRenderedPageBreak/>
              <w:t>用服务。平台特征强调“零门槛”（无需建模或专业编辑，一键生成数字人）和高自由度（外貌、声音、动作、性格均可定制），支持作品在抖音、淘宝、视频号、直播平台等多渠道部署。</w:t>
            </w:r>
            <w:proofErr w:type="spellStart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品牌强调开放的平台属性和生态拓展，聚焦大众市场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1635ED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消费级应用。</w:t>
            </w:r>
          </w:p>
          <w:p w14:paraId="3EF9FD30" w14:textId="7666E4EB" w:rsidR="004B6C84" w:rsidRPr="002F2B7E" w:rsidRDefault="009407B0" w:rsidP="001635E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2</w:t>
            </w:r>
            <w:r w:rsidR="004B6C84" w:rsidRPr="002F2B7E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proofErr w:type="gramStart"/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上半年算力成本</w:t>
            </w:r>
            <w:proofErr w:type="gramEnd"/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芯片等基础设施价格波动对公司运营成本带来了哪些影响？采取了哪些应对措施？是否建立了长期稳定</w:t>
            </w:r>
            <w:proofErr w:type="gramStart"/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的算力供应</w:t>
            </w:r>
            <w:proofErr w:type="gramEnd"/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渠道？</w:t>
            </w:r>
          </w:p>
          <w:p w14:paraId="0E37DFA3" w14:textId="77777777" w:rsidR="0058568C" w:rsidRDefault="0058568C" w:rsidP="00624BD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尊敬的投资者，您好！感谢您对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邦彦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技术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业务的关注。您提出的关于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算力基础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设施价格波动的影响及应对措施，确实是当前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行业发展的核心挑战之一。公司采用混合云架构及战略合作等策略相结合，公司基于阿里云领先的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云服务与算力基础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设施，以及丰富的模型生态资源，助力公司</w:t>
            </w:r>
            <w:proofErr w:type="spell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NuwaAI</w:t>
            </w:r>
            <w:proofErr w:type="spell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实现高质量图像合成、实时语音互动处理、大规模模型训练与推理。</w:t>
            </w:r>
          </w:p>
          <w:p w14:paraId="00D36844" w14:textId="6A87CA40" w:rsidR="001E1B5C" w:rsidRPr="00624BD1" w:rsidRDefault="001E1B5C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624BD1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 xml:space="preserve">3 </w:t>
            </w:r>
            <w:r w:rsidRPr="00624BD1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公司业务与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融合有哪些最新进展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对公司业绩的带动作用体现在哪些具体方面，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相关业务订单增长情况？</w:t>
            </w:r>
          </w:p>
          <w:p w14:paraId="5B81BF1D" w14:textId="77777777" w:rsidR="0058568C" w:rsidRDefault="0058568C" w:rsidP="00624BD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您好，公司正从传统的军工信息化企业向“云计算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+AI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解决方案提供商”转型，公司目前已形成“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2+1+1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”的业务布局，即两个事业部（融合通信事业部、信息安全事业部）和两条产品线（云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PC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产品线、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 Agent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产品线）。公司基于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技术，构建智能融合通信服务平台，赋能传统军工业务，提供智能化的解决方案，形成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AI+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网络通信、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AI+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智能指挥，为用户提供服务。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与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富媒体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指挥调度系统深度融合，以提升用户终端的智能化水平。首先，与公司智能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体数字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人结合，通过全程语音控制技术，用户无需手动操作即可轻松发起通信业务，显著提升使用便捷性。第二，智能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体数字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人在后台将智能化地组织业务，自动选择最优的网络手段和路径，确保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lastRenderedPageBreak/>
              <w:t>通信的高效性和稳定性。第三，智能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体数字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人提供数据收集、数据整理、数据分析，辅助决策等功能，为指挥员的指挥业务提供服务。通过提升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富媒体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指挥调度系统的智能化程度，进一步增强产品的市场竞争力，服务于各级各类指挥所、通信枢纽及通信节点。对于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 Agent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产品业绩情况，公司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 Agent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数字人已在心理健康行业实现落地应用，具备自主完成心理评估及咨询服务的能力。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2025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年上半年公司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AI Agent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产品实现收入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96.70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万元。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2025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年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7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月，“</w:t>
            </w:r>
            <w:proofErr w:type="spell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NuwaAI</w:t>
            </w:r>
            <w:proofErr w:type="spell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”平台参展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2025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世界人工智能大会（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WAIC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）并正式开放注册，自开放注册后反响热烈，公司建立“线上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+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线下”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双渠道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推广体系，线上通过抖音、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微信等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平台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触达广泛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用户，线下在商超、活动场景中实现快速部署与转化，初步建立用户生态基础。公司目前致力于打造零门槛的个性化数字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IP</w:t>
            </w:r>
            <w:r w:rsidRPr="0058568C">
              <w:rPr>
                <w:rFonts w:ascii="Times New Roman" w:eastAsia="宋体" w:hAnsi="Times New Roman" w:cs="Times New Roman" w:hint="eastAsia"/>
                <w:sz w:val="24"/>
                <w14:ligatures w14:val="none"/>
              </w:rPr>
              <w:t>创作平台，但新业务的开拓需要一定周期，敬请广大投资者注意投资风险，理性投资。</w:t>
            </w:r>
          </w:p>
          <w:p w14:paraId="783B07E2" w14:textId="77777777" w:rsidR="0058568C" w:rsidRDefault="003C34C6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3C34C6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4</w:t>
            </w:r>
            <w:r w:rsidRPr="003C34C6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如何看待当前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 xml:space="preserve"> AI 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行业的竞争格局变化？在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业务商业化落地过程中，公司面临的最大挑战是什么？</w:t>
            </w:r>
          </w:p>
          <w:p w14:paraId="3ACA456D" w14:textId="77777777" w:rsidR="0058568C" w:rsidRDefault="0058568C" w:rsidP="00624BD1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您好，当前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行业的竞争呈现出“巨头筑基、垂直深耕、应用分层”的特点。做人工智能产业，技术并非当下最大难题，关键在于两点：一是韧性，谁能坚持到最后；二是商业模式，必须找到有确切场景的路径。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2023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年底公司决定战略转型，确立了“创民品，开新局”的经营方针，以人工智能技术为核心驱动力，深耕网络通信、多媒体处理、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云服务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等领域，致力于为全球用户提供智能且安全的解决方案。公司发布的</w:t>
            </w:r>
            <w:proofErr w:type="spell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智能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体数字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人平台，主要是面向未来人机共生生态，提供零门槛的个性化数字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IP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创作平台，广泛应用于内容创作、品牌营销、客户服务等智能化场景，也是公司选择的应用场景。</w:t>
            </w:r>
          </w:p>
          <w:p w14:paraId="2B562CEE" w14:textId="7D288C57" w:rsidR="001E1B5C" w:rsidRPr="001E1B5C" w:rsidRDefault="001E1B5C" w:rsidP="00624BD1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  <w14:ligatures w14:val="none"/>
              </w:rPr>
            </w:pPr>
            <w:r w:rsidRPr="001E1B5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5</w:t>
            </w:r>
            <w:r w:rsidR="00034F58" w:rsidRPr="001E1B5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、</w:t>
            </w:r>
            <w:r w:rsidR="0058568C">
              <w:rPr>
                <w:rFonts w:hint="eastAsia"/>
              </w:rPr>
              <w:t xml:space="preserve"> 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对公司业绩的带动作用体现在哪些具体方面，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t>AI</w:t>
            </w:r>
            <w:r w:rsidR="0058568C" w:rsidRPr="0058568C">
              <w:rPr>
                <w:rFonts w:ascii="Times New Roman" w:eastAsia="宋体" w:hAnsi="Times New Roman" w:cs="Times New Roman" w:hint="eastAsia"/>
                <w:b/>
                <w:sz w:val="24"/>
                <w14:ligatures w14:val="none"/>
              </w:rPr>
              <w:lastRenderedPageBreak/>
              <w:t>相关业务订单增长情况？</w:t>
            </w:r>
          </w:p>
          <w:bookmarkEnd w:id="0"/>
          <w:bookmarkEnd w:id="1"/>
          <w:p w14:paraId="038C8043" w14:textId="51374659" w:rsidR="00571988" w:rsidRPr="001E1B5C" w:rsidRDefault="0058568C" w:rsidP="00624BD1">
            <w:pPr>
              <w:spacing w:line="360" w:lineRule="auto"/>
              <w:ind w:firstLine="482"/>
              <w:jc w:val="both"/>
              <w:rPr>
                <w:rFonts w:ascii="Times New Roman" w:eastAsia="宋体" w:hAnsi="Times New Roman" w:cs="Times New Roman"/>
                <w:bCs/>
                <w:sz w:val="24"/>
                <w14:ligatures w14:val="none"/>
              </w:rPr>
            </w:pP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尊敬的投资者，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年上半年公司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AI Agent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产品实现收入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96.70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万元。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年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7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月，“</w:t>
            </w:r>
            <w:proofErr w:type="spell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NuwaAI</w:t>
            </w:r>
            <w:proofErr w:type="spell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”平台参展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2025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世界人工智能大会（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WAIC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）并正式开放注册，自开放注册后反响热烈，公司建立“线上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+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线下”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双渠道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推广体系，线上通过抖音、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微信等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平台</w:t>
            </w:r>
            <w:proofErr w:type="gramStart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触达广泛</w:t>
            </w:r>
            <w:proofErr w:type="gramEnd"/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用户，线下在商超、活动场景中实现快速部署与转化，初步建立用户生态基础。公司目前致力于打造零门槛的个性化数字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IP</w:t>
            </w:r>
            <w:r w:rsidRPr="0058568C">
              <w:rPr>
                <w:rFonts w:ascii="Times New Roman" w:eastAsia="宋体" w:hAnsi="Times New Roman" w:cs="Times New Roman" w:hint="eastAsia"/>
                <w:bCs/>
                <w:sz w:val="24"/>
                <w14:ligatures w14:val="none"/>
              </w:rPr>
              <w:t>创作平台，但新业务的开拓需要一定周期，敬请广大投资者注意投资风险，理性投资。</w:t>
            </w:r>
            <w:bookmarkEnd w:id="2"/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624BD1">
            <w:pPr>
              <w:spacing w:after="0" w:line="360" w:lineRule="auto"/>
              <w:ind w:firstLineChars="200" w:firstLine="480"/>
              <w:jc w:val="center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7D2C" w14:textId="77777777" w:rsidR="00F14237" w:rsidRDefault="00F14237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AC7E1D" w14:textId="77777777" w:rsidR="00F14237" w:rsidRDefault="00F14237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0C9C" w14:textId="77777777" w:rsidR="00F14237" w:rsidRDefault="00F14237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E603D4" w14:textId="77777777" w:rsidR="00F14237" w:rsidRDefault="00F14237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4E4C"/>
    <w:rsid w:val="00034EB7"/>
    <w:rsid w:val="00034F58"/>
    <w:rsid w:val="000564DA"/>
    <w:rsid w:val="0005792D"/>
    <w:rsid w:val="000607A5"/>
    <w:rsid w:val="0006783B"/>
    <w:rsid w:val="00073017"/>
    <w:rsid w:val="0007574E"/>
    <w:rsid w:val="00081328"/>
    <w:rsid w:val="00083F98"/>
    <w:rsid w:val="00090923"/>
    <w:rsid w:val="00095753"/>
    <w:rsid w:val="000A05E2"/>
    <w:rsid w:val="000A6119"/>
    <w:rsid w:val="000A6859"/>
    <w:rsid w:val="000B3393"/>
    <w:rsid w:val="000C25B1"/>
    <w:rsid w:val="000C4D4C"/>
    <w:rsid w:val="000D2696"/>
    <w:rsid w:val="000D63FA"/>
    <w:rsid w:val="000E266D"/>
    <w:rsid w:val="000F12D2"/>
    <w:rsid w:val="000F2BA6"/>
    <w:rsid w:val="000F7DF6"/>
    <w:rsid w:val="00104691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50FD7"/>
    <w:rsid w:val="00156B92"/>
    <w:rsid w:val="0016174C"/>
    <w:rsid w:val="001635ED"/>
    <w:rsid w:val="001654A3"/>
    <w:rsid w:val="0016694B"/>
    <w:rsid w:val="0017046D"/>
    <w:rsid w:val="0017059D"/>
    <w:rsid w:val="00170B77"/>
    <w:rsid w:val="00172841"/>
    <w:rsid w:val="00184F25"/>
    <w:rsid w:val="00195686"/>
    <w:rsid w:val="0019669C"/>
    <w:rsid w:val="001A3AAE"/>
    <w:rsid w:val="001A5CA6"/>
    <w:rsid w:val="001B07CD"/>
    <w:rsid w:val="001C0408"/>
    <w:rsid w:val="001C4AD8"/>
    <w:rsid w:val="001C6136"/>
    <w:rsid w:val="001D14F0"/>
    <w:rsid w:val="001D7F49"/>
    <w:rsid w:val="001E1B5C"/>
    <w:rsid w:val="001E55DC"/>
    <w:rsid w:val="001F54C9"/>
    <w:rsid w:val="001F72D0"/>
    <w:rsid w:val="00205BF8"/>
    <w:rsid w:val="002069C0"/>
    <w:rsid w:val="00216460"/>
    <w:rsid w:val="00233018"/>
    <w:rsid w:val="00233B68"/>
    <w:rsid w:val="00240473"/>
    <w:rsid w:val="00250B8B"/>
    <w:rsid w:val="00264265"/>
    <w:rsid w:val="002722AB"/>
    <w:rsid w:val="0027611B"/>
    <w:rsid w:val="002867BE"/>
    <w:rsid w:val="00295D41"/>
    <w:rsid w:val="002A3377"/>
    <w:rsid w:val="002A3989"/>
    <w:rsid w:val="002A7E9E"/>
    <w:rsid w:val="002B4837"/>
    <w:rsid w:val="002C3E62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21E96"/>
    <w:rsid w:val="0032295F"/>
    <w:rsid w:val="00325BAD"/>
    <w:rsid w:val="00325D8D"/>
    <w:rsid w:val="00326BFE"/>
    <w:rsid w:val="00337BB7"/>
    <w:rsid w:val="0034396D"/>
    <w:rsid w:val="00343F94"/>
    <w:rsid w:val="00347B54"/>
    <w:rsid w:val="00347D41"/>
    <w:rsid w:val="00354552"/>
    <w:rsid w:val="00357031"/>
    <w:rsid w:val="00363665"/>
    <w:rsid w:val="00366772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44D1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77444"/>
    <w:rsid w:val="00485B17"/>
    <w:rsid w:val="004965E7"/>
    <w:rsid w:val="0049676E"/>
    <w:rsid w:val="004B1298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64E97"/>
    <w:rsid w:val="00565B5B"/>
    <w:rsid w:val="00566B77"/>
    <w:rsid w:val="00571988"/>
    <w:rsid w:val="00577A93"/>
    <w:rsid w:val="00582E3F"/>
    <w:rsid w:val="0058568C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F11CC"/>
    <w:rsid w:val="005F4703"/>
    <w:rsid w:val="005F551B"/>
    <w:rsid w:val="005F6CD0"/>
    <w:rsid w:val="00602409"/>
    <w:rsid w:val="00603111"/>
    <w:rsid w:val="006061B0"/>
    <w:rsid w:val="006114CA"/>
    <w:rsid w:val="00612BE4"/>
    <w:rsid w:val="00614268"/>
    <w:rsid w:val="00614BF8"/>
    <w:rsid w:val="006204B0"/>
    <w:rsid w:val="00621144"/>
    <w:rsid w:val="00622FD5"/>
    <w:rsid w:val="0062393C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82A81"/>
    <w:rsid w:val="00690475"/>
    <w:rsid w:val="00694B59"/>
    <w:rsid w:val="006A5711"/>
    <w:rsid w:val="006B0BCE"/>
    <w:rsid w:val="006B390F"/>
    <w:rsid w:val="006B59FA"/>
    <w:rsid w:val="006C3F97"/>
    <w:rsid w:val="006D4F09"/>
    <w:rsid w:val="006D58EE"/>
    <w:rsid w:val="006E3F28"/>
    <w:rsid w:val="006F7740"/>
    <w:rsid w:val="007019CF"/>
    <w:rsid w:val="007046C0"/>
    <w:rsid w:val="00712A27"/>
    <w:rsid w:val="00715545"/>
    <w:rsid w:val="00715ECE"/>
    <w:rsid w:val="00731324"/>
    <w:rsid w:val="0073203D"/>
    <w:rsid w:val="007333FA"/>
    <w:rsid w:val="00744FCB"/>
    <w:rsid w:val="0074767A"/>
    <w:rsid w:val="00761D26"/>
    <w:rsid w:val="00761FC7"/>
    <w:rsid w:val="007656F2"/>
    <w:rsid w:val="00765DA3"/>
    <w:rsid w:val="007708C6"/>
    <w:rsid w:val="00777D0E"/>
    <w:rsid w:val="00780DD1"/>
    <w:rsid w:val="00782A59"/>
    <w:rsid w:val="00790EE2"/>
    <w:rsid w:val="00796A66"/>
    <w:rsid w:val="007B0FC4"/>
    <w:rsid w:val="007B1752"/>
    <w:rsid w:val="007B3E81"/>
    <w:rsid w:val="007C714E"/>
    <w:rsid w:val="007C7E30"/>
    <w:rsid w:val="007E74E1"/>
    <w:rsid w:val="007F709F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A03F0"/>
    <w:rsid w:val="008A24E7"/>
    <w:rsid w:val="008A4BCA"/>
    <w:rsid w:val="008A595A"/>
    <w:rsid w:val="008B23E4"/>
    <w:rsid w:val="008C0C5A"/>
    <w:rsid w:val="008D09AC"/>
    <w:rsid w:val="008D3095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113A"/>
    <w:rsid w:val="0090463E"/>
    <w:rsid w:val="00910CC9"/>
    <w:rsid w:val="00917220"/>
    <w:rsid w:val="009223C0"/>
    <w:rsid w:val="00922481"/>
    <w:rsid w:val="009248FF"/>
    <w:rsid w:val="00931B4E"/>
    <w:rsid w:val="009407B0"/>
    <w:rsid w:val="009418CC"/>
    <w:rsid w:val="00942739"/>
    <w:rsid w:val="00950A3B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7E58"/>
    <w:rsid w:val="009B034E"/>
    <w:rsid w:val="009C06C7"/>
    <w:rsid w:val="009C19B3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6B63"/>
    <w:rsid w:val="00A4111B"/>
    <w:rsid w:val="00A41F0E"/>
    <w:rsid w:val="00A426B0"/>
    <w:rsid w:val="00A46131"/>
    <w:rsid w:val="00A56366"/>
    <w:rsid w:val="00A56619"/>
    <w:rsid w:val="00A6306A"/>
    <w:rsid w:val="00A6352B"/>
    <w:rsid w:val="00A74640"/>
    <w:rsid w:val="00A827B1"/>
    <w:rsid w:val="00A848E2"/>
    <w:rsid w:val="00A87EE8"/>
    <w:rsid w:val="00A94320"/>
    <w:rsid w:val="00AA2AFB"/>
    <w:rsid w:val="00AA4C36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7D40"/>
    <w:rsid w:val="00B13356"/>
    <w:rsid w:val="00B15D9A"/>
    <w:rsid w:val="00B211CA"/>
    <w:rsid w:val="00B26366"/>
    <w:rsid w:val="00B26665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6A2E"/>
    <w:rsid w:val="00BC7D9D"/>
    <w:rsid w:val="00BD35B7"/>
    <w:rsid w:val="00BD4BED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4C13"/>
    <w:rsid w:val="00C5502F"/>
    <w:rsid w:val="00C55905"/>
    <w:rsid w:val="00C571BC"/>
    <w:rsid w:val="00C7003B"/>
    <w:rsid w:val="00C71166"/>
    <w:rsid w:val="00C762A2"/>
    <w:rsid w:val="00C8206A"/>
    <w:rsid w:val="00C87176"/>
    <w:rsid w:val="00C94775"/>
    <w:rsid w:val="00C95C22"/>
    <w:rsid w:val="00C9771D"/>
    <w:rsid w:val="00CA003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476C"/>
    <w:rsid w:val="00D06471"/>
    <w:rsid w:val="00D06E53"/>
    <w:rsid w:val="00D126B6"/>
    <w:rsid w:val="00D136A9"/>
    <w:rsid w:val="00D1495C"/>
    <w:rsid w:val="00D25087"/>
    <w:rsid w:val="00D26E15"/>
    <w:rsid w:val="00D27B48"/>
    <w:rsid w:val="00D30688"/>
    <w:rsid w:val="00D319A2"/>
    <w:rsid w:val="00D37C55"/>
    <w:rsid w:val="00D409CC"/>
    <w:rsid w:val="00D43E93"/>
    <w:rsid w:val="00D520F1"/>
    <w:rsid w:val="00D543F1"/>
    <w:rsid w:val="00D5519E"/>
    <w:rsid w:val="00D55E7D"/>
    <w:rsid w:val="00D60DB1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6B80"/>
    <w:rsid w:val="00E72439"/>
    <w:rsid w:val="00E72FF4"/>
    <w:rsid w:val="00E75823"/>
    <w:rsid w:val="00E77FE7"/>
    <w:rsid w:val="00E821B0"/>
    <w:rsid w:val="00EA2EA1"/>
    <w:rsid w:val="00EA4EA9"/>
    <w:rsid w:val="00EA571B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14237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31</cp:revision>
  <dcterms:created xsi:type="dcterms:W3CDTF">2025-07-15T10:39:00Z</dcterms:created>
  <dcterms:modified xsi:type="dcterms:W3CDTF">2025-09-09T10:06:00Z</dcterms:modified>
</cp:coreProperties>
</file>