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ascii="Times" w:hAnsi="Times" w:cs="Times New Roman"/>
          <w:bCs/>
          <w:sz w:val="24"/>
          <w:szCs w:val="24"/>
        </w:rPr>
        <w:t>5-0</w:t>
      </w:r>
      <w:r>
        <w:rPr>
          <w:rFonts w:hint="eastAsia" w:ascii="Times" w:hAnsi="Times" w:cs="Times New Roman"/>
          <w:bCs/>
          <w:sz w:val="24"/>
          <w:szCs w:val="24"/>
          <w:lang w:val="en-US" w:eastAsia="zh-CN"/>
        </w:rPr>
        <w:t>14</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lang w:val="en-US" w:eastAsia="zh-CN"/>
              </w:rPr>
              <w:t>西北投资管理（香港）有限公司、万家基金、浙商证券共4</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9月9日、11日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37BB93C6">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围绕物联网及人工智能应用不断推出具有竞争力的各类芯片、产品和解决方案，广泛应用于智能电网、智能家居、光伏新能源、综合能效管理、智能照明、智慧酒店等各种智慧物联应用领域。</w:t>
      </w:r>
    </w:p>
    <w:p w14:paraId="383A64C2">
      <w:pPr>
        <w:spacing w:before="156" w:beforeLines="50" w:after="156" w:afterLines="50" w:line="360" w:lineRule="auto"/>
        <w:ind w:firstLine="480" w:firstLineChars="200"/>
        <w:rPr>
          <w:rFonts w:hint="eastAsia"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上半年，公司实现营业收入19,827.84万元，较上年同期减少24.74%；实现归属于母公司所有者的净利润2,484.56万元，同比减少41.15%；归属于母公司所有者的扣除非经常性损益的净利润1,726.71万元，同比减少55.02%。公司智能电网业务实现营业收入17,745.88万元，较上年同期下降27.78%；公司大力布局芯片在物联网市场的应用，营收持续增长，非电网业务实现营业收入2,037.17万元，较上年同期增长21.07%。截至报告期末，在手订单金额16,333.87万元（包</w:t>
      </w:r>
      <w:r>
        <w:rPr>
          <w:rFonts w:hint="eastAsia" w:ascii="Times" w:hAnsi="Times" w:cs="Times New Roman"/>
          <w:iCs/>
          <w:color w:val="000000" w:themeColor="text1"/>
          <w:sz w:val="24"/>
          <w:szCs w:val="24"/>
          <w:highlight w:val="none"/>
          <w14:textFill>
            <w14:solidFill>
              <w14:schemeClr w14:val="tx1"/>
            </w14:solidFill>
          </w14:textFill>
        </w:rPr>
        <w:t>括已签合同金额及中标金额）。</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68043E3B">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近期《关于深入实施“人工智能+”行动的意见》出台，这对公司有什么利好吗？</w:t>
      </w:r>
    </w:p>
    <w:p w14:paraId="5825901D">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进入AI+“万物智联”时代，通信和连接是基础，芯片是核心，公司致力于AI+PLC的深度探索，深化AI算法与PLC连接的融合，赋予设备“感知、决策、协同”的智能节点能力，公司PLC技术为AI应用提供稳定的数据传输底座，在智能家居场景中，系统通过PLC网络收集环境数据，结合AI算法实现自学习调节，如根据用户习惯自动调整照明亮度、空调温度。在AI时代下，PLC不再只是一项通信技术，更是实现万物智联的关键基础设施。</w:t>
      </w:r>
    </w:p>
    <w:p w14:paraId="30181846">
      <w:pPr>
        <w:pStyle w:val="18"/>
        <w:numPr>
          <w:ilvl w:val="0"/>
          <w:numId w:val="1"/>
        </w:numPr>
        <w:spacing w:before="156" w:beforeLines="50" w:after="156" w:afterLines="50" w:line="360" w:lineRule="auto"/>
        <w:ind w:left="-62" w:leftChars="0" w:firstLine="482" w:firstLineChars="0"/>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在电网领域，</w:t>
      </w:r>
      <w:r>
        <w:rPr>
          <w:rFonts w:hint="default" w:ascii="Times" w:hAnsi="Times" w:cs="Times New Roman"/>
          <w:b/>
          <w:iCs/>
          <w:color w:val="000000" w:themeColor="text1"/>
          <w:sz w:val="24"/>
          <w:szCs w:val="24"/>
          <w:highlight w:val="none"/>
          <w:lang w:val="en-US" w:eastAsia="zh-CN"/>
          <w14:textFill>
            <w14:solidFill>
              <w14:schemeClr w14:val="tx1"/>
            </w14:solidFill>
          </w14:textFill>
        </w:rPr>
        <w:t>除了现有的芯片或模块，公司在电网</w:t>
      </w:r>
      <w:r>
        <w:rPr>
          <w:rFonts w:hint="eastAsia" w:ascii="Times" w:hAnsi="Times" w:cs="Times New Roman"/>
          <w:b/>
          <w:iCs/>
          <w:color w:val="000000" w:themeColor="text1"/>
          <w:sz w:val="24"/>
          <w:szCs w:val="24"/>
          <w:highlight w:val="none"/>
          <w:lang w:val="en-US" w:eastAsia="zh-CN"/>
          <w14:textFill>
            <w14:solidFill>
              <w14:schemeClr w14:val="tx1"/>
            </w14:solidFill>
          </w14:textFill>
        </w:rPr>
        <w:t>传统用电信息采集</w:t>
      </w:r>
      <w:r>
        <w:rPr>
          <w:rFonts w:hint="default" w:ascii="Times" w:hAnsi="Times" w:cs="Times New Roman"/>
          <w:b/>
          <w:iCs/>
          <w:color w:val="000000" w:themeColor="text1"/>
          <w:sz w:val="24"/>
          <w:szCs w:val="24"/>
          <w:highlight w:val="none"/>
          <w:lang w:val="en-US" w:eastAsia="zh-CN"/>
          <w14:textFill>
            <w14:solidFill>
              <w14:schemeClr w14:val="tx1"/>
            </w14:solidFill>
          </w14:textFill>
        </w:rPr>
        <w:t>之外的其他领域是否有增长点？</w:t>
      </w:r>
    </w:p>
    <w:p w14:paraId="1289062E">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芯片在既有市场以外，拓宽应用领域，顺应电网公司智能化、数字化发展的政策，在电力设备万物互联的大趋势下，公司积极开发应用于低压配网市场的新产品，并已在光伏开关、智能断路器、智能量测开关、四可装置一体机、中继器、物联网表模块（用于控制光伏开关）、能源控制器、融合终端、互感器等新型设备上成功应用。在国家电网大规模进行新能源建设的背景下，公司针对国家电网光伏市场的需求，完成了面向光伏新能源接入产品的研发，并在山东省、湖南省、上海、重庆等省市的统一采购招标中中标，实现了批量供货。</w:t>
      </w:r>
    </w:p>
    <w:p w14:paraId="5221920E">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公司今年3月底的在手订单为1.93亿元，6月底的在手订单为1.63亿元，是否有一部分转化为收入了？6月底的在手订单会在下半年转化为收入吗？</w:t>
      </w:r>
    </w:p>
    <w:p w14:paraId="29CE14E7">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答：今年3月底的在手订单部分转化为二季度收入，今年6月底的在手订单一般一部分会在下半年确认收入，一部分在下一年确认收入，但具体要以电力公司的发货需求和验收为准。</w:t>
      </w:r>
    </w:p>
    <w:p w14:paraId="6CF651B6">
      <w:pPr>
        <w:pStyle w:val="18"/>
        <w:numPr>
          <w:ilvl w:val="0"/>
          <w:numId w:val="1"/>
        </w:numPr>
        <w:spacing w:before="156" w:beforeLines="50" w:after="156" w:afterLines="50" w:line="360" w:lineRule="auto"/>
        <w:ind w:left="-62" w:leftChars="0" w:firstLine="482" w:firstLineChars="0"/>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公司当时在考虑融资方式时为何选择发行可转债而不是定增？</w:t>
      </w:r>
    </w:p>
    <w:p w14:paraId="0301048A">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答：可转债兼具债券和股票特性，转股过程相对平滑，股权稀释较为缓慢</w:t>
      </w:r>
      <w:r>
        <w:rPr>
          <w:rFonts w:hint="eastAsia" w:ascii="Times" w:hAnsi="Times" w:cs="Times New Roman"/>
          <w:iCs/>
          <w:color w:val="000000" w:themeColor="text1"/>
          <w:sz w:val="24"/>
          <w:szCs w:val="24"/>
          <w:highlight w:val="none"/>
          <w:lang w:val="en-US" w:eastAsia="zh-CN"/>
          <w14:textFill>
            <w14:solidFill>
              <w14:schemeClr w14:val="tx1"/>
            </w14:solidFill>
          </w14:textFill>
        </w:rPr>
        <w:t>。同时其</w:t>
      </w:r>
      <w:r>
        <w:rPr>
          <w:rFonts w:hint="default" w:ascii="Times" w:hAnsi="Times" w:cs="Times New Roman"/>
          <w:iCs/>
          <w:color w:val="000000" w:themeColor="text1"/>
          <w:sz w:val="24"/>
          <w:szCs w:val="24"/>
          <w:highlight w:val="none"/>
          <w:lang w:val="en-US" w:eastAsia="zh-CN"/>
          <w14:textFill>
            <w14:solidFill>
              <w14:schemeClr w14:val="tx1"/>
            </w14:solidFill>
          </w14:textFill>
        </w:rPr>
        <w:t>融资成本较低</w:t>
      </w:r>
      <w:r>
        <w:rPr>
          <w:rFonts w:hint="eastAsia" w:ascii="Times" w:hAnsi="Times" w:cs="Times New Roman"/>
          <w:iCs/>
          <w:color w:val="000000" w:themeColor="text1"/>
          <w:sz w:val="24"/>
          <w:szCs w:val="24"/>
          <w:highlight w:val="none"/>
          <w:lang w:val="en-US" w:eastAsia="zh-CN"/>
          <w14:textFill>
            <w14:solidFill>
              <w14:schemeClr w14:val="tx1"/>
            </w14:solidFill>
          </w14:textFill>
        </w:rPr>
        <w:t>，</w:t>
      </w:r>
      <w:r>
        <w:rPr>
          <w:rFonts w:hint="default" w:ascii="Times" w:hAnsi="Times" w:cs="Times New Roman"/>
          <w:iCs/>
          <w:color w:val="000000" w:themeColor="text1"/>
          <w:sz w:val="24"/>
          <w:szCs w:val="24"/>
          <w:highlight w:val="none"/>
          <w:lang w:val="en-US" w:eastAsia="zh-CN"/>
          <w14:textFill>
            <w14:solidFill>
              <w14:schemeClr w14:val="tx1"/>
            </w14:solidFill>
          </w14:textFill>
        </w:rPr>
        <w:t>根据资金规模和对公司未来发展的考虑，可转债是一种较为合适的金融工具。</w:t>
      </w:r>
    </w:p>
    <w:p w14:paraId="267039B6">
      <w:pPr>
        <w:pStyle w:val="18"/>
        <w:numPr>
          <w:ilvl w:val="0"/>
          <w:numId w:val="1"/>
        </w:numPr>
        <w:spacing w:before="156" w:beforeLines="50" w:after="156" w:afterLines="50" w:line="360" w:lineRule="auto"/>
        <w:ind w:left="-62" w:leftChars="0" w:firstLine="482" w:firstLineChars="0"/>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对于可转债转股的股份摊薄效应，公司有何考虑？</w:t>
      </w:r>
    </w:p>
    <w:p w14:paraId="6C146BCC">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答：公司目前无实控人及控股股东，公司发行可转债总额为3.8亿元，若全部转股，稀释比例较小。</w:t>
      </w:r>
    </w:p>
    <w:p w14:paraId="0D9ABBA1">
      <w:pPr>
        <w:pStyle w:val="18"/>
        <w:numPr>
          <w:ilvl w:val="0"/>
          <w:numId w:val="1"/>
        </w:numPr>
        <w:spacing w:before="156" w:beforeLines="50" w:after="156" w:afterLines="50" w:line="360" w:lineRule="auto"/>
        <w:ind w:left="-62" w:leftChars="0"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公司今年2月份下修可转债转股价格是出于什么考虑？</w:t>
      </w:r>
    </w:p>
    <w:p w14:paraId="3F70C8EE">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根据《募集说明书》约定，当公司股票在任意连续三十个交易日中至少有十五个交易日的收盘价低于当期转股价格的85%时，董事会有权提议向下修正转股价格。此次下修转股价格旨在促进转股进程，优化公司资本结构，维护投资者利益。</w:t>
      </w:r>
      <w:bookmarkStart w:id="3" w:name="_GoBack"/>
      <w:bookmarkEnd w:id="3"/>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890"/>
    </w:sdtPr>
    <w:sdtContent>
      <w:p w14:paraId="5978D3D5">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5D2BD81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1C50D4B"/>
    <w:rsid w:val="02407B6D"/>
    <w:rsid w:val="037D4A4F"/>
    <w:rsid w:val="04174F18"/>
    <w:rsid w:val="04AE24FB"/>
    <w:rsid w:val="04E43F88"/>
    <w:rsid w:val="04FA39B3"/>
    <w:rsid w:val="05AE13FE"/>
    <w:rsid w:val="06222D0E"/>
    <w:rsid w:val="063B0AB4"/>
    <w:rsid w:val="06B75848"/>
    <w:rsid w:val="07356EC4"/>
    <w:rsid w:val="07445783"/>
    <w:rsid w:val="07566D67"/>
    <w:rsid w:val="07B611C8"/>
    <w:rsid w:val="0946022C"/>
    <w:rsid w:val="099946AC"/>
    <w:rsid w:val="09D80E6A"/>
    <w:rsid w:val="09ED4C49"/>
    <w:rsid w:val="0A0E503E"/>
    <w:rsid w:val="0A446D2E"/>
    <w:rsid w:val="0D67569D"/>
    <w:rsid w:val="0E4C1E3A"/>
    <w:rsid w:val="0F161477"/>
    <w:rsid w:val="0FB4161F"/>
    <w:rsid w:val="107E7600"/>
    <w:rsid w:val="10CA4DFE"/>
    <w:rsid w:val="112A47B8"/>
    <w:rsid w:val="11AA7A82"/>
    <w:rsid w:val="12284BB9"/>
    <w:rsid w:val="129213B0"/>
    <w:rsid w:val="129465AA"/>
    <w:rsid w:val="13C8306A"/>
    <w:rsid w:val="141B5398"/>
    <w:rsid w:val="14D82694"/>
    <w:rsid w:val="15152076"/>
    <w:rsid w:val="16326631"/>
    <w:rsid w:val="169807C6"/>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792B74"/>
    <w:rsid w:val="25921987"/>
    <w:rsid w:val="259B245F"/>
    <w:rsid w:val="268A407C"/>
    <w:rsid w:val="26E57CBC"/>
    <w:rsid w:val="27E53F9D"/>
    <w:rsid w:val="29093990"/>
    <w:rsid w:val="29323AD2"/>
    <w:rsid w:val="2B716900"/>
    <w:rsid w:val="2BB414D2"/>
    <w:rsid w:val="2E5442C8"/>
    <w:rsid w:val="2E825B1B"/>
    <w:rsid w:val="2FDE2B35"/>
    <w:rsid w:val="30C90297"/>
    <w:rsid w:val="31352C2E"/>
    <w:rsid w:val="31BD55E2"/>
    <w:rsid w:val="32242D99"/>
    <w:rsid w:val="323B0398"/>
    <w:rsid w:val="328E4D91"/>
    <w:rsid w:val="32A14DE2"/>
    <w:rsid w:val="32F36B07"/>
    <w:rsid w:val="331F3040"/>
    <w:rsid w:val="34AE7463"/>
    <w:rsid w:val="37860D10"/>
    <w:rsid w:val="37EB016A"/>
    <w:rsid w:val="39516B4D"/>
    <w:rsid w:val="3A0E1EEE"/>
    <w:rsid w:val="3A932D00"/>
    <w:rsid w:val="3AC05FB3"/>
    <w:rsid w:val="3B3F2637"/>
    <w:rsid w:val="3BB83974"/>
    <w:rsid w:val="3C6C3CEB"/>
    <w:rsid w:val="3C8E24F7"/>
    <w:rsid w:val="3C8E78AC"/>
    <w:rsid w:val="3CEC1C53"/>
    <w:rsid w:val="3D136553"/>
    <w:rsid w:val="3E037AB9"/>
    <w:rsid w:val="3F9657D4"/>
    <w:rsid w:val="40730835"/>
    <w:rsid w:val="4133652F"/>
    <w:rsid w:val="418D0BA7"/>
    <w:rsid w:val="42DC5C62"/>
    <w:rsid w:val="43362479"/>
    <w:rsid w:val="43805485"/>
    <w:rsid w:val="43B60E25"/>
    <w:rsid w:val="45D550ED"/>
    <w:rsid w:val="460306FF"/>
    <w:rsid w:val="46445A73"/>
    <w:rsid w:val="467F0394"/>
    <w:rsid w:val="46AC1DB4"/>
    <w:rsid w:val="48724382"/>
    <w:rsid w:val="48CC544E"/>
    <w:rsid w:val="49331971"/>
    <w:rsid w:val="496B47FF"/>
    <w:rsid w:val="4C9362E3"/>
    <w:rsid w:val="4CF7225E"/>
    <w:rsid w:val="4DCE7D56"/>
    <w:rsid w:val="4E1D1E4D"/>
    <w:rsid w:val="4E507D5B"/>
    <w:rsid w:val="4F174AC6"/>
    <w:rsid w:val="50696F54"/>
    <w:rsid w:val="50F4551B"/>
    <w:rsid w:val="51A047A3"/>
    <w:rsid w:val="524F3C2C"/>
    <w:rsid w:val="526F66CB"/>
    <w:rsid w:val="52CD2FCE"/>
    <w:rsid w:val="53414851"/>
    <w:rsid w:val="53C13D3D"/>
    <w:rsid w:val="56397EB4"/>
    <w:rsid w:val="57DE433B"/>
    <w:rsid w:val="589A78F2"/>
    <w:rsid w:val="591202DA"/>
    <w:rsid w:val="59CE54CA"/>
    <w:rsid w:val="5A424B99"/>
    <w:rsid w:val="5ABC6E48"/>
    <w:rsid w:val="5B037DC6"/>
    <w:rsid w:val="5B292CE8"/>
    <w:rsid w:val="5B3B7AE2"/>
    <w:rsid w:val="5BBD138A"/>
    <w:rsid w:val="5D2E63E3"/>
    <w:rsid w:val="5E4F23A8"/>
    <w:rsid w:val="5EE00BB3"/>
    <w:rsid w:val="6002139A"/>
    <w:rsid w:val="61DA7FEB"/>
    <w:rsid w:val="622F71DA"/>
    <w:rsid w:val="625B36D1"/>
    <w:rsid w:val="6416019A"/>
    <w:rsid w:val="647F503A"/>
    <w:rsid w:val="648972BF"/>
    <w:rsid w:val="67116659"/>
    <w:rsid w:val="674E193A"/>
    <w:rsid w:val="685428D3"/>
    <w:rsid w:val="688F2C21"/>
    <w:rsid w:val="6936122B"/>
    <w:rsid w:val="6A77122D"/>
    <w:rsid w:val="6AC217F3"/>
    <w:rsid w:val="6B843BFD"/>
    <w:rsid w:val="6B8C2174"/>
    <w:rsid w:val="6BAA75E1"/>
    <w:rsid w:val="6C9A56E0"/>
    <w:rsid w:val="6CEE17E4"/>
    <w:rsid w:val="6D6217FE"/>
    <w:rsid w:val="6DAA2B61"/>
    <w:rsid w:val="6DDC3DAD"/>
    <w:rsid w:val="6DE6206B"/>
    <w:rsid w:val="6EDD18B4"/>
    <w:rsid w:val="6EE61926"/>
    <w:rsid w:val="6F482129"/>
    <w:rsid w:val="6F512010"/>
    <w:rsid w:val="6F5631CE"/>
    <w:rsid w:val="6F6C6382"/>
    <w:rsid w:val="70F51137"/>
    <w:rsid w:val="720E58D5"/>
    <w:rsid w:val="72E72B55"/>
    <w:rsid w:val="733F4DEF"/>
    <w:rsid w:val="735F6ABA"/>
    <w:rsid w:val="738D418A"/>
    <w:rsid w:val="741C69DA"/>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9832A7"/>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1562</Words>
  <Characters>1687</Characters>
  <Lines>13</Lines>
  <Paragraphs>3</Paragraphs>
  <TotalTime>26</TotalTime>
  <ScaleCrop>false</ScaleCrop>
  <LinksUpToDate>false</LinksUpToDate>
  <CharactersWithSpaces>1811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2025-09-12T09:30:45Z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