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77777777" w:rsidR="00076833" w:rsidRPr="00BA33A2" w:rsidRDefault="00000000">
      <w:pPr>
        <w:spacing w:beforeLines="50" w:before="156" w:afterLines="50" w:after="156" w:line="400" w:lineRule="exact"/>
        <w:rPr>
          <w:rFonts w:ascii="宋体" w:hAnsi="宋体" w:hint="eastAsia"/>
          <w:bCs/>
          <w:iCs/>
          <w:sz w:val="24"/>
        </w:rPr>
      </w:pPr>
      <w:r w:rsidRPr="00BA33A2">
        <w:rPr>
          <w:rFonts w:ascii="宋体" w:hAnsi="宋体" w:hint="eastAsia"/>
          <w:bCs/>
          <w:iCs/>
          <w:sz w:val="24"/>
        </w:rPr>
        <w:t>证券代码：</w:t>
      </w:r>
      <w:r w:rsidRPr="00BA33A2">
        <w:rPr>
          <w:bCs/>
          <w:iCs/>
          <w:sz w:val="24"/>
        </w:rPr>
        <w:t>688176</w:t>
      </w:r>
      <w:r w:rsidRPr="00BA33A2">
        <w:rPr>
          <w:rFonts w:ascii="宋体" w:hAnsi="宋体" w:hint="eastAsia"/>
          <w:bCs/>
          <w:iCs/>
          <w:sz w:val="24"/>
        </w:rPr>
        <w:t xml:space="preserve">                         </w:t>
      </w:r>
      <w:r w:rsidRPr="00BA33A2">
        <w:rPr>
          <w:rFonts w:ascii="宋体" w:hAnsi="宋体"/>
          <w:bCs/>
          <w:iCs/>
          <w:sz w:val="24"/>
        </w:rPr>
        <w:t xml:space="preserve">    </w:t>
      </w:r>
      <w:r w:rsidRPr="00BA33A2">
        <w:rPr>
          <w:rFonts w:ascii="宋体" w:hAnsi="宋体" w:hint="eastAsia"/>
          <w:bCs/>
          <w:iCs/>
          <w:sz w:val="24"/>
        </w:rPr>
        <w:t xml:space="preserve">      证券简称：亚虹医药</w:t>
      </w:r>
    </w:p>
    <w:p w14:paraId="05B8291B" w14:textId="77777777" w:rsidR="00076833" w:rsidRPr="00BA33A2" w:rsidRDefault="00000000">
      <w:pPr>
        <w:spacing w:beforeLines="50" w:before="156" w:afterLines="50" w:after="156" w:line="400" w:lineRule="exact"/>
        <w:jc w:val="center"/>
        <w:rPr>
          <w:rFonts w:ascii="黑体" w:eastAsia="黑体" w:hAnsi="黑体" w:hint="eastAsia"/>
          <w:b/>
          <w:bCs/>
          <w:iCs/>
          <w:sz w:val="32"/>
          <w:szCs w:val="32"/>
        </w:rPr>
      </w:pPr>
      <w:r w:rsidRPr="00BA33A2">
        <w:rPr>
          <w:rFonts w:ascii="黑体" w:eastAsia="黑体" w:hAnsi="黑体" w:hint="eastAsia"/>
          <w:b/>
          <w:bCs/>
          <w:iCs/>
          <w:sz w:val="32"/>
          <w:szCs w:val="32"/>
        </w:rPr>
        <w:t>江苏亚虹医药科技股份有限公司投资者关系活动记录表</w:t>
      </w:r>
    </w:p>
    <w:p w14:paraId="050DB6CC" w14:textId="68A15861" w:rsidR="00076833" w:rsidRPr="00BA33A2" w:rsidRDefault="00000000">
      <w:pPr>
        <w:spacing w:line="400" w:lineRule="exact"/>
        <w:rPr>
          <w:rFonts w:ascii="宋体" w:hAnsi="宋体" w:hint="eastAsia"/>
          <w:bCs/>
          <w:iCs/>
          <w:sz w:val="24"/>
        </w:rPr>
      </w:pPr>
      <w:r w:rsidRPr="00BA33A2">
        <w:rPr>
          <w:rFonts w:ascii="宋体" w:hAnsi="宋体" w:hint="eastAsia"/>
          <w:bCs/>
          <w:iCs/>
          <w:sz w:val="24"/>
        </w:rPr>
        <w:t xml:space="preserve">                                                      编号：</w:t>
      </w:r>
      <w:r w:rsidRPr="00BA33A2">
        <w:rPr>
          <w:bCs/>
          <w:iCs/>
          <w:sz w:val="24"/>
        </w:rPr>
        <w:t>202</w:t>
      </w:r>
      <w:r w:rsidRPr="00BA33A2">
        <w:rPr>
          <w:rFonts w:hint="eastAsia"/>
          <w:bCs/>
          <w:iCs/>
          <w:sz w:val="24"/>
        </w:rPr>
        <w:t>5</w:t>
      </w:r>
      <w:r w:rsidRPr="00BA33A2">
        <w:rPr>
          <w:bCs/>
          <w:iCs/>
          <w:sz w:val="24"/>
        </w:rPr>
        <w:t>-0</w:t>
      </w:r>
      <w:r w:rsidRPr="00BA33A2">
        <w:rPr>
          <w:rFonts w:hint="eastAsia"/>
          <w:bCs/>
          <w:iCs/>
          <w:sz w:val="24"/>
        </w:rPr>
        <w:t>0</w:t>
      </w:r>
      <w:r w:rsidR="00420922" w:rsidRPr="00BA33A2">
        <w:rPr>
          <w:rFonts w:hint="eastAsia"/>
          <w:bCs/>
          <w:iCs/>
          <w:sz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438"/>
      </w:tblGrid>
      <w:tr w:rsidR="00BA33A2" w:rsidRPr="00BA33A2" w14:paraId="143F6667" w14:textId="77777777">
        <w:tc>
          <w:tcPr>
            <w:tcW w:w="1858" w:type="dxa"/>
            <w:tcBorders>
              <w:top w:val="single" w:sz="4" w:space="0" w:color="auto"/>
              <w:left w:val="single" w:sz="4" w:space="0" w:color="auto"/>
              <w:bottom w:val="single" w:sz="4" w:space="0" w:color="auto"/>
              <w:right w:val="single" w:sz="4" w:space="0" w:color="auto"/>
            </w:tcBorders>
            <w:vAlign w:val="center"/>
          </w:tcPr>
          <w:p w14:paraId="453B9A2F" w14:textId="77777777" w:rsidR="00076833" w:rsidRPr="00BA33A2" w:rsidRDefault="00000000">
            <w:pPr>
              <w:spacing w:beforeLines="50" w:before="156" w:afterLines="50" w:after="156" w:line="360" w:lineRule="auto"/>
              <w:rPr>
                <w:rFonts w:ascii="宋体" w:hAnsi="宋体" w:hint="eastAsia"/>
                <w:bCs/>
                <w:iCs/>
                <w:sz w:val="24"/>
              </w:rPr>
            </w:pPr>
            <w:r w:rsidRPr="00BA33A2">
              <w:rPr>
                <w:rFonts w:ascii="宋体" w:hAnsi="宋体" w:hint="eastAsia"/>
                <w:bCs/>
                <w:iCs/>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77777777" w:rsidR="00076833" w:rsidRPr="00BA33A2" w:rsidRDefault="00000000">
            <w:pPr>
              <w:spacing w:line="480" w:lineRule="atLeast"/>
              <w:rPr>
                <w:rFonts w:ascii="宋体" w:hAnsi="宋体" w:hint="eastAsia"/>
                <w:bCs/>
                <w:iCs/>
                <w:sz w:val="24"/>
              </w:rPr>
            </w:pPr>
            <w:r w:rsidRPr="00BA33A2">
              <w:rPr>
                <w:rFonts w:ascii="宋体" w:hAnsi="宋体" w:hint="eastAsia"/>
                <w:bCs/>
                <w:iCs/>
                <w:sz w:val="24"/>
              </w:rPr>
              <w:t>□</w:t>
            </w:r>
            <w:r w:rsidRPr="00BA33A2">
              <w:rPr>
                <w:rFonts w:ascii="宋体" w:hAnsi="宋体" w:hint="eastAsia"/>
                <w:sz w:val="24"/>
              </w:rPr>
              <w:t xml:space="preserve">特定对象调研       </w:t>
            </w:r>
            <w:r w:rsidRPr="00BA33A2">
              <w:rPr>
                <w:rFonts w:ascii="宋体" w:hAnsi="宋体"/>
                <w:sz w:val="24"/>
              </w:rPr>
              <w:t xml:space="preserve"> </w:t>
            </w:r>
            <w:r w:rsidRPr="00BA33A2">
              <w:rPr>
                <w:rFonts w:ascii="宋体" w:hAnsi="宋体" w:hint="eastAsia"/>
                <w:bCs/>
                <w:iCs/>
                <w:sz w:val="24"/>
              </w:rPr>
              <w:t>□</w:t>
            </w:r>
            <w:r w:rsidRPr="00BA33A2">
              <w:rPr>
                <w:rFonts w:ascii="宋体" w:hAnsi="宋体" w:hint="eastAsia"/>
                <w:sz w:val="24"/>
              </w:rPr>
              <w:t>分析师会议</w:t>
            </w:r>
          </w:p>
          <w:p w14:paraId="28609970" w14:textId="77777777" w:rsidR="00076833" w:rsidRPr="00BA33A2" w:rsidRDefault="00000000">
            <w:pPr>
              <w:spacing w:line="480" w:lineRule="atLeast"/>
              <w:rPr>
                <w:rFonts w:ascii="宋体" w:hAnsi="宋体" w:hint="eastAsia"/>
                <w:bCs/>
                <w:iCs/>
                <w:sz w:val="24"/>
              </w:rPr>
            </w:pPr>
            <w:r w:rsidRPr="00BA33A2">
              <w:rPr>
                <w:rFonts w:ascii="宋体" w:hAnsi="宋体" w:hint="eastAsia"/>
                <w:bCs/>
                <w:iCs/>
                <w:sz w:val="24"/>
              </w:rPr>
              <w:t>□</w:t>
            </w:r>
            <w:r w:rsidRPr="00BA33A2">
              <w:rPr>
                <w:rFonts w:ascii="宋体" w:hAnsi="宋体" w:hint="eastAsia"/>
                <w:sz w:val="24"/>
              </w:rPr>
              <w:t xml:space="preserve">媒体采访            </w:t>
            </w:r>
            <w:r w:rsidRPr="00BA33A2">
              <w:rPr>
                <w:rFonts w:ascii="宋体" w:hAnsi="宋体"/>
                <w:bCs/>
                <w:iCs/>
                <w:sz w:val="24"/>
              </w:rPr>
              <w:fldChar w:fldCharType="begin"/>
            </w:r>
            <w:r w:rsidRPr="00BA33A2">
              <w:rPr>
                <w:rFonts w:ascii="宋体" w:hAnsi="宋体"/>
                <w:bCs/>
                <w:iCs/>
                <w:sz w:val="24"/>
              </w:rPr>
              <w:instrText xml:space="preserve"> </w:instrText>
            </w:r>
            <w:r w:rsidRPr="00BA33A2">
              <w:rPr>
                <w:rFonts w:ascii="宋体" w:hAnsi="宋体" w:hint="eastAsia"/>
                <w:bCs/>
                <w:iCs/>
                <w:sz w:val="24"/>
              </w:rPr>
              <w:instrText>eq \o\ac(□,√)</w:instrText>
            </w:r>
            <w:r w:rsidRPr="00BA33A2">
              <w:rPr>
                <w:rFonts w:ascii="宋体" w:hAnsi="宋体"/>
                <w:bCs/>
                <w:iCs/>
                <w:sz w:val="24"/>
              </w:rPr>
              <w:fldChar w:fldCharType="end"/>
            </w:r>
            <w:r w:rsidRPr="00BA33A2">
              <w:rPr>
                <w:rFonts w:ascii="宋体" w:hAnsi="宋体" w:hint="eastAsia"/>
                <w:sz w:val="24"/>
              </w:rPr>
              <w:t>业绩说明会</w:t>
            </w:r>
          </w:p>
          <w:p w14:paraId="1CEB367B" w14:textId="77777777" w:rsidR="00076833" w:rsidRPr="00BA33A2" w:rsidRDefault="00000000">
            <w:pPr>
              <w:spacing w:line="480" w:lineRule="atLeast"/>
              <w:rPr>
                <w:rFonts w:ascii="宋体" w:hAnsi="宋体" w:hint="eastAsia"/>
                <w:bCs/>
                <w:iCs/>
                <w:sz w:val="24"/>
              </w:rPr>
            </w:pPr>
            <w:r w:rsidRPr="00BA33A2">
              <w:rPr>
                <w:rFonts w:ascii="宋体" w:hAnsi="宋体" w:hint="eastAsia"/>
                <w:bCs/>
                <w:iCs/>
                <w:sz w:val="24"/>
              </w:rPr>
              <w:t>□</w:t>
            </w:r>
            <w:r w:rsidRPr="00BA33A2">
              <w:rPr>
                <w:rFonts w:ascii="宋体" w:hAnsi="宋体" w:hint="eastAsia"/>
                <w:sz w:val="24"/>
              </w:rPr>
              <w:t xml:space="preserve">新闻发布会          </w:t>
            </w:r>
            <w:r w:rsidRPr="00BA33A2">
              <w:rPr>
                <w:rFonts w:ascii="宋体" w:hAnsi="宋体" w:hint="eastAsia"/>
                <w:bCs/>
                <w:iCs/>
                <w:sz w:val="24"/>
              </w:rPr>
              <w:t>□</w:t>
            </w:r>
            <w:r w:rsidRPr="00BA33A2">
              <w:rPr>
                <w:rFonts w:ascii="宋体" w:hAnsi="宋体" w:hint="eastAsia"/>
                <w:sz w:val="24"/>
              </w:rPr>
              <w:t>路演活动</w:t>
            </w:r>
          </w:p>
          <w:p w14:paraId="0695C987" w14:textId="77777777" w:rsidR="00076833" w:rsidRPr="00BA33A2" w:rsidRDefault="00000000">
            <w:pPr>
              <w:tabs>
                <w:tab w:val="left" w:pos="3045"/>
                <w:tab w:val="center" w:pos="3199"/>
              </w:tabs>
              <w:spacing w:line="480" w:lineRule="atLeast"/>
              <w:rPr>
                <w:rFonts w:ascii="宋体" w:hAnsi="宋体" w:hint="eastAsia"/>
                <w:bCs/>
                <w:iCs/>
                <w:sz w:val="24"/>
              </w:rPr>
            </w:pPr>
            <w:r w:rsidRPr="00BA33A2">
              <w:rPr>
                <w:rFonts w:ascii="宋体" w:hAnsi="宋体" w:hint="eastAsia"/>
                <w:bCs/>
                <w:iCs/>
                <w:sz w:val="24"/>
              </w:rPr>
              <w:t>□</w:t>
            </w:r>
            <w:r w:rsidRPr="00BA33A2">
              <w:rPr>
                <w:rFonts w:ascii="宋体" w:hAnsi="宋体" w:hint="eastAsia"/>
                <w:sz w:val="24"/>
              </w:rPr>
              <w:t>现场参观</w:t>
            </w:r>
          </w:p>
          <w:p w14:paraId="3B610667" w14:textId="77777777" w:rsidR="00076833" w:rsidRPr="00BA33A2" w:rsidRDefault="00000000">
            <w:pPr>
              <w:tabs>
                <w:tab w:val="center" w:pos="3199"/>
              </w:tabs>
              <w:spacing w:line="480" w:lineRule="atLeast"/>
              <w:rPr>
                <w:rFonts w:ascii="宋体" w:hAnsi="宋体" w:hint="eastAsia"/>
                <w:bCs/>
                <w:iCs/>
                <w:sz w:val="24"/>
              </w:rPr>
            </w:pPr>
            <w:r w:rsidRPr="00BA33A2">
              <w:rPr>
                <w:rFonts w:ascii="宋体" w:hAnsi="宋体" w:hint="eastAsia"/>
                <w:bCs/>
                <w:iCs/>
                <w:sz w:val="24"/>
              </w:rPr>
              <w:t>□</w:t>
            </w:r>
            <w:r w:rsidRPr="00BA33A2">
              <w:rPr>
                <w:rFonts w:ascii="宋体" w:hAnsi="宋体" w:hint="eastAsia"/>
                <w:sz w:val="24"/>
              </w:rPr>
              <w:t>其他 （</w:t>
            </w:r>
            <w:r w:rsidRPr="00BA33A2">
              <w:rPr>
                <w:rFonts w:ascii="宋体" w:hAnsi="宋体" w:hint="eastAsia"/>
                <w:sz w:val="24"/>
                <w:u w:val="single"/>
              </w:rPr>
              <w:t>请文字说明其他活动内容）</w:t>
            </w:r>
          </w:p>
        </w:tc>
      </w:tr>
      <w:tr w:rsidR="00BA33A2" w:rsidRPr="00BA33A2" w14:paraId="4DE9A244" w14:textId="77777777">
        <w:tc>
          <w:tcPr>
            <w:tcW w:w="1858" w:type="dxa"/>
            <w:tcBorders>
              <w:top w:val="single" w:sz="4" w:space="0" w:color="auto"/>
              <w:left w:val="single" w:sz="4" w:space="0" w:color="auto"/>
              <w:bottom w:val="single" w:sz="4" w:space="0" w:color="auto"/>
              <w:right w:val="single" w:sz="4" w:space="0" w:color="auto"/>
            </w:tcBorders>
            <w:vAlign w:val="center"/>
          </w:tcPr>
          <w:p w14:paraId="5F482DBF"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036C5E68" w:rsidR="00076833" w:rsidRPr="00BA33A2" w:rsidRDefault="00C55115">
            <w:pPr>
              <w:spacing w:beforeLines="50" w:before="156" w:afterLines="50" w:after="156"/>
              <w:rPr>
                <w:bCs/>
                <w:iCs/>
                <w:sz w:val="24"/>
              </w:rPr>
            </w:pPr>
            <w:r w:rsidRPr="00BA33A2">
              <w:rPr>
                <w:rFonts w:hint="eastAsia"/>
                <w:bCs/>
                <w:iCs/>
                <w:sz w:val="24"/>
              </w:rPr>
              <w:t>202</w:t>
            </w:r>
            <w:r w:rsidR="00420922" w:rsidRPr="00BA33A2">
              <w:rPr>
                <w:rFonts w:hint="eastAsia"/>
                <w:bCs/>
                <w:iCs/>
                <w:sz w:val="24"/>
              </w:rPr>
              <w:t>5</w:t>
            </w:r>
            <w:r w:rsidRPr="00BA33A2">
              <w:rPr>
                <w:rFonts w:hint="eastAsia"/>
                <w:bCs/>
                <w:iCs/>
                <w:sz w:val="24"/>
              </w:rPr>
              <w:t>年</w:t>
            </w:r>
            <w:r w:rsidR="00420922" w:rsidRPr="00BA33A2">
              <w:rPr>
                <w:rFonts w:hint="eastAsia"/>
                <w:bCs/>
                <w:iCs/>
                <w:sz w:val="24"/>
              </w:rPr>
              <w:t>半年</w:t>
            </w:r>
            <w:r w:rsidRPr="00BA33A2">
              <w:rPr>
                <w:rFonts w:hint="eastAsia"/>
                <w:bCs/>
                <w:iCs/>
                <w:sz w:val="24"/>
              </w:rPr>
              <w:t>度科创板创新药行业集体业绩说明会</w:t>
            </w:r>
          </w:p>
        </w:tc>
      </w:tr>
      <w:tr w:rsidR="00BA33A2" w:rsidRPr="00BA33A2" w14:paraId="053ED4D5" w14:textId="77777777">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75E596A0" w:rsidR="00076833" w:rsidRPr="00BA33A2" w:rsidRDefault="00000000">
            <w:pPr>
              <w:spacing w:beforeLines="50" w:before="156" w:afterLines="50" w:after="156"/>
              <w:rPr>
                <w:bCs/>
                <w:iCs/>
                <w:sz w:val="24"/>
              </w:rPr>
            </w:pPr>
            <w:r w:rsidRPr="00BA33A2">
              <w:rPr>
                <w:rFonts w:hint="eastAsia"/>
                <w:bCs/>
                <w:iCs/>
                <w:sz w:val="24"/>
              </w:rPr>
              <w:t>2025</w:t>
            </w:r>
            <w:r w:rsidRPr="00BA33A2">
              <w:rPr>
                <w:bCs/>
                <w:iCs/>
                <w:sz w:val="24"/>
              </w:rPr>
              <w:t>年</w:t>
            </w:r>
            <w:r w:rsidR="00420922" w:rsidRPr="00BA33A2">
              <w:rPr>
                <w:rFonts w:hint="eastAsia"/>
                <w:bCs/>
                <w:iCs/>
                <w:sz w:val="24"/>
              </w:rPr>
              <w:t>9</w:t>
            </w:r>
            <w:r w:rsidRPr="00BA33A2">
              <w:rPr>
                <w:rFonts w:hint="eastAsia"/>
                <w:bCs/>
                <w:iCs/>
                <w:sz w:val="24"/>
              </w:rPr>
              <w:t>月</w:t>
            </w:r>
            <w:r w:rsidR="00420922" w:rsidRPr="00BA33A2">
              <w:rPr>
                <w:rFonts w:hint="eastAsia"/>
                <w:bCs/>
                <w:iCs/>
                <w:sz w:val="24"/>
              </w:rPr>
              <w:t>16</w:t>
            </w:r>
            <w:r w:rsidRPr="00BA33A2">
              <w:rPr>
                <w:rFonts w:hint="eastAsia"/>
                <w:bCs/>
                <w:iCs/>
                <w:sz w:val="24"/>
              </w:rPr>
              <w:t>日</w:t>
            </w:r>
          </w:p>
        </w:tc>
      </w:tr>
      <w:tr w:rsidR="00BA33A2" w:rsidRPr="00BA33A2" w14:paraId="47784BD7" w14:textId="77777777">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地点</w:t>
            </w:r>
          </w:p>
        </w:tc>
        <w:tc>
          <w:tcPr>
            <w:tcW w:w="6438" w:type="dxa"/>
            <w:tcBorders>
              <w:top w:val="single" w:sz="4" w:space="0" w:color="auto"/>
              <w:left w:val="single" w:sz="4" w:space="0" w:color="auto"/>
              <w:bottom w:val="single" w:sz="4" w:space="0" w:color="auto"/>
              <w:right w:val="single" w:sz="4" w:space="0" w:color="auto"/>
            </w:tcBorders>
          </w:tcPr>
          <w:p w14:paraId="1F12FA47" w14:textId="77777777" w:rsidR="00076833" w:rsidRPr="00BA33A2" w:rsidRDefault="00000000">
            <w:pPr>
              <w:spacing w:beforeLines="50" w:before="156" w:afterLines="50" w:after="156"/>
              <w:jc w:val="left"/>
              <w:rPr>
                <w:bCs/>
                <w:iCs/>
                <w:sz w:val="24"/>
              </w:rPr>
            </w:pPr>
            <w:r w:rsidRPr="00BA33A2">
              <w:rPr>
                <w:bCs/>
                <w:iCs/>
                <w:sz w:val="24"/>
              </w:rPr>
              <w:t>上海证券交易所上证路演中心</w:t>
            </w:r>
          </w:p>
          <w:p w14:paraId="478153CA" w14:textId="77777777" w:rsidR="00076833" w:rsidRPr="00BA33A2" w:rsidRDefault="00000000">
            <w:pPr>
              <w:spacing w:beforeLines="50" w:before="156" w:afterLines="50" w:after="156"/>
              <w:rPr>
                <w:rFonts w:ascii="宋体" w:hAnsi="宋体" w:hint="eastAsia"/>
                <w:bCs/>
                <w:iCs/>
                <w:sz w:val="24"/>
              </w:rPr>
            </w:pPr>
            <w:r w:rsidRPr="00BA33A2">
              <w:rPr>
                <w:bCs/>
                <w:iCs/>
                <w:sz w:val="24"/>
              </w:rPr>
              <w:t>（网址：</w:t>
            </w:r>
            <w:r w:rsidRPr="00BA33A2">
              <w:rPr>
                <w:bCs/>
                <w:iCs/>
                <w:sz w:val="24"/>
              </w:rPr>
              <w:t>http://roadshow.sseinfo.com/</w:t>
            </w:r>
            <w:r w:rsidRPr="00BA33A2">
              <w:rPr>
                <w:bCs/>
                <w:iCs/>
                <w:sz w:val="24"/>
              </w:rPr>
              <w:t>）</w:t>
            </w:r>
          </w:p>
        </w:tc>
      </w:tr>
      <w:tr w:rsidR="00BA33A2" w:rsidRPr="00BA33A2" w14:paraId="36B9A1EC" w14:textId="77777777">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3B28AC22" w14:textId="77777777" w:rsidR="00076833" w:rsidRPr="00BA33A2" w:rsidRDefault="00000000">
            <w:pPr>
              <w:spacing w:beforeLines="50" w:before="156" w:afterLines="50" w:after="156"/>
              <w:rPr>
                <w:bCs/>
                <w:iCs/>
                <w:sz w:val="24"/>
              </w:rPr>
            </w:pPr>
            <w:r w:rsidRPr="00BA33A2">
              <w:rPr>
                <w:bCs/>
                <w:iCs/>
                <w:sz w:val="24"/>
              </w:rPr>
              <w:t>董事长、总经理</w:t>
            </w:r>
            <w:r w:rsidRPr="00BA33A2">
              <w:rPr>
                <w:rFonts w:hint="eastAsia"/>
                <w:bCs/>
                <w:iCs/>
                <w:sz w:val="24"/>
              </w:rPr>
              <w:t>：</w:t>
            </w:r>
            <w:r w:rsidRPr="00BA33A2">
              <w:rPr>
                <w:bCs/>
                <w:iCs/>
                <w:sz w:val="24"/>
              </w:rPr>
              <w:t>PAN KE</w:t>
            </w:r>
            <w:r w:rsidRPr="00BA33A2">
              <w:rPr>
                <w:bCs/>
                <w:iCs/>
                <w:sz w:val="24"/>
              </w:rPr>
              <w:t>先生</w:t>
            </w:r>
          </w:p>
          <w:p w14:paraId="226070D1" w14:textId="77777777" w:rsidR="00076833" w:rsidRPr="00BA33A2" w:rsidRDefault="00000000">
            <w:pPr>
              <w:spacing w:beforeLines="50" w:before="156" w:afterLines="50" w:after="156"/>
              <w:rPr>
                <w:bCs/>
                <w:iCs/>
                <w:sz w:val="24"/>
              </w:rPr>
            </w:pPr>
            <w:r w:rsidRPr="00BA33A2">
              <w:rPr>
                <w:rFonts w:hint="eastAsia"/>
                <w:bCs/>
                <w:iCs/>
                <w:sz w:val="24"/>
              </w:rPr>
              <w:t>董事、</w:t>
            </w:r>
            <w:r w:rsidRPr="00BA33A2">
              <w:rPr>
                <w:bCs/>
                <w:iCs/>
                <w:sz w:val="24"/>
              </w:rPr>
              <w:t>董事会秘书</w:t>
            </w:r>
            <w:r w:rsidRPr="00BA33A2">
              <w:rPr>
                <w:rFonts w:hint="eastAsia"/>
                <w:bCs/>
                <w:iCs/>
                <w:sz w:val="24"/>
              </w:rPr>
              <w:t>、财务负责人：杨明远</w:t>
            </w:r>
            <w:r w:rsidRPr="00BA33A2">
              <w:rPr>
                <w:bCs/>
                <w:iCs/>
                <w:sz w:val="24"/>
              </w:rPr>
              <w:t>先生</w:t>
            </w:r>
          </w:p>
          <w:p w14:paraId="0F43CA6E" w14:textId="770647D1" w:rsidR="00076833" w:rsidRPr="00BA33A2" w:rsidRDefault="00000000">
            <w:pPr>
              <w:spacing w:beforeLines="50" w:before="156" w:afterLines="50" w:after="156"/>
              <w:rPr>
                <w:bCs/>
                <w:iCs/>
                <w:kern w:val="0"/>
                <w:sz w:val="24"/>
              </w:rPr>
            </w:pPr>
            <w:r w:rsidRPr="00BA33A2">
              <w:rPr>
                <w:bCs/>
                <w:iCs/>
                <w:sz w:val="24"/>
              </w:rPr>
              <w:t>独立董事</w:t>
            </w:r>
            <w:r w:rsidRPr="00BA33A2">
              <w:rPr>
                <w:rFonts w:hint="eastAsia"/>
                <w:bCs/>
                <w:iCs/>
                <w:sz w:val="24"/>
              </w:rPr>
              <w:t>：</w:t>
            </w:r>
            <w:r w:rsidR="00420922" w:rsidRPr="00BA33A2">
              <w:rPr>
                <w:rFonts w:hint="eastAsia"/>
                <w:bCs/>
                <w:iCs/>
                <w:sz w:val="24"/>
              </w:rPr>
              <w:t>张炳辉先生</w:t>
            </w:r>
          </w:p>
        </w:tc>
      </w:tr>
      <w:tr w:rsidR="00BA33A2" w:rsidRPr="00BA33A2" w14:paraId="4B06E1BB" w14:textId="77777777">
        <w:tc>
          <w:tcPr>
            <w:tcW w:w="1858" w:type="dxa"/>
            <w:tcBorders>
              <w:top w:val="single" w:sz="4" w:space="0" w:color="auto"/>
              <w:left w:val="single" w:sz="4" w:space="0" w:color="auto"/>
              <w:bottom w:val="single" w:sz="4" w:space="0" w:color="auto"/>
              <w:right w:val="single" w:sz="4" w:space="0" w:color="auto"/>
            </w:tcBorders>
            <w:vAlign w:val="center"/>
          </w:tcPr>
          <w:p w14:paraId="44FA6DC2"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076833" w:rsidRPr="00BA33A2" w:rsidRDefault="00000000">
            <w:pPr>
              <w:widowControl/>
              <w:spacing w:beforeLines="50" w:before="156" w:afterLines="50" w:after="156" w:line="283" w:lineRule="auto"/>
              <w:ind w:firstLineChars="200" w:firstLine="482"/>
              <w:rPr>
                <w:b/>
                <w:bCs/>
                <w:kern w:val="0"/>
                <w:sz w:val="24"/>
              </w:rPr>
            </w:pPr>
            <w:r w:rsidRPr="00BA33A2">
              <w:rPr>
                <w:b/>
                <w:bCs/>
                <w:kern w:val="0"/>
                <w:sz w:val="24"/>
              </w:rPr>
              <w:t>交流的主要问题及答复内容：</w:t>
            </w:r>
          </w:p>
          <w:p w14:paraId="27DD883C" w14:textId="77777777" w:rsidR="00076833" w:rsidRPr="00BA33A2" w:rsidRDefault="00000000">
            <w:pPr>
              <w:widowControl/>
              <w:spacing w:beforeLines="50" w:before="156" w:afterLines="50" w:after="156" w:line="283" w:lineRule="auto"/>
              <w:ind w:firstLineChars="200" w:firstLine="480"/>
              <w:rPr>
                <w:kern w:val="0"/>
                <w:sz w:val="24"/>
              </w:rPr>
            </w:pPr>
            <w:r w:rsidRPr="00BA33A2">
              <w:rPr>
                <w:rFonts w:hint="eastAsia"/>
                <w:kern w:val="0"/>
                <w:sz w:val="24"/>
              </w:rPr>
              <w:t>公司介绍了企业情况、公司主要业务进展、主要财务情况以及未来发展规划。</w:t>
            </w:r>
          </w:p>
          <w:p w14:paraId="448AFE68" w14:textId="26279700" w:rsidR="00076833" w:rsidRPr="00BA33A2" w:rsidRDefault="00000000">
            <w:pPr>
              <w:widowControl/>
              <w:spacing w:beforeLines="50" w:before="156" w:afterLines="50" w:after="156" w:line="283" w:lineRule="auto"/>
              <w:ind w:firstLineChars="200" w:firstLine="482"/>
              <w:rPr>
                <w:b/>
                <w:bCs/>
                <w:kern w:val="0"/>
                <w:sz w:val="24"/>
              </w:rPr>
            </w:pPr>
            <w:r w:rsidRPr="00BA33A2">
              <w:rPr>
                <w:rFonts w:hint="eastAsia"/>
                <w:b/>
                <w:kern w:val="0"/>
                <w:sz w:val="24"/>
              </w:rPr>
              <w:t>1</w:t>
            </w:r>
            <w:r w:rsidRPr="00BA33A2">
              <w:rPr>
                <w:rFonts w:hint="eastAsia"/>
                <w:b/>
                <w:kern w:val="0"/>
                <w:sz w:val="24"/>
              </w:rPr>
              <w:t>、</w:t>
            </w:r>
            <w:r w:rsidR="00420922" w:rsidRPr="00BA33A2">
              <w:rPr>
                <w:b/>
                <w:kern w:val="0"/>
                <w:sz w:val="24"/>
              </w:rPr>
              <w:t>请问公司营收情况如何</w:t>
            </w:r>
            <w:r w:rsidRPr="00BA33A2">
              <w:rPr>
                <w:rFonts w:hint="eastAsia"/>
                <w:b/>
                <w:bCs/>
                <w:kern w:val="0"/>
                <w:sz w:val="24"/>
              </w:rPr>
              <w:t>？</w:t>
            </w:r>
          </w:p>
          <w:p w14:paraId="06B546B3" w14:textId="77777777" w:rsidR="00076833" w:rsidRPr="00BA33A2" w:rsidRDefault="00000000">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428425F1" w14:textId="226D69F2" w:rsidR="00420922" w:rsidRPr="00BA33A2" w:rsidRDefault="00000000" w:rsidP="00420922">
            <w:pPr>
              <w:widowControl/>
              <w:spacing w:beforeLines="50" w:before="156" w:afterLines="50" w:after="156" w:line="283" w:lineRule="auto"/>
              <w:ind w:firstLineChars="200" w:firstLine="480"/>
              <w:rPr>
                <w:kern w:val="0"/>
                <w:sz w:val="24"/>
              </w:rPr>
            </w:pPr>
            <w:r w:rsidRPr="00BA33A2">
              <w:rPr>
                <w:kern w:val="0"/>
                <w:sz w:val="24"/>
              </w:rPr>
              <w:t>相</w:t>
            </w:r>
            <w:r w:rsidR="00420922" w:rsidRPr="00BA33A2">
              <w:rPr>
                <w:kern w:val="0"/>
                <w:sz w:val="24"/>
              </w:rPr>
              <w:t>公司</w:t>
            </w:r>
            <w:r w:rsidR="00420922" w:rsidRPr="00BA33A2">
              <w:rPr>
                <w:kern w:val="0"/>
                <w:sz w:val="24"/>
              </w:rPr>
              <w:t>2025</w:t>
            </w:r>
            <w:r w:rsidR="00420922" w:rsidRPr="00BA33A2">
              <w:rPr>
                <w:kern w:val="0"/>
                <w:sz w:val="24"/>
              </w:rPr>
              <w:t>年上半年实现营收约</w:t>
            </w:r>
            <w:r w:rsidR="00420922" w:rsidRPr="00BA33A2">
              <w:rPr>
                <w:kern w:val="0"/>
                <w:sz w:val="24"/>
              </w:rPr>
              <w:t>1.3</w:t>
            </w:r>
            <w:r w:rsidR="00420922" w:rsidRPr="00BA33A2">
              <w:rPr>
                <w:kern w:val="0"/>
                <w:sz w:val="24"/>
              </w:rPr>
              <w:t>亿元，同比增长</w:t>
            </w:r>
            <w:r w:rsidR="00420922" w:rsidRPr="00BA33A2">
              <w:rPr>
                <w:kern w:val="0"/>
                <w:sz w:val="24"/>
              </w:rPr>
              <w:t>61.8%</w:t>
            </w:r>
            <w:r w:rsidR="00420922" w:rsidRPr="00BA33A2">
              <w:rPr>
                <w:kern w:val="0"/>
                <w:sz w:val="24"/>
              </w:rPr>
              <w:t>，受益于培唑帕尼片（商品名：迪派特</w:t>
            </w:r>
            <w:r w:rsidR="00420922" w:rsidRPr="00BA33A2">
              <w:rPr>
                <w:kern w:val="0"/>
                <w:sz w:val="24"/>
                <w:vertAlign w:val="superscript"/>
              </w:rPr>
              <w:t>®</w:t>
            </w:r>
            <w:r w:rsidR="00420922" w:rsidRPr="00BA33A2">
              <w:rPr>
                <w:kern w:val="0"/>
                <w:sz w:val="24"/>
              </w:rPr>
              <w:t>）、马来酸奈拉替尼片（商品名：欧优比</w:t>
            </w:r>
            <w:r w:rsidR="00420922" w:rsidRPr="00BA33A2">
              <w:rPr>
                <w:kern w:val="0"/>
                <w:sz w:val="24"/>
                <w:vertAlign w:val="superscript"/>
              </w:rPr>
              <w:t>®</w:t>
            </w:r>
            <w:r w:rsidR="00420922" w:rsidRPr="00BA33A2">
              <w:rPr>
                <w:kern w:val="0"/>
                <w:sz w:val="24"/>
              </w:rPr>
              <w:t>）商业化推广稳步推进，销量持续增加。</w:t>
            </w:r>
          </w:p>
          <w:p w14:paraId="62B069D0" w14:textId="419CFAC6" w:rsidR="00420922" w:rsidRPr="00420922" w:rsidRDefault="00420922" w:rsidP="00420922">
            <w:pPr>
              <w:widowControl/>
              <w:spacing w:beforeLines="50" w:before="156" w:afterLines="50" w:after="156" w:line="283" w:lineRule="auto"/>
              <w:ind w:firstLineChars="200" w:firstLine="480"/>
              <w:rPr>
                <w:kern w:val="0"/>
                <w:sz w:val="24"/>
              </w:rPr>
            </w:pPr>
            <w:r w:rsidRPr="00420922">
              <w:rPr>
                <w:kern w:val="0"/>
                <w:sz w:val="24"/>
              </w:rPr>
              <w:t>基于商业化</w:t>
            </w:r>
            <w:r w:rsidRPr="00420922">
              <w:rPr>
                <w:kern w:val="0"/>
                <w:sz w:val="24"/>
              </w:rPr>
              <w:t>2.0</w:t>
            </w:r>
            <w:r w:rsidRPr="00420922">
              <w:rPr>
                <w:kern w:val="0"/>
                <w:sz w:val="24"/>
              </w:rPr>
              <w:t>升级，公司不断优化市场策略及落地执行质量，两款商业化产品欧优比</w:t>
            </w:r>
            <w:r w:rsidRPr="00BA33A2">
              <w:rPr>
                <w:kern w:val="0"/>
                <w:sz w:val="24"/>
                <w:vertAlign w:val="superscript"/>
              </w:rPr>
              <w:t>®</w:t>
            </w:r>
            <w:r w:rsidRPr="00420922">
              <w:rPr>
                <w:kern w:val="0"/>
                <w:sz w:val="24"/>
              </w:rPr>
              <w:t>和迪派特</w:t>
            </w:r>
            <w:r w:rsidRPr="00BA33A2">
              <w:rPr>
                <w:kern w:val="0"/>
                <w:sz w:val="24"/>
                <w:vertAlign w:val="superscript"/>
              </w:rPr>
              <w:t>®</w:t>
            </w:r>
            <w:r w:rsidRPr="00420922">
              <w:rPr>
                <w:kern w:val="0"/>
                <w:sz w:val="24"/>
              </w:rPr>
              <w:t>的销售持续增长。今年上半年，公司通过强化循证推广、学术网络深化，为改善乳腺癌预后奠定了坚实基础，欧优比</w:t>
            </w:r>
            <w:r w:rsidRPr="00BA33A2">
              <w:rPr>
                <w:kern w:val="0"/>
                <w:sz w:val="24"/>
                <w:vertAlign w:val="superscript"/>
              </w:rPr>
              <w:t>®</w:t>
            </w:r>
            <w:r w:rsidRPr="00420922">
              <w:rPr>
                <w:kern w:val="0"/>
                <w:sz w:val="24"/>
              </w:rPr>
              <w:t>成功纳入《上海</w:t>
            </w:r>
            <w:r w:rsidRPr="00420922">
              <w:rPr>
                <w:kern w:val="0"/>
                <w:sz w:val="24"/>
              </w:rPr>
              <w:lastRenderedPageBreak/>
              <w:t>市生物</w:t>
            </w:r>
            <w:r w:rsidRPr="00420922">
              <w:rPr>
                <w:rFonts w:asciiTheme="majorEastAsia" w:eastAsiaTheme="majorEastAsia" w:hAnsiTheme="majorEastAsia"/>
                <w:kern w:val="0"/>
                <w:sz w:val="24"/>
              </w:rPr>
              <w:t>医药“新优药械”产</w:t>
            </w:r>
            <w:r w:rsidRPr="00420922">
              <w:rPr>
                <w:kern w:val="0"/>
                <w:sz w:val="24"/>
              </w:rPr>
              <w:t>品目录》（第六批），获益人群有望进一步扩大。公司同步积极筹备欧纳琳</w:t>
            </w:r>
            <w:r w:rsidRPr="00BA33A2">
              <w:rPr>
                <w:kern w:val="0"/>
                <w:sz w:val="24"/>
                <w:vertAlign w:val="superscript"/>
              </w:rPr>
              <w:t>®</w:t>
            </w:r>
            <w:r w:rsidRPr="00420922">
              <w:rPr>
                <w:kern w:val="0"/>
                <w:sz w:val="24"/>
              </w:rPr>
              <w:t>（甲磺酸艾立布林注射液）上市，通过产品线扩充覆盖早晚期乳腺癌。针对迪派特</w:t>
            </w:r>
            <w:r w:rsidRPr="00BA33A2">
              <w:rPr>
                <w:kern w:val="0"/>
                <w:sz w:val="24"/>
                <w:vertAlign w:val="superscript"/>
              </w:rPr>
              <w:t>®</w:t>
            </w:r>
            <w:r w:rsidRPr="00420922">
              <w:rPr>
                <w:kern w:val="0"/>
                <w:sz w:val="24"/>
              </w:rPr>
              <w:t>，商业化团队积极顺应治疗格局，更加精准地定位应用场景，通过医学教育活动提升医生对肾癌患者全程管理的经验，改善患者治疗顺应性及治疗时长，并加速推动医院列名及双通道药店准入，提升患者治疗可及性。</w:t>
            </w:r>
          </w:p>
          <w:p w14:paraId="067FCC04" w14:textId="148246BB" w:rsidR="00076833" w:rsidRPr="00BA33A2" w:rsidRDefault="00420922" w:rsidP="00420922">
            <w:pPr>
              <w:widowControl/>
              <w:spacing w:beforeLines="50" w:before="156" w:afterLines="50" w:after="156" w:line="283" w:lineRule="auto"/>
              <w:ind w:firstLineChars="200" w:firstLine="480"/>
              <w:rPr>
                <w:kern w:val="0"/>
                <w:sz w:val="24"/>
              </w:rPr>
            </w:pPr>
            <w:r w:rsidRPr="00BA33A2">
              <w:rPr>
                <w:kern w:val="0"/>
                <w:sz w:val="24"/>
              </w:rPr>
              <w:t>欧优比</w:t>
            </w:r>
            <w:r w:rsidRPr="00BA33A2">
              <w:rPr>
                <w:kern w:val="0"/>
                <w:sz w:val="24"/>
                <w:vertAlign w:val="superscript"/>
              </w:rPr>
              <w:t>®</w:t>
            </w:r>
            <w:r w:rsidRPr="00BA33A2">
              <w:rPr>
                <w:kern w:val="0"/>
                <w:sz w:val="24"/>
              </w:rPr>
              <w:t>和迪派特</w:t>
            </w:r>
            <w:r w:rsidRPr="00BA33A2">
              <w:rPr>
                <w:kern w:val="0"/>
                <w:sz w:val="24"/>
                <w:vertAlign w:val="superscript"/>
              </w:rPr>
              <w:t>®</w:t>
            </w:r>
            <w:r w:rsidRPr="00BA33A2">
              <w:rPr>
                <w:kern w:val="0"/>
                <w:sz w:val="24"/>
              </w:rPr>
              <w:t>的销售增长，体现了公司的商业化能力持续提升。两款产</w:t>
            </w:r>
            <w:r w:rsidRPr="00BA33A2">
              <w:rPr>
                <w:rFonts w:asciiTheme="majorEastAsia" w:eastAsiaTheme="majorEastAsia" w:hAnsiTheme="majorEastAsia"/>
                <w:kern w:val="0"/>
                <w:sz w:val="24"/>
              </w:rPr>
              <w:t>品作为“先头部队”</w:t>
            </w:r>
            <w:r w:rsidRPr="00BA33A2">
              <w:rPr>
                <w:kern w:val="0"/>
                <w:sz w:val="24"/>
              </w:rPr>
              <w:t>，也为公司后续核心产品的上市销售打下基础。</w:t>
            </w:r>
          </w:p>
          <w:p w14:paraId="012A9F87" w14:textId="23E37AE1" w:rsidR="006812D9" w:rsidRPr="00BA33A2" w:rsidRDefault="006812D9" w:rsidP="006812D9">
            <w:pPr>
              <w:widowControl/>
              <w:spacing w:beforeLines="50" w:before="156" w:afterLines="50" w:after="156" w:line="283" w:lineRule="auto"/>
              <w:ind w:firstLineChars="200" w:firstLine="482"/>
              <w:rPr>
                <w:b/>
                <w:bCs/>
                <w:kern w:val="0"/>
                <w:sz w:val="24"/>
              </w:rPr>
            </w:pPr>
            <w:r>
              <w:rPr>
                <w:rFonts w:hint="eastAsia"/>
                <w:b/>
                <w:bCs/>
                <w:kern w:val="0"/>
                <w:sz w:val="24"/>
              </w:rPr>
              <w:t>2</w:t>
            </w:r>
            <w:r w:rsidRPr="00BA33A2">
              <w:rPr>
                <w:rFonts w:hint="eastAsia"/>
                <w:b/>
                <w:bCs/>
                <w:kern w:val="0"/>
                <w:sz w:val="24"/>
              </w:rPr>
              <w:t>、</w:t>
            </w:r>
            <w:r w:rsidRPr="00BA33A2">
              <w:rPr>
                <w:b/>
                <w:bCs/>
                <w:kern w:val="0"/>
                <w:sz w:val="24"/>
              </w:rPr>
              <w:t>APL-1702</w:t>
            </w:r>
            <w:r w:rsidRPr="00BA33A2">
              <w:rPr>
                <w:b/>
                <w:bCs/>
                <w:kern w:val="0"/>
                <w:sz w:val="24"/>
              </w:rPr>
              <w:t>何时能获得批准？推广工作做了哪些准备？</w:t>
            </w:r>
          </w:p>
          <w:p w14:paraId="5B36B8B6" w14:textId="77777777" w:rsidR="006812D9" w:rsidRPr="00BA33A2" w:rsidRDefault="006812D9" w:rsidP="006812D9">
            <w:pPr>
              <w:widowControl/>
              <w:spacing w:beforeLines="50" w:before="156" w:afterLines="50" w:after="156" w:line="283" w:lineRule="auto"/>
              <w:ind w:firstLineChars="200" w:firstLine="482"/>
              <w:rPr>
                <w:b/>
                <w:bCs/>
                <w:kern w:val="0"/>
                <w:sz w:val="24"/>
              </w:rPr>
            </w:pPr>
            <w:r w:rsidRPr="00BA33A2">
              <w:rPr>
                <w:rFonts w:hint="eastAsia"/>
                <w:b/>
                <w:bCs/>
                <w:kern w:val="0"/>
                <w:sz w:val="24"/>
              </w:rPr>
              <w:t>回复：</w:t>
            </w:r>
          </w:p>
          <w:p w14:paraId="05B6FF2E" w14:textId="77777777" w:rsidR="006812D9" w:rsidRDefault="006812D9" w:rsidP="006812D9">
            <w:pPr>
              <w:widowControl/>
              <w:spacing w:beforeLines="50" w:before="156" w:afterLines="50" w:after="156" w:line="283" w:lineRule="auto"/>
              <w:ind w:firstLineChars="200" w:firstLine="480"/>
              <w:rPr>
                <w:kern w:val="0"/>
                <w:sz w:val="24"/>
              </w:rPr>
            </w:pPr>
            <w:r w:rsidRPr="00BA33A2">
              <w:rPr>
                <w:kern w:val="0"/>
                <w:sz w:val="24"/>
              </w:rPr>
              <w:t>公司已启动一系列商业化准备工作，主要包括：推动临床数据发表；与临床专家保持积极沟通，支持相关学会开展指南共识更新；针对可及性和支付负担，开展疾病负担研究和政策研究工作；支持生育友好蓝皮书项目开展政策呼吁，助力生育友好建设；加速商业化团队组建，以公立医院为核心开展全渠道商业化布局；与医生沟通光动力无创疗法机制和最新临床数据；通过公益宣传提升公众对于宫颈癌前病变的疾病认知；优化产品商业化供应链，确保在产品获批后第一时间使患者受益。</w:t>
            </w:r>
            <w:r w:rsidRPr="00BA33A2">
              <w:rPr>
                <w:kern w:val="0"/>
                <w:sz w:val="24"/>
              </w:rPr>
              <w:t>APL-1702</w:t>
            </w:r>
            <w:r w:rsidRPr="00BA33A2">
              <w:rPr>
                <w:kern w:val="0"/>
                <w:sz w:val="24"/>
              </w:rPr>
              <w:t>的上市申请于</w:t>
            </w:r>
            <w:r w:rsidRPr="00BA33A2">
              <w:rPr>
                <w:kern w:val="0"/>
                <w:sz w:val="24"/>
              </w:rPr>
              <w:t>2024</w:t>
            </w:r>
            <w:r w:rsidRPr="00BA33A2">
              <w:rPr>
                <w:kern w:val="0"/>
                <w:sz w:val="24"/>
              </w:rPr>
              <w:t>年</w:t>
            </w:r>
            <w:r w:rsidRPr="00BA33A2">
              <w:rPr>
                <w:kern w:val="0"/>
                <w:sz w:val="24"/>
              </w:rPr>
              <w:t>5</w:t>
            </w:r>
            <w:r w:rsidRPr="00BA33A2">
              <w:rPr>
                <w:kern w:val="0"/>
                <w:sz w:val="24"/>
              </w:rPr>
              <w:t>月获国家药品监督管理局受理后，公司将其上市审评审批工作列为首要目标，重点配置资源全力推进。截至目前，国家药品监督管理局药品审评中心已启动第二轮技术审评工作，公司将加快推进其上市审评审批工作，以期尽快获得上市批准。</w:t>
            </w:r>
          </w:p>
          <w:p w14:paraId="663B6947" w14:textId="291EB966" w:rsidR="00076833" w:rsidRPr="00BA33A2" w:rsidRDefault="00000000">
            <w:pPr>
              <w:widowControl/>
              <w:spacing w:beforeLines="50" w:before="156" w:afterLines="50" w:after="156" w:line="283" w:lineRule="auto"/>
              <w:ind w:firstLineChars="200" w:firstLine="482"/>
              <w:rPr>
                <w:b/>
                <w:bCs/>
                <w:kern w:val="0"/>
                <w:sz w:val="24"/>
              </w:rPr>
            </w:pPr>
            <w:r w:rsidRPr="00BA33A2">
              <w:rPr>
                <w:rFonts w:hint="eastAsia"/>
                <w:b/>
                <w:bCs/>
                <w:kern w:val="0"/>
                <w:sz w:val="24"/>
              </w:rPr>
              <w:t>3</w:t>
            </w:r>
            <w:r w:rsidRPr="00BA33A2">
              <w:rPr>
                <w:rFonts w:hint="eastAsia"/>
                <w:b/>
                <w:bCs/>
                <w:kern w:val="0"/>
                <w:sz w:val="24"/>
              </w:rPr>
              <w:t>、</w:t>
            </w:r>
            <w:r w:rsidR="00420922" w:rsidRPr="00BA33A2">
              <w:rPr>
                <w:b/>
                <w:bCs/>
                <w:kern w:val="0"/>
                <w:sz w:val="24"/>
              </w:rPr>
              <w:t>公司</w:t>
            </w:r>
            <w:r w:rsidR="00420922" w:rsidRPr="00BA33A2">
              <w:rPr>
                <w:b/>
                <w:bCs/>
                <w:kern w:val="0"/>
                <w:sz w:val="24"/>
              </w:rPr>
              <w:t>APL-2302</w:t>
            </w:r>
            <w:r w:rsidR="00420922" w:rsidRPr="00BA33A2">
              <w:rPr>
                <w:b/>
                <w:bCs/>
                <w:kern w:val="0"/>
                <w:sz w:val="24"/>
              </w:rPr>
              <w:t>用于治疗晚期实体瘤的新药临床试验完成首例患者入组，能否介绍下该产品？</w:t>
            </w:r>
          </w:p>
          <w:p w14:paraId="4474A7C2" w14:textId="77777777" w:rsidR="00076833" w:rsidRPr="00BA33A2" w:rsidRDefault="00000000">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274A7E46" w14:textId="29D164DF" w:rsidR="00076833" w:rsidRDefault="00420922">
            <w:pPr>
              <w:widowControl/>
              <w:spacing w:beforeLines="50" w:before="156" w:afterLines="50" w:after="156" w:line="283" w:lineRule="auto"/>
              <w:ind w:firstLineChars="200" w:firstLine="480"/>
              <w:rPr>
                <w:kern w:val="0"/>
                <w:sz w:val="24"/>
              </w:rPr>
            </w:pPr>
            <w:r w:rsidRPr="00BA33A2">
              <w:rPr>
                <w:kern w:val="0"/>
                <w:sz w:val="24"/>
              </w:rPr>
              <w:t>APL-2302</w:t>
            </w:r>
            <w:r w:rsidRPr="00BA33A2">
              <w:rPr>
                <w:kern w:val="0"/>
                <w:sz w:val="24"/>
              </w:rPr>
              <w:t>是公司基于</w:t>
            </w:r>
            <w:r w:rsidRPr="00BA33A2">
              <w:rPr>
                <w:kern w:val="0"/>
                <w:sz w:val="24"/>
              </w:rPr>
              <w:t>TAIDD</w:t>
            </w:r>
            <w:r w:rsidRPr="00BA33A2">
              <w:rPr>
                <w:kern w:val="0"/>
                <w:sz w:val="24"/>
              </w:rPr>
              <w:t>平台自主研发的新型高选择性、强效的去泛素化酶</w:t>
            </w:r>
            <w:r w:rsidRPr="00BA33A2">
              <w:rPr>
                <w:kern w:val="0"/>
                <w:sz w:val="24"/>
              </w:rPr>
              <w:t>USP1</w:t>
            </w:r>
            <w:r w:rsidRPr="00BA33A2">
              <w:rPr>
                <w:kern w:val="0"/>
                <w:sz w:val="24"/>
              </w:rPr>
              <w:t>（泛素特异性蛋白酶</w:t>
            </w:r>
            <w:r w:rsidRPr="00BA33A2">
              <w:rPr>
                <w:kern w:val="0"/>
                <w:sz w:val="24"/>
              </w:rPr>
              <w:t>1</w:t>
            </w:r>
            <w:r w:rsidRPr="00BA33A2">
              <w:rPr>
                <w:kern w:val="0"/>
                <w:sz w:val="24"/>
              </w:rPr>
              <w:t>）口服小分子抑制剂。通过抑制其去泛素化作用，导致</w:t>
            </w:r>
            <w:r w:rsidRPr="00BA33A2">
              <w:rPr>
                <w:kern w:val="0"/>
                <w:sz w:val="24"/>
              </w:rPr>
              <w:t>DNA</w:t>
            </w:r>
            <w:r w:rsidRPr="00BA33A2">
              <w:rPr>
                <w:kern w:val="0"/>
                <w:sz w:val="24"/>
              </w:rPr>
              <w:t>损伤修复功能丧失并与同源重组基因缺陷或突变形成合成致死，从而特异性地杀伤肿瘤。乳腺癌基因突变（</w:t>
            </w:r>
            <w:r w:rsidRPr="00BA33A2">
              <w:rPr>
                <w:kern w:val="0"/>
                <w:sz w:val="24"/>
              </w:rPr>
              <w:t>BRCA1/2mut</w:t>
            </w:r>
            <w:r w:rsidRPr="00BA33A2">
              <w:rPr>
                <w:kern w:val="0"/>
                <w:sz w:val="24"/>
              </w:rPr>
              <w:t>）或</w:t>
            </w:r>
            <w:r w:rsidRPr="00BA33A2">
              <w:rPr>
                <w:kern w:val="0"/>
                <w:sz w:val="24"/>
              </w:rPr>
              <w:lastRenderedPageBreak/>
              <w:t>同源重组缺陷阳性（</w:t>
            </w:r>
            <w:r w:rsidRPr="00BA33A2">
              <w:rPr>
                <w:kern w:val="0"/>
                <w:sz w:val="24"/>
              </w:rPr>
              <w:t>HRD+</w:t>
            </w:r>
            <w:r w:rsidRPr="00BA33A2">
              <w:rPr>
                <w:kern w:val="0"/>
                <w:sz w:val="24"/>
              </w:rPr>
              <w:t>）与乳腺癌、卵巢癌、前列腺癌和胰腺癌等多种肿瘤发生风险有关，阻断肿瘤依赖的</w:t>
            </w:r>
            <w:r w:rsidRPr="00BA33A2">
              <w:rPr>
                <w:kern w:val="0"/>
                <w:sz w:val="24"/>
              </w:rPr>
              <w:t>DNA</w:t>
            </w:r>
            <w:r w:rsidRPr="00BA33A2">
              <w:rPr>
                <w:kern w:val="0"/>
                <w:sz w:val="24"/>
              </w:rPr>
              <w:t>损伤修复通路</w:t>
            </w:r>
            <w:r w:rsidRPr="00BA33A2">
              <w:rPr>
                <w:kern w:val="0"/>
                <w:sz w:val="24"/>
              </w:rPr>
              <w:t>USP1</w:t>
            </w:r>
            <w:r w:rsidRPr="00BA33A2">
              <w:rPr>
                <w:kern w:val="0"/>
                <w:sz w:val="24"/>
              </w:rPr>
              <w:t>，将导致肿瘤细胞</w:t>
            </w:r>
            <w:r w:rsidRPr="00BA33A2">
              <w:rPr>
                <w:kern w:val="0"/>
                <w:sz w:val="24"/>
              </w:rPr>
              <w:t>DNA</w:t>
            </w:r>
            <w:r w:rsidRPr="00BA33A2">
              <w:rPr>
                <w:kern w:val="0"/>
                <w:sz w:val="24"/>
              </w:rPr>
              <w:t>损伤不能有效修复而死亡，发挥对肿瘤的治疗作用。</w:t>
            </w:r>
            <w:r w:rsidRPr="00BA33A2">
              <w:rPr>
                <w:kern w:val="0"/>
                <w:sz w:val="24"/>
              </w:rPr>
              <w:t xml:space="preserve"> </w:t>
            </w:r>
            <w:r w:rsidRPr="00BA33A2">
              <w:rPr>
                <w:kern w:val="0"/>
                <w:sz w:val="24"/>
              </w:rPr>
              <w:t>基于其临床前展现的良好的体内和体外活性，公司向</w:t>
            </w:r>
            <w:r w:rsidRPr="00BA33A2">
              <w:rPr>
                <w:kern w:val="0"/>
                <w:sz w:val="24"/>
              </w:rPr>
              <w:t>FDA</w:t>
            </w:r>
            <w:r w:rsidRPr="00BA33A2">
              <w:rPr>
                <w:kern w:val="0"/>
                <w:sz w:val="24"/>
              </w:rPr>
              <w:t>和</w:t>
            </w:r>
            <w:r w:rsidRPr="00BA33A2">
              <w:rPr>
                <w:kern w:val="0"/>
                <w:sz w:val="24"/>
              </w:rPr>
              <w:t>NMPA</w:t>
            </w:r>
            <w:r w:rsidRPr="00BA33A2">
              <w:rPr>
                <w:kern w:val="0"/>
                <w:sz w:val="24"/>
              </w:rPr>
              <w:t>递交了一项在晚期实体瘤患者中评价</w:t>
            </w:r>
            <w:r w:rsidRPr="00BA33A2">
              <w:rPr>
                <w:kern w:val="0"/>
                <w:sz w:val="24"/>
              </w:rPr>
              <w:t>APL-2302</w:t>
            </w:r>
            <w:r w:rsidRPr="00BA33A2">
              <w:rPr>
                <w:kern w:val="0"/>
                <w:sz w:val="24"/>
              </w:rPr>
              <w:t>的安全性、耐受性、药代动力学初步抗肿瘤活性的</w:t>
            </w:r>
            <w:r w:rsidRPr="00BA33A2">
              <w:rPr>
                <w:kern w:val="0"/>
                <w:sz w:val="24"/>
              </w:rPr>
              <w:t>Ⅰ/Ⅱ a</w:t>
            </w:r>
            <w:r w:rsidRPr="00BA33A2">
              <w:rPr>
                <w:kern w:val="0"/>
                <w:sz w:val="24"/>
              </w:rPr>
              <w:t>期、开放性、多中心、剂量递增和扩展研究，并分别于</w:t>
            </w:r>
            <w:r w:rsidRPr="00BA33A2">
              <w:rPr>
                <w:kern w:val="0"/>
                <w:sz w:val="24"/>
              </w:rPr>
              <w:t>2024</w:t>
            </w:r>
            <w:r w:rsidRPr="00BA33A2">
              <w:rPr>
                <w:kern w:val="0"/>
                <w:sz w:val="24"/>
              </w:rPr>
              <w:t>年</w:t>
            </w:r>
            <w:r w:rsidRPr="00BA33A2">
              <w:rPr>
                <w:kern w:val="0"/>
                <w:sz w:val="24"/>
              </w:rPr>
              <w:t>10</w:t>
            </w:r>
            <w:r w:rsidRPr="00BA33A2">
              <w:rPr>
                <w:kern w:val="0"/>
                <w:sz w:val="24"/>
              </w:rPr>
              <w:t>月和</w:t>
            </w:r>
            <w:r w:rsidRPr="00BA33A2">
              <w:rPr>
                <w:kern w:val="0"/>
                <w:sz w:val="24"/>
              </w:rPr>
              <w:t>2025</w:t>
            </w:r>
            <w:r w:rsidRPr="00BA33A2">
              <w:rPr>
                <w:kern w:val="0"/>
                <w:sz w:val="24"/>
              </w:rPr>
              <w:t>年</w:t>
            </w:r>
            <w:r w:rsidRPr="00BA33A2">
              <w:rPr>
                <w:kern w:val="0"/>
                <w:sz w:val="24"/>
              </w:rPr>
              <w:t>1</w:t>
            </w:r>
            <w:r w:rsidRPr="00BA33A2">
              <w:rPr>
                <w:kern w:val="0"/>
                <w:sz w:val="24"/>
              </w:rPr>
              <w:t>月获得美国</w:t>
            </w:r>
            <w:r w:rsidRPr="00BA33A2">
              <w:rPr>
                <w:kern w:val="0"/>
                <w:sz w:val="24"/>
              </w:rPr>
              <w:t>FDA</w:t>
            </w:r>
            <w:r w:rsidRPr="00BA33A2">
              <w:rPr>
                <w:kern w:val="0"/>
                <w:sz w:val="24"/>
              </w:rPr>
              <w:t>和中国</w:t>
            </w:r>
            <w:r w:rsidRPr="00BA33A2">
              <w:rPr>
                <w:kern w:val="0"/>
                <w:sz w:val="24"/>
              </w:rPr>
              <w:t>NMPA</w:t>
            </w:r>
            <w:r w:rsidRPr="00BA33A2">
              <w:rPr>
                <w:kern w:val="0"/>
                <w:sz w:val="24"/>
              </w:rPr>
              <w:t>批准。该临床研究已于</w:t>
            </w:r>
            <w:r w:rsidRPr="00BA33A2">
              <w:rPr>
                <w:kern w:val="0"/>
                <w:sz w:val="24"/>
              </w:rPr>
              <w:t>2025</w:t>
            </w:r>
            <w:r w:rsidRPr="00BA33A2">
              <w:rPr>
                <w:kern w:val="0"/>
                <w:sz w:val="24"/>
              </w:rPr>
              <w:t>年</w:t>
            </w:r>
            <w:r w:rsidRPr="00BA33A2">
              <w:rPr>
                <w:kern w:val="0"/>
                <w:sz w:val="24"/>
              </w:rPr>
              <w:t>3</w:t>
            </w:r>
            <w:r w:rsidRPr="00BA33A2">
              <w:rPr>
                <w:kern w:val="0"/>
                <w:sz w:val="24"/>
              </w:rPr>
              <w:t>月完成</w:t>
            </w:r>
            <w:r w:rsidRPr="00BA33A2">
              <w:rPr>
                <w:kern w:val="0"/>
                <w:sz w:val="24"/>
              </w:rPr>
              <w:t>Ⅰa</w:t>
            </w:r>
            <w:r w:rsidRPr="00BA33A2">
              <w:rPr>
                <w:kern w:val="0"/>
                <w:sz w:val="24"/>
              </w:rPr>
              <w:t>期首例受试者入组，根据目前已经获得的临床数据，</w:t>
            </w:r>
            <w:r w:rsidRPr="00BA33A2">
              <w:rPr>
                <w:kern w:val="0"/>
                <w:sz w:val="24"/>
              </w:rPr>
              <w:t>APL-2302</w:t>
            </w:r>
            <w:r w:rsidRPr="00BA33A2">
              <w:rPr>
                <w:kern w:val="0"/>
                <w:sz w:val="24"/>
              </w:rPr>
              <w:t>展现出良好的安全性、耐受性和药代动力学特征。公司将持续推进受试者入组工作，期待</w:t>
            </w:r>
            <w:r w:rsidRPr="00BA33A2">
              <w:rPr>
                <w:kern w:val="0"/>
                <w:sz w:val="24"/>
              </w:rPr>
              <w:t>APL-2302</w:t>
            </w:r>
            <w:r w:rsidRPr="00BA33A2">
              <w:rPr>
                <w:kern w:val="0"/>
                <w:sz w:val="24"/>
              </w:rPr>
              <w:t>能进一步展现在临床中的潜力，让更多患者可以受益于这款</w:t>
            </w:r>
            <w:r w:rsidRPr="00BA33A2">
              <w:rPr>
                <w:kern w:val="0"/>
                <w:sz w:val="24"/>
              </w:rPr>
              <w:t>USP1</w:t>
            </w:r>
            <w:r w:rsidRPr="00BA33A2">
              <w:rPr>
                <w:kern w:val="0"/>
                <w:sz w:val="24"/>
              </w:rPr>
              <w:t>抑制剂。</w:t>
            </w:r>
          </w:p>
          <w:p w14:paraId="22176C3B" w14:textId="4295BA88" w:rsidR="006812D9" w:rsidRPr="00BA33A2" w:rsidRDefault="006812D9" w:rsidP="006812D9">
            <w:pPr>
              <w:widowControl/>
              <w:spacing w:beforeLines="50" w:before="156" w:afterLines="50" w:after="156" w:line="283" w:lineRule="auto"/>
              <w:ind w:firstLineChars="200" w:firstLine="482"/>
              <w:rPr>
                <w:b/>
                <w:bCs/>
                <w:kern w:val="0"/>
                <w:sz w:val="24"/>
              </w:rPr>
            </w:pPr>
            <w:r>
              <w:rPr>
                <w:rFonts w:hint="eastAsia"/>
                <w:b/>
                <w:bCs/>
                <w:kern w:val="0"/>
                <w:sz w:val="24"/>
              </w:rPr>
              <w:t>4</w:t>
            </w:r>
            <w:r w:rsidRPr="00BA33A2">
              <w:rPr>
                <w:rFonts w:hint="eastAsia"/>
                <w:b/>
                <w:bCs/>
                <w:kern w:val="0"/>
                <w:sz w:val="24"/>
              </w:rPr>
              <w:t>、</w:t>
            </w:r>
            <w:r w:rsidRPr="00BA33A2">
              <w:rPr>
                <w:b/>
                <w:bCs/>
                <w:kern w:val="0"/>
                <w:sz w:val="24"/>
              </w:rPr>
              <w:t>公司</w:t>
            </w:r>
            <w:r w:rsidRPr="00BA33A2">
              <w:rPr>
                <w:b/>
                <w:bCs/>
                <w:kern w:val="0"/>
                <w:sz w:val="24"/>
              </w:rPr>
              <w:t>APL-2501</w:t>
            </w:r>
            <w:r w:rsidRPr="00BA33A2">
              <w:rPr>
                <w:b/>
                <w:bCs/>
                <w:kern w:val="0"/>
                <w:sz w:val="24"/>
              </w:rPr>
              <w:t>的研发进展怎么样了？</w:t>
            </w:r>
          </w:p>
          <w:p w14:paraId="779FCA21"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481A5324"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kern w:val="0"/>
                <w:sz w:val="24"/>
              </w:rPr>
              <w:t>APL-2501</w:t>
            </w:r>
            <w:r w:rsidRPr="00BA33A2">
              <w:rPr>
                <w:kern w:val="0"/>
                <w:sz w:val="24"/>
              </w:rPr>
              <w:t>是公司自主研发的搭载专有亲水性连接子、基于拓扑异构酶抑制剂的抗</w:t>
            </w:r>
            <w:r w:rsidRPr="00BA33A2">
              <w:rPr>
                <w:kern w:val="0"/>
                <w:sz w:val="24"/>
              </w:rPr>
              <w:t>CLDN6/9</w:t>
            </w:r>
            <w:r w:rsidRPr="00BA33A2">
              <w:rPr>
                <w:kern w:val="0"/>
                <w:sz w:val="24"/>
              </w:rPr>
              <w:t>抗体药物偶联物（</w:t>
            </w:r>
            <w:r w:rsidRPr="00BA33A2">
              <w:rPr>
                <w:kern w:val="0"/>
                <w:sz w:val="24"/>
              </w:rPr>
              <w:t>ADC</w:t>
            </w:r>
            <w:r w:rsidRPr="00BA33A2">
              <w:rPr>
                <w:kern w:val="0"/>
                <w:sz w:val="24"/>
              </w:rPr>
              <w:t>），可以用于治疗包括乳腺癌、卵巢癌、宫颈癌等多种晚期肿瘤，与竞品</w:t>
            </w:r>
            <w:r w:rsidRPr="00BA33A2">
              <w:rPr>
                <w:kern w:val="0"/>
                <w:sz w:val="24"/>
              </w:rPr>
              <w:t>TORL-1-23</w:t>
            </w:r>
            <w:r w:rsidRPr="00BA33A2">
              <w:rPr>
                <w:kern w:val="0"/>
                <w:sz w:val="24"/>
              </w:rPr>
              <w:t>（</w:t>
            </w:r>
            <w:r w:rsidRPr="00BA33A2">
              <w:rPr>
                <w:kern w:val="0"/>
                <w:sz w:val="24"/>
              </w:rPr>
              <w:t>TORL BioTherapeutics, LLC</w:t>
            </w:r>
            <w:r w:rsidRPr="00BA33A2">
              <w:rPr>
                <w:kern w:val="0"/>
                <w:sz w:val="24"/>
              </w:rPr>
              <w:t>公司开发的靶向</w:t>
            </w:r>
            <w:r w:rsidRPr="00BA33A2">
              <w:rPr>
                <w:kern w:val="0"/>
                <w:sz w:val="24"/>
              </w:rPr>
              <w:t>CLDN6</w:t>
            </w:r>
            <w:r w:rsidRPr="00BA33A2">
              <w:rPr>
                <w:kern w:val="0"/>
                <w:sz w:val="24"/>
              </w:rPr>
              <w:t>的</w:t>
            </w:r>
            <w:r w:rsidRPr="00BA33A2">
              <w:rPr>
                <w:kern w:val="0"/>
                <w:sz w:val="24"/>
              </w:rPr>
              <w:t>ADC</w:t>
            </w:r>
            <w:r w:rsidRPr="00BA33A2">
              <w:rPr>
                <w:kern w:val="0"/>
                <w:sz w:val="24"/>
              </w:rPr>
              <w:t>，载荷为</w:t>
            </w:r>
            <w:r w:rsidRPr="00BA33A2">
              <w:rPr>
                <w:kern w:val="0"/>
                <w:sz w:val="24"/>
              </w:rPr>
              <w:t>MMAE</w:t>
            </w:r>
            <w:r w:rsidRPr="00BA33A2">
              <w:rPr>
                <w:kern w:val="0"/>
                <w:sz w:val="24"/>
              </w:rPr>
              <w:t>）相比，抗体靶向更宽，同时显示出更好的结合能力、内化效率、杀伤效率、稳定性等特征。</w:t>
            </w:r>
            <w:r w:rsidRPr="00BA33A2">
              <w:rPr>
                <w:kern w:val="0"/>
                <w:sz w:val="24"/>
              </w:rPr>
              <w:t xml:space="preserve"> APL-2501</w:t>
            </w:r>
            <w:r w:rsidRPr="00BA33A2">
              <w:rPr>
                <w:kern w:val="0"/>
                <w:sz w:val="24"/>
              </w:rPr>
              <w:t>靶点表达谱与现有</w:t>
            </w:r>
            <w:r w:rsidRPr="00BA33A2">
              <w:rPr>
                <w:kern w:val="0"/>
                <w:sz w:val="24"/>
              </w:rPr>
              <w:t>ADC</w:t>
            </w:r>
            <w:r w:rsidRPr="00BA33A2">
              <w:rPr>
                <w:kern w:val="0"/>
                <w:sz w:val="24"/>
              </w:rPr>
              <w:t>靶向抗原不同，有望为对于现有</w:t>
            </w:r>
            <w:r w:rsidRPr="00BA33A2">
              <w:rPr>
                <w:kern w:val="0"/>
                <w:sz w:val="24"/>
              </w:rPr>
              <w:t>ADC</w:t>
            </w:r>
            <w:r w:rsidRPr="00BA33A2">
              <w:rPr>
                <w:kern w:val="0"/>
                <w:sz w:val="24"/>
              </w:rPr>
              <w:t>药物不响应的病人带来临床获益，可以用于晚期对于常规治疗不应答或复发的患者，也具有从末线治疗向二线甚至一线治疗推进的潜力。</w:t>
            </w:r>
            <w:r w:rsidRPr="00BA33A2">
              <w:rPr>
                <w:kern w:val="0"/>
                <w:sz w:val="24"/>
              </w:rPr>
              <w:t>APL-2501</w:t>
            </w:r>
            <w:r w:rsidRPr="00BA33A2">
              <w:rPr>
                <w:kern w:val="0"/>
                <w:sz w:val="24"/>
              </w:rPr>
              <w:t>完成抗体人源化实验、体内外药效研究及前期食蟹猴安全性实验及可开发性验证实验后，已按计划顺利进入</w:t>
            </w:r>
            <w:r w:rsidRPr="00BA33A2">
              <w:rPr>
                <w:kern w:val="0"/>
                <w:sz w:val="24"/>
              </w:rPr>
              <w:t>CMC</w:t>
            </w:r>
            <w:r w:rsidRPr="00BA33A2">
              <w:rPr>
                <w:kern w:val="0"/>
                <w:sz w:val="24"/>
              </w:rPr>
              <w:t>和</w:t>
            </w:r>
            <w:r w:rsidRPr="00BA33A2">
              <w:rPr>
                <w:kern w:val="0"/>
                <w:sz w:val="24"/>
              </w:rPr>
              <w:t>GLP</w:t>
            </w:r>
            <w:r w:rsidRPr="00BA33A2">
              <w:rPr>
                <w:kern w:val="0"/>
                <w:sz w:val="24"/>
              </w:rPr>
              <w:t>毒理实验阶段，期望年底前生产出毒理产品并开展毒理研究，在</w:t>
            </w:r>
            <w:r w:rsidRPr="00BA33A2">
              <w:rPr>
                <w:kern w:val="0"/>
                <w:sz w:val="24"/>
              </w:rPr>
              <w:t>2026</w:t>
            </w:r>
            <w:r w:rsidRPr="00BA33A2">
              <w:rPr>
                <w:kern w:val="0"/>
                <w:sz w:val="24"/>
              </w:rPr>
              <w:t>年中期递交</w:t>
            </w:r>
            <w:r w:rsidRPr="00BA33A2">
              <w:rPr>
                <w:kern w:val="0"/>
                <w:sz w:val="24"/>
              </w:rPr>
              <w:t>IND</w:t>
            </w:r>
            <w:r w:rsidRPr="00BA33A2">
              <w:rPr>
                <w:kern w:val="0"/>
                <w:sz w:val="24"/>
              </w:rPr>
              <w:t>。</w:t>
            </w:r>
          </w:p>
          <w:p w14:paraId="72D34ABC" w14:textId="7A141ADA" w:rsidR="006812D9" w:rsidRPr="00BA33A2" w:rsidRDefault="006812D9" w:rsidP="006812D9">
            <w:pPr>
              <w:widowControl/>
              <w:spacing w:beforeLines="50" w:before="156" w:afterLines="50" w:after="156" w:line="283" w:lineRule="auto"/>
              <w:ind w:firstLineChars="200" w:firstLine="482"/>
              <w:rPr>
                <w:b/>
                <w:bCs/>
                <w:kern w:val="0"/>
                <w:sz w:val="24"/>
              </w:rPr>
            </w:pPr>
            <w:r>
              <w:rPr>
                <w:rFonts w:hint="eastAsia"/>
                <w:b/>
                <w:bCs/>
                <w:kern w:val="0"/>
                <w:sz w:val="24"/>
              </w:rPr>
              <w:t>5</w:t>
            </w:r>
            <w:r w:rsidRPr="00BA33A2">
              <w:rPr>
                <w:rFonts w:hint="eastAsia"/>
                <w:b/>
                <w:bCs/>
                <w:kern w:val="0"/>
                <w:sz w:val="24"/>
              </w:rPr>
              <w:t>、</w:t>
            </w:r>
            <w:r w:rsidRPr="00BA33A2">
              <w:rPr>
                <w:b/>
                <w:bCs/>
                <w:kern w:val="0"/>
                <w:sz w:val="24"/>
              </w:rPr>
              <w:t>APL-2401</w:t>
            </w:r>
            <w:r w:rsidRPr="00BA33A2">
              <w:rPr>
                <w:b/>
                <w:bCs/>
                <w:kern w:val="0"/>
                <w:sz w:val="24"/>
              </w:rPr>
              <w:t>效果怎么样？研发进展如何？</w:t>
            </w:r>
          </w:p>
          <w:p w14:paraId="2EE7110C"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7185D1D9"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kern w:val="0"/>
                <w:sz w:val="24"/>
              </w:rPr>
              <w:t>APL-2401</w:t>
            </w:r>
            <w:r w:rsidRPr="00BA33A2">
              <w:rPr>
                <w:kern w:val="0"/>
                <w:sz w:val="24"/>
              </w:rPr>
              <w:t>是自主研发的一款通过非共价结合模式与靶点相结合的高选择性的</w:t>
            </w:r>
            <w:r w:rsidRPr="00BA33A2">
              <w:rPr>
                <w:kern w:val="0"/>
                <w:sz w:val="24"/>
              </w:rPr>
              <w:t>FGFR2/3</w:t>
            </w:r>
            <w:r w:rsidRPr="00BA33A2">
              <w:rPr>
                <w:kern w:val="0"/>
                <w:sz w:val="24"/>
              </w:rPr>
              <w:t>双靶点小分子抑制剂，可用于治疗携带基因激活改变的膀胱癌和其他晚期实体瘤（包括</w:t>
            </w:r>
            <w:r w:rsidRPr="00BA33A2">
              <w:rPr>
                <w:kern w:val="0"/>
                <w:sz w:val="24"/>
              </w:rPr>
              <w:lastRenderedPageBreak/>
              <w:t>乳腺癌、卵巢癌、子宫内膜癌、胆管癌、胃癌、胰腺癌、非小细胞肺癌等）。相比现阶段选择性</w:t>
            </w:r>
            <w:r w:rsidRPr="00BA33A2">
              <w:rPr>
                <w:kern w:val="0"/>
                <w:sz w:val="24"/>
              </w:rPr>
              <w:t>FGFR2</w:t>
            </w:r>
            <w:r w:rsidRPr="00BA33A2">
              <w:rPr>
                <w:kern w:val="0"/>
                <w:sz w:val="24"/>
              </w:rPr>
              <w:t>或</w:t>
            </w:r>
            <w:r w:rsidRPr="00BA33A2">
              <w:rPr>
                <w:kern w:val="0"/>
                <w:sz w:val="24"/>
              </w:rPr>
              <w:t>FGFR3</w:t>
            </w:r>
            <w:r w:rsidRPr="00BA33A2">
              <w:rPr>
                <w:kern w:val="0"/>
                <w:sz w:val="24"/>
              </w:rPr>
              <w:t>竞品，如</w:t>
            </w:r>
            <w:r w:rsidRPr="00BA33A2">
              <w:rPr>
                <w:kern w:val="0"/>
                <w:sz w:val="24"/>
              </w:rPr>
              <w:t>TYRA-300</w:t>
            </w:r>
            <w:r w:rsidRPr="00BA33A2">
              <w:rPr>
                <w:kern w:val="0"/>
                <w:sz w:val="24"/>
              </w:rPr>
              <w:t>、</w:t>
            </w:r>
            <w:r w:rsidRPr="00BA33A2">
              <w:rPr>
                <w:kern w:val="0"/>
                <w:sz w:val="24"/>
              </w:rPr>
              <w:t>RLY-4008</w:t>
            </w:r>
            <w:r w:rsidRPr="00BA33A2">
              <w:rPr>
                <w:kern w:val="0"/>
                <w:sz w:val="24"/>
              </w:rPr>
              <w:t>等，</w:t>
            </w:r>
            <w:r w:rsidRPr="00BA33A2">
              <w:rPr>
                <w:kern w:val="0"/>
                <w:sz w:val="24"/>
              </w:rPr>
              <w:t>APL-2401</w:t>
            </w:r>
            <w:r w:rsidRPr="00BA33A2">
              <w:rPr>
                <w:kern w:val="0"/>
                <w:sz w:val="24"/>
              </w:rPr>
              <w:t>体现出卓越的双重激酶抑制活性和肿瘤细胞杀伤效果，且在</w:t>
            </w:r>
            <w:r w:rsidRPr="00BA33A2">
              <w:rPr>
                <w:kern w:val="0"/>
                <w:sz w:val="24"/>
              </w:rPr>
              <w:t>FGFR1</w:t>
            </w:r>
            <w:r w:rsidRPr="00BA33A2">
              <w:rPr>
                <w:kern w:val="0"/>
                <w:sz w:val="24"/>
              </w:rPr>
              <w:t>和</w:t>
            </w:r>
            <w:r w:rsidRPr="00BA33A2">
              <w:rPr>
                <w:kern w:val="0"/>
                <w:sz w:val="24"/>
              </w:rPr>
              <w:t>FGFR4</w:t>
            </w:r>
            <w:r w:rsidRPr="00BA33A2">
              <w:rPr>
                <w:kern w:val="0"/>
                <w:sz w:val="24"/>
              </w:rPr>
              <w:t>上表现出更高的选择性，降低了</w:t>
            </w:r>
            <w:r w:rsidRPr="00BA33A2">
              <w:rPr>
                <w:kern w:val="0"/>
                <w:sz w:val="24"/>
              </w:rPr>
              <w:t>FGFR1</w:t>
            </w:r>
            <w:r w:rsidRPr="00BA33A2">
              <w:rPr>
                <w:kern w:val="0"/>
                <w:sz w:val="24"/>
              </w:rPr>
              <w:t>和</w:t>
            </w:r>
            <w:r w:rsidRPr="00BA33A2">
              <w:rPr>
                <w:kern w:val="0"/>
                <w:sz w:val="24"/>
              </w:rPr>
              <w:t>4</w:t>
            </w:r>
            <w:r w:rsidRPr="00BA33A2">
              <w:rPr>
                <w:kern w:val="0"/>
                <w:sz w:val="24"/>
              </w:rPr>
              <w:t>相关靶点毒副作用。同时药物分子在多种</w:t>
            </w:r>
            <w:r w:rsidRPr="00BA33A2">
              <w:rPr>
                <w:kern w:val="0"/>
                <w:sz w:val="24"/>
              </w:rPr>
              <w:t>FGFR2/3</w:t>
            </w:r>
            <w:r w:rsidRPr="00BA33A2">
              <w:rPr>
                <w:kern w:val="0"/>
                <w:sz w:val="24"/>
              </w:rPr>
              <w:t>野生型或突变模型中展现出优异的疗效和更宽的安全窗。与现有同类产品相比，</w:t>
            </w:r>
            <w:r w:rsidRPr="00BA33A2">
              <w:rPr>
                <w:kern w:val="0"/>
                <w:sz w:val="24"/>
              </w:rPr>
              <w:t>APL-2401</w:t>
            </w:r>
            <w:r w:rsidRPr="00BA33A2">
              <w:rPr>
                <w:kern w:val="0"/>
                <w:sz w:val="24"/>
              </w:rPr>
              <w:t>在活性、选择性、安全性和成药性方面均显示出潜在的同类最佳优势，目前该项目处于</w:t>
            </w:r>
            <w:r w:rsidRPr="00BA33A2">
              <w:rPr>
                <w:kern w:val="0"/>
                <w:sz w:val="24"/>
              </w:rPr>
              <w:t>IND Enabling</w:t>
            </w:r>
            <w:r w:rsidRPr="00BA33A2">
              <w:rPr>
                <w:kern w:val="0"/>
                <w:sz w:val="24"/>
              </w:rPr>
              <w:t>阶段，计划在</w:t>
            </w:r>
            <w:r w:rsidRPr="00BA33A2">
              <w:rPr>
                <w:kern w:val="0"/>
                <w:sz w:val="24"/>
              </w:rPr>
              <w:t>2025</w:t>
            </w:r>
            <w:r w:rsidRPr="00BA33A2">
              <w:rPr>
                <w:kern w:val="0"/>
                <w:sz w:val="24"/>
              </w:rPr>
              <w:t>年年底前获得临床批件。</w:t>
            </w:r>
          </w:p>
          <w:p w14:paraId="4DD7AD75" w14:textId="631426A5" w:rsidR="006812D9" w:rsidRPr="00BA33A2" w:rsidRDefault="007C0281" w:rsidP="006812D9">
            <w:pPr>
              <w:widowControl/>
              <w:spacing w:beforeLines="50" w:before="156" w:afterLines="50" w:after="156" w:line="283" w:lineRule="auto"/>
              <w:ind w:firstLineChars="200" w:firstLine="482"/>
              <w:rPr>
                <w:b/>
                <w:bCs/>
                <w:kern w:val="0"/>
                <w:sz w:val="24"/>
              </w:rPr>
            </w:pPr>
            <w:r>
              <w:rPr>
                <w:rFonts w:hint="eastAsia"/>
                <w:b/>
                <w:bCs/>
                <w:kern w:val="0"/>
                <w:sz w:val="24"/>
              </w:rPr>
              <w:t>6</w:t>
            </w:r>
            <w:r w:rsidR="006812D9" w:rsidRPr="00BA33A2">
              <w:rPr>
                <w:rFonts w:hint="eastAsia"/>
                <w:b/>
                <w:bCs/>
                <w:kern w:val="0"/>
                <w:sz w:val="24"/>
              </w:rPr>
              <w:t>、</w:t>
            </w:r>
            <w:r w:rsidR="006812D9" w:rsidRPr="00BA33A2">
              <w:rPr>
                <w:b/>
                <w:bCs/>
                <w:kern w:val="0"/>
                <w:sz w:val="24"/>
              </w:rPr>
              <w:t>您好，请问公司今年有扩展其他业务的打算吗？</w:t>
            </w:r>
          </w:p>
          <w:p w14:paraId="6626430F"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64E78351"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kern w:val="0"/>
                <w:sz w:val="24"/>
              </w:rPr>
              <w:t>公司始终继续坚持以创新技术和产品为核心驱动力，聚焦泌尿生殖系统肿瘤及女性健康领域的全球化创新药研发，充分依靠</w:t>
            </w:r>
            <w:r w:rsidRPr="00BA33A2">
              <w:rPr>
                <w:kern w:val="0"/>
                <w:sz w:val="24"/>
              </w:rPr>
              <w:t>TIMN</w:t>
            </w:r>
            <w:r w:rsidRPr="00BA33A2">
              <w:rPr>
                <w:kern w:val="0"/>
                <w:sz w:val="24"/>
              </w:rPr>
              <w:t>、</w:t>
            </w:r>
            <w:r w:rsidRPr="00BA33A2">
              <w:rPr>
                <w:kern w:val="0"/>
                <w:sz w:val="24"/>
              </w:rPr>
              <w:t>TAIDD</w:t>
            </w:r>
            <w:r w:rsidRPr="00BA33A2">
              <w:rPr>
                <w:kern w:val="0"/>
                <w:sz w:val="24"/>
              </w:rPr>
              <w:t>、</w:t>
            </w:r>
            <w:r w:rsidRPr="00BA33A2">
              <w:rPr>
                <w:kern w:val="0"/>
                <w:sz w:val="24"/>
              </w:rPr>
              <w:t>DDC</w:t>
            </w:r>
            <w:r w:rsidRPr="00BA33A2">
              <w:rPr>
                <w:kern w:val="0"/>
                <w:sz w:val="24"/>
              </w:rPr>
              <w:t>技术平台和专有技术，打造一系列结合全球首创和高度差异化的快速跟随的创新药物管线。此外，公司将通过外部战略合作，围绕泌尿生殖系统肿瘤及女性健康领域进行产品管线的深度布局，提升产品管线的多元化和协同性，为医生和患者提供涵盖疾病诊断到治疗的优势产品组合，力争在专注领域打造最佳的诊疗一体化解决方案。若后续有扩展其他业务的情况，公司将严格按照《上海证券交易所科创板股票上市规则》等相关规定履行信息披露义务。</w:t>
            </w:r>
          </w:p>
          <w:p w14:paraId="034D0789" w14:textId="15D58A08" w:rsidR="007C0281" w:rsidRPr="00BA33A2" w:rsidRDefault="007C0281" w:rsidP="007C0281">
            <w:pPr>
              <w:widowControl/>
              <w:spacing w:beforeLines="50" w:before="156" w:afterLines="50" w:after="156" w:line="283" w:lineRule="auto"/>
              <w:ind w:firstLineChars="200" w:firstLine="482"/>
              <w:rPr>
                <w:b/>
                <w:bCs/>
                <w:kern w:val="0"/>
                <w:sz w:val="24"/>
              </w:rPr>
            </w:pPr>
            <w:r>
              <w:rPr>
                <w:rFonts w:hint="eastAsia"/>
                <w:b/>
                <w:bCs/>
                <w:kern w:val="0"/>
                <w:sz w:val="24"/>
              </w:rPr>
              <w:t>7</w:t>
            </w:r>
            <w:r w:rsidRPr="00BA33A2">
              <w:rPr>
                <w:rFonts w:hint="eastAsia"/>
                <w:b/>
                <w:bCs/>
                <w:kern w:val="0"/>
                <w:sz w:val="24"/>
              </w:rPr>
              <w:t>、</w:t>
            </w:r>
            <w:r w:rsidRPr="00BA33A2">
              <w:rPr>
                <w:b/>
                <w:bCs/>
                <w:kern w:val="0"/>
                <w:sz w:val="24"/>
              </w:rPr>
              <w:t>公司在积极寻求海外合作伙伴推进</w:t>
            </w:r>
            <w:r w:rsidRPr="00BA33A2">
              <w:rPr>
                <w:b/>
                <w:bCs/>
                <w:kern w:val="0"/>
                <w:sz w:val="24"/>
              </w:rPr>
              <w:t>APL-1202</w:t>
            </w:r>
            <w:r w:rsidRPr="00BA33A2">
              <w:rPr>
                <w:b/>
                <w:bCs/>
                <w:kern w:val="0"/>
                <w:sz w:val="24"/>
              </w:rPr>
              <w:t>全球临床开发工作，目前海外合作伙伴进展到哪个阶段？</w:t>
            </w:r>
          </w:p>
          <w:p w14:paraId="3D26BEAE" w14:textId="77777777" w:rsidR="007C0281" w:rsidRPr="00BA33A2" w:rsidRDefault="007C0281" w:rsidP="007C0281">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126DDDA0" w14:textId="77777777" w:rsidR="007C0281" w:rsidRPr="00BA33A2" w:rsidRDefault="007C0281" w:rsidP="007C0281">
            <w:pPr>
              <w:widowControl/>
              <w:spacing w:beforeLines="50" w:before="156" w:afterLines="50" w:after="156" w:line="283" w:lineRule="auto"/>
              <w:ind w:firstLineChars="200" w:firstLine="480"/>
              <w:rPr>
                <w:kern w:val="0"/>
                <w:sz w:val="24"/>
              </w:rPr>
            </w:pPr>
            <w:r w:rsidRPr="00BA33A2">
              <w:rPr>
                <w:kern w:val="0"/>
                <w:sz w:val="24"/>
              </w:rPr>
              <w:t>公司在积极寻求海外合作伙伴推进</w:t>
            </w:r>
            <w:r w:rsidRPr="00BA33A2">
              <w:rPr>
                <w:kern w:val="0"/>
                <w:sz w:val="24"/>
              </w:rPr>
              <w:t>APL-1202</w:t>
            </w:r>
            <w:r w:rsidRPr="00BA33A2">
              <w:rPr>
                <w:kern w:val="0"/>
                <w:sz w:val="24"/>
              </w:rPr>
              <w:t>全球临床开发工作，已召开美国临床专家会讨论后续开发方向，将积极与监管机构沟通后期临床研究计划，为全球化开发奠定重要基础。关于后续进展，公司将严格按照《上海证券交易所科创板股票上市规则》等相关规定履行信息披露义务。</w:t>
            </w:r>
          </w:p>
          <w:p w14:paraId="311E02EF" w14:textId="7FA824D3" w:rsidR="00076833" w:rsidRPr="00BA33A2" w:rsidRDefault="006812D9">
            <w:pPr>
              <w:widowControl/>
              <w:spacing w:beforeLines="50" w:before="156" w:afterLines="50" w:after="156" w:line="283" w:lineRule="auto"/>
              <w:ind w:firstLineChars="200" w:firstLine="482"/>
              <w:rPr>
                <w:b/>
                <w:bCs/>
                <w:kern w:val="0"/>
                <w:sz w:val="24"/>
              </w:rPr>
            </w:pPr>
            <w:r>
              <w:rPr>
                <w:rFonts w:hint="eastAsia"/>
                <w:b/>
                <w:bCs/>
                <w:kern w:val="0"/>
                <w:sz w:val="24"/>
              </w:rPr>
              <w:t>8</w:t>
            </w:r>
            <w:r w:rsidR="00000000" w:rsidRPr="00BA33A2">
              <w:rPr>
                <w:rFonts w:hint="eastAsia"/>
                <w:b/>
                <w:bCs/>
                <w:kern w:val="0"/>
                <w:sz w:val="24"/>
              </w:rPr>
              <w:t>、</w:t>
            </w:r>
            <w:r w:rsidR="00420922" w:rsidRPr="00BA33A2">
              <w:rPr>
                <w:b/>
                <w:bCs/>
                <w:kern w:val="0"/>
                <w:sz w:val="24"/>
              </w:rPr>
              <w:t>请问潘董：一、公司上市马上四周年了，但公司依然在发行价</w:t>
            </w:r>
            <w:r w:rsidR="00420922" w:rsidRPr="00BA33A2">
              <w:rPr>
                <w:b/>
                <w:bCs/>
                <w:kern w:val="0"/>
                <w:sz w:val="24"/>
              </w:rPr>
              <w:t>22.98</w:t>
            </w:r>
            <w:r w:rsidR="00420922" w:rsidRPr="00BA33A2">
              <w:rPr>
                <w:b/>
                <w:bCs/>
                <w:kern w:val="0"/>
                <w:sz w:val="24"/>
              </w:rPr>
              <w:t>元以下，到底是公司市值管理出现问题，还是公司基本面出现问题，或是公司发行的时候存在人为抬高</w:t>
            </w:r>
            <w:r w:rsidR="00420922" w:rsidRPr="00BA33A2">
              <w:rPr>
                <w:b/>
                <w:bCs/>
                <w:kern w:val="0"/>
                <w:sz w:val="24"/>
              </w:rPr>
              <w:lastRenderedPageBreak/>
              <w:t>发行价？二、公司上市以后，用大幅低于发行价的行权价来实施股权激励，公司高管在公司依然亏损、低于发行价的情况下，依然拿取高于同类远远优秀于公司的高薪，是不是在侵占二级市场投资者的利益？</w:t>
            </w:r>
          </w:p>
          <w:p w14:paraId="247C6A86" w14:textId="3193D012" w:rsidR="00076833" w:rsidRPr="00BA33A2" w:rsidRDefault="00C55115">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1B514375" w14:textId="4DB2AA62" w:rsidR="00076833" w:rsidRPr="00BA33A2" w:rsidRDefault="00420922">
            <w:pPr>
              <w:widowControl/>
              <w:spacing w:beforeLines="50" w:before="156" w:afterLines="50" w:after="156" w:line="283" w:lineRule="auto"/>
              <w:ind w:firstLineChars="200" w:firstLine="480"/>
              <w:rPr>
                <w:kern w:val="0"/>
                <w:sz w:val="24"/>
              </w:rPr>
            </w:pPr>
            <w:r w:rsidRPr="00BA33A2">
              <w:rPr>
                <w:kern w:val="0"/>
                <w:sz w:val="24"/>
              </w:rPr>
              <w:t>二级市场股价受多种方面因素影响。但长期来看，股价会反映企业的价值。公司始终继续坚持以创新技术和产品为核心驱动力，聚焦泌尿生殖系统肿瘤及女性健康领域的全球化创新药研发，充分依靠</w:t>
            </w:r>
            <w:r w:rsidRPr="00BA33A2">
              <w:rPr>
                <w:kern w:val="0"/>
                <w:sz w:val="24"/>
              </w:rPr>
              <w:t>TIMN</w:t>
            </w:r>
            <w:r w:rsidRPr="00BA33A2">
              <w:rPr>
                <w:kern w:val="0"/>
                <w:sz w:val="24"/>
              </w:rPr>
              <w:t>、</w:t>
            </w:r>
            <w:r w:rsidRPr="00BA33A2">
              <w:rPr>
                <w:kern w:val="0"/>
                <w:sz w:val="24"/>
              </w:rPr>
              <w:t>TAIDD</w:t>
            </w:r>
            <w:r w:rsidRPr="00BA33A2">
              <w:rPr>
                <w:kern w:val="0"/>
                <w:sz w:val="24"/>
              </w:rPr>
              <w:t>、</w:t>
            </w:r>
            <w:r w:rsidRPr="00BA33A2">
              <w:rPr>
                <w:kern w:val="0"/>
                <w:sz w:val="24"/>
              </w:rPr>
              <w:t>DDC</w:t>
            </w:r>
            <w:r w:rsidRPr="00BA33A2">
              <w:rPr>
                <w:kern w:val="0"/>
                <w:sz w:val="24"/>
              </w:rPr>
              <w:t>技术平台和专有技术，打造一系列结合全球首创和高度差异化的快速跟随的创新药物管线。公司产品</w:t>
            </w:r>
            <w:r w:rsidRPr="00BA33A2">
              <w:rPr>
                <w:kern w:val="0"/>
                <w:sz w:val="24"/>
              </w:rPr>
              <w:t>APL-1702</w:t>
            </w:r>
            <w:r w:rsidRPr="00BA33A2">
              <w:rPr>
                <w:kern w:val="0"/>
                <w:sz w:val="24"/>
              </w:rPr>
              <w:t>有望填补从病情发生到充分满足切除手术指征这中间巨大的治疗空白地带，让患者在逆转病程的同时，最大程度地避免或延缓宫颈切除手术带来的风险，不透支未来的手术治疗机会。国家药品监督管理局药品审评中心已启动该产品第二轮技术审评工作，公司将加快推进其上市审评审批工作，以期尽快获得上市批准。此外，公司将通过</w:t>
            </w:r>
            <w:r w:rsidRPr="00BA33A2">
              <w:rPr>
                <w:kern w:val="0"/>
                <w:sz w:val="24"/>
              </w:rPr>
              <w:t>NewCo</w:t>
            </w:r>
            <w:r w:rsidRPr="00BA33A2">
              <w:rPr>
                <w:kern w:val="0"/>
                <w:sz w:val="24"/>
              </w:rPr>
              <w:t>和对外许可结合的方式，积极开拓公司产品的海外市场。公司还将通过外部战略合作，围绕泌尿生殖系统肿瘤及女性健康领域进行产品管线的深度布局，提升产品管线的多元化和协同性，为医生和患者提供涵盖疾病诊断到治疗的优势产品组合，力争在专注领域打造最佳的诊疗一体化解决方案。公司始终严格遵守上市公司的各项规定，履行相关程序，感谢您的关注。</w:t>
            </w:r>
          </w:p>
          <w:p w14:paraId="25D33AE8" w14:textId="556C1657" w:rsidR="006812D9" w:rsidRPr="00BA33A2" w:rsidRDefault="006812D9" w:rsidP="006812D9">
            <w:pPr>
              <w:widowControl/>
              <w:spacing w:beforeLines="50" w:before="156" w:afterLines="50" w:after="156" w:line="283" w:lineRule="auto"/>
              <w:ind w:firstLineChars="200" w:firstLine="482"/>
              <w:rPr>
                <w:b/>
                <w:bCs/>
                <w:kern w:val="0"/>
                <w:sz w:val="24"/>
              </w:rPr>
            </w:pPr>
            <w:r>
              <w:rPr>
                <w:rFonts w:hint="eastAsia"/>
                <w:b/>
                <w:bCs/>
                <w:kern w:val="0"/>
                <w:sz w:val="24"/>
              </w:rPr>
              <w:t>9</w:t>
            </w:r>
            <w:r w:rsidRPr="00BA33A2">
              <w:rPr>
                <w:rFonts w:hint="eastAsia"/>
                <w:b/>
                <w:bCs/>
                <w:kern w:val="0"/>
                <w:sz w:val="24"/>
              </w:rPr>
              <w:t>、</w:t>
            </w:r>
            <w:r w:rsidRPr="00BA33A2">
              <w:rPr>
                <w:b/>
                <w:bCs/>
                <w:kern w:val="0"/>
                <w:sz w:val="24"/>
              </w:rPr>
              <w:t>杨总，公司二级市场的表现远远差于科创板创新药板块的公司表现，建议杨总拓宽与主流机构主力长期资金之间的沟通了，让他们了解公司、相信公司、期望公司，最终长期持有公司，在二级市场走牛走强，从而实现公司、机构和中小投资者三赢，改变整个市场对公司的负面评价和形象。</w:t>
            </w:r>
          </w:p>
          <w:p w14:paraId="33879572"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2FD7A3C0" w14:textId="77777777" w:rsidR="00A8144A" w:rsidRDefault="006812D9" w:rsidP="006812D9">
            <w:pPr>
              <w:widowControl/>
              <w:spacing w:beforeLines="50" w:before="156" w:afterLines="50" w:after="156" w:line="283" w:lineRule="auto"/>
              <w:ind w:firstLineChars="200" w:firstLine="480"/>
              <w:rPr>
                <w:kern w:val="0"/>
                <w:sz w:val="24"/>
              </w:rPr>
            </w:pPr>
            <w:r w:rsidRPr="00BA33A2">
              <w:rPr>
                <w:kern w:val="0"/>
                <w:sz w:val="24"/>
              </w:rPr>
              <w:t>尊感谢您的关注和建议。公司始终高度重视股东回报，一方面将持续专注主业、夯实发展根基，不断做大做强，用更好的经营和业绩回馈投资者；另一方面，将进一步加强与投资者的沟通，切实向市场传递公司经营理念与投资价值</w:t>
            </w:r>
            <w:r w:rsidRPr="00BA33A2">
              <w:rPr>
                <w:rFonts w:hint="eastAsia"/>
                <w:kern w:val="0"/>
                <w:sz w:val="24"/>
              </w:rPr>
              <w:t>。</w:t>
            </w:r>
          </w:p>
          <w:p w14:paraId="7EB1C6B3" w14:textId="3920C2B2" w:rsidR="006812D9" w:rsidRPr="00BA33A2" w:rsidRDefault="006812D9" w:rsidP="006812D9">
            <w:pPr>
              <w:widowControl/>
              <w:spacing w:beforeLines="50" w:before="156" w:afterLines="50" w:after="156" w:line="283" w:lineRule="auto"/>
              <w:ind w:firstLineChars="200" w:firstLine="482"/>
              <w:rPr>
                <w:b/>
                <w:bCs/>
                <w:kern w:val="0"/>
                <w:sz w:val="24"/>
              </w:rPr>
            </w:pPr>
            <w:r>
              <w:rPr>
                <w:rFonts w:hint="eastAsia"/>
                <w:b/>
                <w:bCs/>
                <w:kern w:val="0"/>
                <w:sz w:val="24"/>
              </w:rPr>
              <w:t>10</w:t>
            </w:r>
            <w:r w:rsidRPr="00BA33A2">
              <w:rPr>
                <w:rFonts w:hint="eastAsia"/>
                <w:b/>
                <w:bCs/>
                <w:kern w:val="0"/>
                <w:sz w:val="24"/>
              </w:rPr>
              <w:t>、</w:t>
            </w:r>
            <w:r w:rsidRPr="00BA33A2">
              <w:rPr>
                <w:b/>
                <w:bCs/>
                <w:kern w:val="0"/>
                <w:sz w:val="24"/>
              </w:rPr>
              <w:t>开启交流互动已经半小时，但提问的只有二个人，潘董、杨总、张董三个嘉宾应该体会公司在二级市场表现和</w:t>
            </w:r>
            <w:r w:rsidRPr="00BA33A2">
              <w:rPr>
                <w:b/>
                <w:bCs/>
                <w:kern w:val="0"/>
                <w:sz w:val="24"/>
              </w:rPr>
              <w:lastRenderedPageBreak/>
              <w:t>人气度了吧，建议公司真的该下力解决市值管理了，随着上市公司数量的增多，越来越多的优秀创新药公司来到资本市场，公司如果不改变不解决这个尊重投资者重视市值管理的问题，二级市场中公司将会越来越失去人心</w:t>
            </w:r>
          </w:p>
          <w:p w14:paraId="0520CBF3" w14:textId="77777777" w:rsidR="006812D9" w:rsidRPr="00BA33A2" w:rsidRDefault="006812D9" w:rsidP="006812D9">
            <w:pPr>
              <w:widowControl/>
              <w:spacing w:beforeLines="50" w:before="156" w:afterLines="50" w:after="156" w:line="283" w:lineRule="auto"/>
              <w:ind w:firstLineChars="200" w:firstLine="480"/>
              <w:rPr>
                <w:kern w:val="0"/>
                <w:sz w:val="24"/>
              </w:rPr>
            </w:pPr>
            <w:r w:rsidRPr="00BA33A2">
              <w:rPr>
                <w:rFonts w:hint="eastAsia"/>
                <w:kern w:val="0"/>
                <w:sz w:val="24"/>
              </w:rPr>
              <w:t>回复：</w:t>
            </w:r>
          </w:p>
          <w:p w14:paraId="227704FB" w14:textId="173226EF" w:rsidR="006812D9" w:rsidRPr="006812D9" w:rsidRDefault="006812D9" w:rsidP="003B6E9C">
            <w:pPr>
              <w:widowControl/>
              <w:spacing w:beforeLines="50" w:before="156" w:afterLines="50" w:after="156" w:line="283" w:lineRule="auto"/>
              <w:ind w:firstLineChars="200" w:firstLine="480"/>
              <w:rPr>
                <w:rFonts w:hint="eastAsia"/>
                <w:kern w:val="0"/>
                <w:sz w:val="24"/>
              </w:rPr>
            </w:pPr>
            <w:r w:rsidRPr="00BA33A2">
              <w:rPr>
                <w:kern w:val="0"/>
                <w:sz w:val="24"/>
              </w:rPr>
              <w:t>感谢您的建议和意见。公司将通过专注主业经营、加强投资者沟通等多种方式推动公司在二级市场上的价值实现，回馈广大投资者。</w:t>
            </w:r>
          </w:p>
        </w:tc>
      </w:tr>
      <w:tr w:rsidR="00BA33A2" w:rsidRPr="00BA33A2" w14:paraId="19E7A994" w14:textId="77777777">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77777777" w:rsidR="00076833" w:rsidRPr="00BA33A2" w:rsidRDefault="00000000">
            <w:pPr>
              <w:rPr>
                <w:rFonts w:ascii="宋体" w:hAnsi="宋体" w:hint="eastAsia"/>
                <w:bCs/>
                <w:iCs/>
                <w:sz w:val="24"/>
              </w:rPr>
            </w:pPr>
            <w:r w:rsidRPr="00BA33A2">
              <w:rPr>
                <w:rFonts w:ascii="宋体" w:hAnsi="宋体" w:hint="eastAsia"/>
                <w:bCs/>
                <w:iCs/>
                <w:sz w:val="24"/>
              </w:rPr>
              <w:t>无</w:t>
            </w:r>
          </w:p>
        </w:tc>
      </w:tr>
      <w:tr w:rsidR="00BA33A2" w:rsidRPr="00BA33A2" w14:paraId="6C6F0717" w14:textId="77777777">
        <w:tc>
          <w:tcPr>
            <w:tcW w:w="1858" w:type="dxa"/>
            <w:tcBorders>
              <w:top w:val="single" w:sz="4" w:space="0" w:color="auto"/>
              <w:left w:val="single" w:sz="4" w:space="0" w:color="auto"/>
              <w:bottom w:val="single" w:sz="4" w:space="0" w:color="auto"/>
              <w:right w:val="single" w:sz="4" w:space="0" w:color="auto"/>
            </w:tcBorders>
            <w:vAlign w:val="center"/>
          </w:tcPr>
          <w:p w14:paraId="10ED1174"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7777777" w:rsidR="00076833" w:rsidRPr="00BA33A2" w:rsidRDefault="00000000">
            <w:pPr>
              <w:rPr>
                <w:rFonts w:ascii="宋体" w:hAnsi="宋体" w:hint="eastAsia"/>
                <w:bCs/>
                <w:iCs/>
                <w:sz w:val="24"/>
              </w:rPr>
            </w:pPr>
            <w:r w:rsidRPr="00BA33A2">
              <w:rPr>
                <w:rFonts w:ascii="宋体" w:hAnsi="宋体" w:hint="eastAsia"/>
                <w:bCs/>
                <w:iCs/>
                <w:sz w:val="24"/>
              </w:rPr>
              <w:t>本次活动，公司严格按照相关规定交流沟通，不存在未公开重大信息泄露等情形。</w:t>
            </w:r>
          </w:p>
        </w:tc>
      </w:tr>
      <w:tr w:rsidR="00076833" w:rsidRPr="00BA33A2" w14:paraId="6285C8AD" w14:textId="77777777">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076833" w:rsidRPr="00BA33A2" w:rsidRDefault="00000000">
            <w:pPr>
              <w:spacing w:beforeLines="50" w:before="156" w:afterLines="50" w:after="156"/>
              <w:rPr>
                <w:rFonts w:ascii="宋体" w:hAnsi="宋体" w:hint="eastAsia"/>
                <w:bCs/>
                <w:iCs/>
                <w:sz w:val="24"/>
              </w:rPr>
            </w:pPr>
            <w:r w:rsidRPr="00BA33A2">
              <w:rPr>
                <w:rFonts w:ascii="宋体" w:hAnsi="宋体" w:hint="eastAsia"/>
                <w:bCs/>
                <w:iCs/>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6EA95211" w:rsidR="00076833" w:rsidRPr="00BA33A2" w:rsidRDefault="00000000">
            <w:pPr>
              <w:spacing w:beforeLines="50" w:before="156" w:afterLines="50" w:after="156"/>
              <w:rPr>
                <w:bCs/>
                <w:iCs/>
                <w:sz w:val="24"/>
              </w:rPr>
            </w:pPr>
            <w:r w:rsidRPr="00BA33A2">
              <w:rPr>
                <w:bCs/>
                <w:iCs/>
                <w:sz w:val="24"/>
              </w:rPr>
              <w:t>202</w:t>
            </w:r>
            <w:r w:rsidRPr="00BA33A2">
              <w:rPr>
                <w:rFonts w:hint="eastAsia"/>
                <w:bCs/>
                <w:iCs/>
                <w:sz w:val="24"/>
              </w:rPr>
              <w:t>5</w:t>
            </w:r>
            <w:r w:rsidRPr="00BA33A2">
              <w:rPr>
                <w:rFonts w:hint="eastAsia"/>
                <w:bCs/>
                <w:iCs/>
                <w:sz w:val="24"/>
              </w:rPr>
              <w:t>年</w:t>
            </w:r>
            <w:r w:rsidR="00DA3204" w:rsidRPr="00BA33A2">
              <w:rPr>
                <w:rFonts w:hint="eastAsia"/>
                <w:bCs/>
                <w:iCs/>
                <w:sz w:val="24"/>
              </w:rPr>
              <w:t>9</w:t>
            </w:r>
            <w:r w:rsidRPr="00BA33A2">
              <w:rPr>
                <w:bCs/>
                <w:iCs/>
                <w:sz w:val="24"/>
              </w:rPr>
              <w:t>月</w:t>
            </w:r>
            <w:r w:rsidR="00DA3204" w:rsidRPr="00BA33A2">
              <w:rPr>
                <w:rFonts w:hint="eastAsia"/>
                <w:bCs/>
                <w:iCs/>
                <w:sz w:val="24"/>
              </w:rPr>
              <w:t>16</w:t>
            </w:r>
            <w:r w:rsidRPr="00BA33A2">
              <w:rPr>
                <w:bCs/>
                <w:iCs/>
                <w:sz w:val="24"/>
              </w:rPr>
              <w:t>日</w:t>
            </w:r>
          </w:p>
        </w:tc>
      </w:tr>
    </w:tbl>
    <w:p w14:paraId="4325A8AA" w14:textId="77777777" w:rsidR="00076833" w:rsidRPr="00BA33A2" w:rsidRDefault="00076833">
      <w:pPr>
        <w:rPr>
          <w:rFonts w:ascii="宋体" w:hAnsi="宋体" w:hint="eastAsia"/>
          <w:b/>
          <w:bCs/>
          <w:sz w:val="24"/>
        </w:rPr>
      </w:pPr>
    </w:p>
    <w:sectPr w:rsidR="00076833" w:rsidRPr="00BA33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0005" w14:textId="77777777" w:rsidR="004C2F1C" w:rsidRDefault="004C2F1C">
      <w:r>
        <w:separator/>
      </w:r>
    </w:p>
  </w:endnote>
  <w:endnote w:type="continuationSeparator" w:id="0">
    <w:p w14:paraId="6A29EAB9" w14:textId="77777777" w:rsidR="004C2F1C" w:rsidRDefault="004C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sdtPr>
    <w:sdtContent>
      <w:p w14:paraId="673E565E" w14:textId="77777777" w:rsidR="00076833" w:rsidRDefault="0000000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0AC7" w14:textId="77777777" w:rsidR="004C2F1C" w:rsidRDefault="004C2F1C">
      <w:r>
        <w:separator/>
      </w:r>
    </w:p>
  </w:footnote>
  <w:footnote w:type="continuationSeparator" w:id="0">
    <w:p w14:paraId="1EE94568" w14:textId="77777777" w:rsidR="004C2F1C" w:rsidRDefault="004C2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AC4"/>
    <w:rsid w:val="00012F8D"/>
    <w:rsid w:val="000137ED"/>
    <w:rsid w:val="00013885"/>
    <w:rsid w:val="00013B4C"/>
    <w:rsid w:val="00013FD3"/>
    <w:rsid w:val="00015EE7"/>
    <w:rsid w:val="00016028"/>
    <w:rsid w:val="000164F0"/>
    <w:rsid w:val="00017AC0"/>
    <w:rsid w:val="00017D10"/>
    <w:rsid w:val="00021DF1"/>
    <w:rsid w:val="00022066"/>
    <w:rsid w:val="000221B8"/>
    <w:rsid w:val="00022351"/>
    <w:rsid w:val="000223B4"/>
    <w:rsid w:val="000225B0"/>
    <w:rsid w:val="000232A9"/>
    <w:rsid w:val="00024080"/>
    <w:rsid w:val="00026BAE"/>
    <w:rsid w:val="00031344"/>
    <w:rsid w:val="000322AF"/>
    <w:rsid w:val="00032908"/>
    <w:rsid w:val="000340E8"/>
    <w:rsid w:val="00034795"/>
    <w:rsid w:val="00035778"/>
    <w:rsid w:val="00035B29"/>
    <w:rsid w:val="00036456"/>
    <w:rsid w:val="00036EC6"/>
    <w:rsid w:val="0003721E"/>
    <w:rsid w:val="000373EF"/>
    <w:rsid w:val="0004121C"/>
    <w:rsid w:val="00041C79"/>
    <w:rsid w:val="000426BB"/>
    <w:rsid w:val="00042A68"/>
    <w:rsid w:val="000450D3"/>
    <w:rsid w:val="00046D77"/>
    <w:rsid w:val="000471A0"/>
    <w:rsid w:val="00047B68"/>
    <w:rsid w:val="00047F63"/>
    <w:rsid w:val="00050020"/>
    <w:rsid w:val="000501F9"/>
    <w:rsid w:val="00050E47"/>
    <w:rsid w:val="0005173C"/>
    <w:rsid w:val="00051A82"/>
    <w:rsid w:val="00054752"/>
    <w:rsid w:val="000553EA"/>
    <w:rsid w:val="00056B2B"/>
    <w:rsid w:val="0005788C"/>
    <w:rsid w:val="00057B3E"/>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833"/>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5EE"/>
    <w:rsid w:val="000E0860"/>
    <w:rsid w:val="000E0A82"/>
    <w:rsid w:val="000E142F"/>
    <w:rsid w:val="000E1B3D"/>
    <w:rsid w:val="000E4155"/>
    <w:rsid w:val="000E503D"/>
    <w:rsid w:val="000E57C0"/>
    <w:rsid w:val="000F0841"/>
    <w:rsid w:val="000F111F"/>
    <w:rsid w:val="000F191F"/>
    <w:rsid w:val="000F1B3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2796"/>
    <w:rsid w:val="00132FC1"/>
    <w:rsid w:val="0013328D"/>
    <w:rsid w:val="00135704"/>
    <w:rsid w:val="0013665F"/>
    <w:rsid w:val="001417C0"/>
    <w:rsid w:val="0014341D"/>
    <w:rsid w:val="00144179"/>
    <w:rsid w:val="001443C9"/>
    <w:rsid w:val="001459FF"/>
    <w:rsid w:val="00153C38"/>
    <w:rsid w:val="0015401D"/>
    <w:rsid w:val="00155204"/>
    <w:rsid w:val="00155728"/>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C26"/>
    <w:rsid w:val="00174276"/>
    <w:rsid w:val="00175015"/>
    <w:rsid w:val="00176E1F"/>
    <w:rsid w:val="00180612"/>
    <w:rsid w:val="00183931"/>
    <w:rsid w:val="00183D9A"/>
    <w:rsid w:val="0018417B"/>
    <w:rsid w:val="00184803"/>
    <w:rsid w:val="00184CFA"/>
    <w:rsid w:val="00185DB8"/>
    <w:rsid w:val="0018638C"/>
    <w:rsid w:val="00187C2F"/>
    <w:rsid w:val="00191549"/>
    <w:rsid w:val="00197549"/>
    <w:rsid w:val="001978A2"/>
    <w:rsid w:val="001A0325"/>
    <w:rsid w:val="001A03E8"/>
    <w:rsid w:val="001A280A"/>
    <w:rsid w:val="001A2E1E"/>
    <w:rsid w:val="001A2ECC"/>
    <w:rsid w:val="001A355C"/>
    <w:rsid w:val="001A6E71"/>
    <w:rsid w:val="001B06BA"/>
    <w:rsid w:val="001B0E61"/>
    <w:rsid w:val="001B16E7"/>
    <w:rsid w:val="001B1835"/>
    <w:rsid w:val="001B1BE9"/>
    <w:rsid w:val="001B2932"/>
    <w:rsid w:val="001B33C5"/>
    <w:rsid w:val="001B6591"/>
    <w:rsid w:val="001B747F"/>
    <w:rsid w:val="001B7B3C"/>
    <w:rsid w:val="001B7F4E"/>
    <w:rsid w:val="001C0FCF"/>
    <w:rsid w:val="001C40C7"/>
    <w:rsid w:val="001C58D9"/>
    <w:rsid w:val="001C7239"/>
    <w:rsid w:val="001C75D4"/>
    <w:rsid w:val="001C761C"/>
    <w:rsid w:val="001D00F8"/>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B85"/>
    <w:rsid w:val="00232BC1"/>
    <w:rsid w:val="0023356D"/>
    <w:rsid w:val="0023369D"/>
    <w:rsid w:val="00235328"/>
    <w:rsid w:val="002368FF"/>
    <w:rsid w:val="002376AF"/>
    <w:rsid w:val="00242BD4"/>
    <w:rsid w:val="00243495"/>
    <w:rsid w:val="00244777"/>
    <w:rsid w:val="00244D51"/>
    <w:rsid w:val="00246016"/>
    <w:rsid w:val="00246058"/>
    <w:rsid w:val="0024676F"/>
    <w:rsid w:val="0024726F"/>
    <w:rsid w:val="0024757B"/>
    <w:rsid w:val="0025153F"/>
    <w:rsid w:val="00251A5B"/>
    <w:rsid w:val="00251E20"/>
    <w:rsid w:val="002521AA"/>
    <w:rsid w:val="00252901"/>
    <w:rsid w:val="00253659"/>
    <w:rsid w:val="00254C93"/>
    <w:rsid w:val="00254FE6"/>
    <w:rsid w:val="00255808"/>
    <w:rsid w:val="00260E4A"/>
    <w:rsid w:val="002613A4"/>
    <w:rsid w:val="00263343"/>
    <w:rsid w:val="00263D64"/>
    <w:rsid w:val="00263E3B"/>
    <w:rsid w:val="00265218"/>
    <w:rsid w:val="00265905"/>
    <w:rsid w:val="0026792C"/>
    <w:rsid w:val="00267E13"/>
    <w:rsid w:val="002710A5"/>
    <w:rsid w:val="002710DB"/>
    <w:rsid w:val="002717B6"/>
    <w:rsid w:val="0027373C"/>
    <w:rsid w:val="0027550E"/>
    <w:rsid w:val="00275FCC"/>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699B"/>
    <w:rsid w:val="002C72CA"/>
    <w:rsid w:val="002D0648"/>
    <w:rsid w:val="002D2478"/>
    <w:rsid w:val="002D38B8"/>
    <w:rsid w:val="002D3B4D"/>
    <w:rsid w:val="002D3B5C"/>
    <w:rsid w:val="002D416D"/>
    <w:rsid w:val="002D4D76"/>
    <w:rsid w:val="002D4D98"/>
    <w:rsid w:val="002D4DED"/>
    <w:rsid w:val="002D586F"/>
    <w:rsid w:val="002D5D4F"/>
    <w:rsid w:val="002D5F04"/>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570B"/>
    <w:rsid w:val="002F65BB"/>
    <w:rsid w:val="002F6DDB"/>
    <w:rsid w:val="002F7C2A"/>
    <w:rsid w:val="0030120F"/>
    <w:rsid w:val="00301F00"/>
    <w:rsid w:val="003035EA"/>
    <w:rsid w:val="00303A4B"/>
    <w:rsid w:val="00304447"/>
    <w:rsid w:val="003048A2"/>
    <w:rsid w:val="003059E6"/>
    <w:rsid w:val="0031034E"/>
    <w:rsid w:val="003107F8"/>
    <w:rsid w:val="0031082E"/>
    <w:rsid w:val="0031102B"/>
    <w:rsid w:val="0031210C"/>
    <w:rsid w:val="003143E3"/>
    <w:rsid w:val="00315A27"/>
    <w:rsid w:val="00320744"/>
    <w:rsid w:val="0032124E"/>
    <w:rsid w:val="00321A7D"/>
    <w:rsid w:val="003224BF"/>
    <w:rsid w:val="003227C4"/>
    <w:rsid w:val="003227D6"/>
    <w:rsid w:val="00322B28"/>
    <w:rsid w:val="00326561"/>
    <w:rsid w:val="00326888"/>
    <w:rsid w:val="00326BD1"/>
    <w:rsid w:val="00327C07"/>
    <w:rsid w:val="00331DFF"/>
    <w:rsid w:val="0033447D"/>
    <w:rsid w:val="0033454B"/>
    <w:rsid w:val="0033555A"/>
    <w:rsid w:val="00336148"/>
    <w:rsid w:val="00336511"/>
    <w:rsid w:val="00336F51"/>
    <w:rsid w:val="00337736"/>
    <w:rsid w:val="003417F4"/>
    <w:rsid w:val="0034238D"/>
    <w:rsid w:val="003434D5"/>
    <w:rsid w:val="00354A74"/>
    <w:rsid w:val="00355109"/>
    <w:rsid w:val="00355705"/>
    <w:rsid w:val="00355CEC"/>
    <w:rsid w:val="003561D6"/>
    <w:rsid w:val="0035748B"/>
    <w:rsid w:val="003603D6"/>
    <w:rsid w:val="003609BA"/>
    <w:rsid w:val="00361644"/>
    <w:rsid w:val="00361C1B"/>
    <w:rsid w:val="00361E80"/>
    <w:rsid w:val="00362D12"/>
    <w:rsid w:val="00363286"/>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419B"/>
    <w:rsid w:val="003B5836"/>
    <w:rsid w:val="003B5AAE"/>
    <w:rsid w:val="003B6E9C"/>
    <w:rsid w:val="003B7ADA"/>
    <w:rsid w:val="003C2E61"/>
    <w:rsid w:val="003C3DD5"/>
    <w:rsid w:val="003C4414"/>
    <w:rsid w:val="003C56ED"/>
    <w:rsid w:val="003C59D9"/>
    <w:rsid w:val="003C5C0E"/>
    <w:rsid w:val="003C75A6"/>
    <w:rsid w:val="003C7FC3"/>
    <w:rsid w:val="003D0543"/>
    <w:rsid w:val="003D0592"/>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40B0"/>
    <w:rsid w:val="003F4B28"/>
    <w:rsid w:val="003F4FF9"/>
    <w:rsid w:val="003F57E3"/>
    <w:rsid w:val="003F6771"/>
    <w:rsid w:val="003F6829"/>
    <w:rsid w:val="003F6AAC"/>
    <w:rsid w:val="0040069A"/>
    <w:rsid w:val="00400789"/>
    <w:rsid w:val="004009FA"/>
    <w:rsid w:val="00400EF5"/>
    <w:rsid w:val="00401367"/>
    <w:rsid w:val="00401605"/>
    <w:rsid w:val="00402034"/>
    <w:rsid w:val="00404170"/>
    <w:rsid w:val="00404CA9"/>
    <w:rsid w:val="00405444"/>
    <w:rsid w:val="00405EA1"/>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22"/>
    <w:rsid w:val="00420991"/>
    <w:rsid w:val="00421207"/>
    <w:rsid w:val="00421548"/>
    <w:rsid w:val="00424605"/>
    <w:rsid w:val="00424F47"/>
    <w:rsid w:val="00425608"/>
    <w:rsid w:val="004256C3"/>
    <w:rsid w:val="0042580C"/>
    <w:rsid w:val="004265E5"/>
    <w:rsid w:val="00426D40"/>
    <w:rsid w:val="00431729"/>
    <w:rsid w:val="004322D1"/>
    <w:rsid w:val="00432D3C"/>
    <w:rsid w:val="0043391E"/>
    <w:rsid w:val="00434413"/>
    <w:rsid w:val="00434AAD"/>
    <w:rsid w:val="00434D55"/>
    <w:rsid w:val="004354A0"/>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2865"/>
    <w:rsid w:val="004A31A5"/>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2F1C"/>
    <w:rsid w:val="004C347B"/>
    <w:rsid w:val="004C7F5E"/>
    <w:rsid w:val="004D35FA"/>
    <w:rsid w:val="004D47A3"/>
    <w:rsid w:val="004D53EA"/>
    <w:rsid w:val="004D546C"/>
    <w:rsid w:val="004D6083"/>
    <w:rsid w:val="004D6884"/>
    <w:rsid w:val="004E1706"/>
    <w:rsid w:val="004E2D1D"/>
    <w:rsid w:val="004E2DF4"/>
    <w:rsid w:val="004E306E"/>
    <w:rsid w:val="004E31AA"/>
    <w:rsid w:val="004E35A8"/>
    <w:rsid w:val="004E3A38"/>
    <w:rsid w:val="004E4C5A"/>
    <w:rsid w:val="004E6DD8"/>
    <w:rsid w:val="004E6F5A"/>
    <w:rsid w:val="004F2B03"/>
    <w:rsid w:val="004F46C8"/>
    <w:rsid w:val="004F4725"/>
    <w:rsid w:val="004F5243"/>
    <w:rsid w:val="004F6937"/>
    <w:rsid w:val="004F6F0D"/>
    <w:rsid w:val="004F76A8"/>
    <w:rsid w:val="004F7BF6"/>
    <w:rsid w:val="005007A0"/>
    <w:rsid w:val="00501DAF"/>
    <w:rsid w:val="00502679"/>
    <w:rsid w:val="00503E85"/>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57C0"/>
    <w:rsid w:val="00525976"/>
    <w:rsid w:val="00525B90"/>
    <w:rsid w:val="00526E0F"/>
    <w:rsid w:val="0052719C"/>
    <w:rsid w:val="00532258"/>
    <w:rsid w:val="005335BD"/>
    <w:rsid w:val="00533A74"/>
    <w:rsid w:val="00534F8A"/>
    <w:rsid w:val="00535C56"/>
    <w:rsid w:val="00536EA8"/>
    <w:rsid w:val="005374F1"/>
    <w:rsid w:val="0054096C"/>
    <w:rsid w:val="00542181"/>
    <w:rsid w:val="005424A0"/>
    <w:rsid w:val="0054355F"/>
    <w:rsid w:val="00543998"/>
    <w:rsid w:val="005448BB"/>
    <w:rsid w:val="00545115"/>
    <w:rsid w:val="005464F3"/>
    <w:rsid w:val="005507DE"/>
    <w:rsid w:val="005516A7"/>
    <w:rsid w:val="00552240"/>
    <w:rsid w:val="00552E18"/>
    <w:rsid w:val="005545C3"/>
    <w:rsid w:val="005547B7"/>
    <w:rsid w:val="00555148"/>
    <w:rsid w:val="00555F80"/>
    <w:rsid w:val="00556DEC"/>
    <w:rsid w:val="00557D8E"/>
    <w:rsid w:val="0056033B"/>
    <w:rsid w:val="00561525"/>
    <w:rsid w:val="005617BE"/>
    <w:rsid w:val="00561C7C"/>
    <w:rsid w:val="00563E74"/>
    <w:rsid w:val="00564589"/>
    <w:rsid w:val="00565607"/>
    <w:rsid w:val="00566138"/>
    <w:rsid w:val="00566722"/>
    <w:rsid w:val="00566A2E"/>
    <w:rsid w:val="00567E7A"/>
    <w:rsid w:val="00572B90"/>
    <w:rsid w:val="00575A03"/>
    <w:rsid w:val="00576640"/>
    <w:rsid w:val="00580664"/>
    <w:rsid w:val="00581B99"/>
    <w:rsid w:val="005825A6"/>
    <w:rsid w:val="00583012"/>
    <w:rsid w:val="00583341"/>
    <w:rsid w:val="00583E3F"/>
    <w:rsid w:val="00584659"/>
    <w:rsid w:val="0058725B"/>
    <w:rsid w:val="00587BEB"/>
    <w:rsid w:val="00590B96"/>
    <w:rsid w:val="005915BE"/>
    <w:rsid w:val="005919C1"/>
    <w:rsid w:val="005939A4"/>
    <w:rsid w:val="00593BA6"/>
    <w:rsid w:val="00595390"/>
    <w:rsid w:val="00597264"/>
    <w:rsid w:val="005A090A"/>
    <w:rsid w:val="005A0E63"/>
    <w:rsid w:val="005A424A"/>
    <w:rsid w:val="005A55EE"/>
    <w:rsid w:val="005A5BDE"/>
    <w:rsid w:val="005A660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EE"/>
    <w:rsid w:val="005F27A7"/>
    <w:rsid w:val="005F3F4D"/>
    <w:rsid w:val="005F425A"/>
    <w:rsid w:val="005F5C2A"/>
    <w:rsid w:val="005F6D28"/>
    <w:rsid w:val="005F76FA"/>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2BD3"/>
    <w:rsid w:val="00643A89"/>
    <w:rsid w:val="00644A8F"/>
    <w:rsid w:val="00644DC1"/>
    <w:rsid w:val="0064502E"/>
    <w:rsid w:val="006466F6"/>
    <w:rsid w:val="0064750B"/>
    <w:rsid w:val="006479CD"/>
    <w:rsid w:val="0065092D"/>
    <w:rsid w:val="00652114"/>
    <w:rsid w:val="006521B1"/>
    <w:rsid w:val="006524B3"/>
    <w:rsid w:val="00652AE8"/>
    <w:rsid w:val="00653A77"/>
    <w:rsid w:val="00655763"/>
    <w:rsid w:val="00656714"/>
    <w:rsid w:val="00656B41"/>
    <w:rsid w:val="00657F9C"/>
    <w:rsid w:val="006609C6"/>
    <w:rsid w:val="0066202E"/>
    <w:rsid w:val="00662575"/>
    <w:rsid w:val="00662BA8"/>
    <w:rsid w:val="00665573"/>
    <w:rsid w:val="006657BD"/>
    <w:rsid w:val="00666775"/>
    <w:rsid w:val="006704C8"/>
    <w:rsid w:val="006705A8"/>
    <w:rsid w:val="00670B07"/>
    <w:rsid w:val="00670D41"/>
    <w:rsid w:val="006710DA"/>
    <w:rsid w:val="0067141C"/>
    <w:rsid w:val="006717A2"/>
    <w:rsid w:val="00671BD0"/>
    <w:rsid w:val="00671E14"/>
    <w:rsid w:val="006735B4"/>
    <w:rsid w:val="006737F4"/>
    <w:rsid w:val="00673A1C"/>
    <w:rsid w:val="006746FE"/>
    <w:rsid w:val="006772BC"/>
    <w:rsid w:val="00677577"/>
    <w:rsid w:val="006812D9"/>
    <w:rsid w:val="00681676"/>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B073B"/>
    <w:rsid w:val="006B1FF8"/>
    <w:rsid w:val="006B3CD9"/>
    <w:rsid w:val="006B59E5"/>
    <w:rsid w:val="006B6610"/>
    <w:rsid w:val="006C01B7"/>
    <w:rsid w:val="006C0B92"/>
    <w:rsid w:val="006C274B"/>
    <w:rsid w:val="006C4647"/>
    <w:rsid w:val="006C5E6B"/>
    <w:rsid w:val="006C6A94"/>
    <w:rsid w:val="006C6BD6"/>
    <w:rsid w:val="006D1162"/>
    <w:rsid w:val="006D2E53"/>
    <w:rsid w:val="006D3BDA"/>
    <w:rsid w:val="006D3E99"/>
    <w:rsid w:val="006D4739"/>
    <w:rsid w:val="006D772C"/>
    <w:rsid w:val="006E13E5"/>
    <w:rsid w:val="006E1852"/>
    <w:rsid w:val="006E1AF3"/>
    <w:rsid w:val="006E2779"/>
    <w:rsid w:val="006E296B"/>
    <w:rsid w:val="006E2DDA"/>
    <w:rsid w:val="006E4364"/>
    <w:rsid w:val="006E73D6"/>
    <w:rsid w:val="006F0132"/>
    <w:rsid w:val="006F08FE"/>
    <w:rsid w:val="006F2E7A"/>
    <w:rsid w:val="006F2ECE"/>
    <w:rsid w:val="006F3612"/>
    <w:rsid w:val="006F38FE"/>
    <w:rsid w:val="006F43A2"/>
    <w:rsid w:val="006F524D"/>
    <w:rsid w:val="006F5C82"/>
    <w:rsid w:val="006F6D2C"/>
    <w:rsid w:val="00700557"/>
    <w:rsid w:val="00700682"/>
    <w:rsid w:val="00701065"/>
    <w:rsid w:val="00701E2C"/>
    <w:rsid w:val="00702143"/>
    <w:rsid w:val="0070328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E40"/>
    <w:rsid w:val="00720469"/>
    <w:rsid w:val="00721F9F"/>
    <w:rsid w:val="00722171"/>
    <w:rsid w:val="00723755"/>
    <w:rsid w:val="00724FF8"/>
    <w:rsid w:val="00725C37"/>
    <w:rsid w:val="00726E98"/>
    <w:rsid w:val="00731006"/>
    <w:rsid w:val="00731687"/>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836"/>
    <w:rsid w:val="007B678D"/>
    <w:rsid w:val="007B7469"/>
    <w:rsid w:val="007C0281"/>
    <w:rsid w:val="007C1B3C"/>
    <w:rsid w:val="007C2C2C"/>
    <w:rsid w:val="007C38B7"/>
    <w:rsid w:val="007C5F02"/>
    <w:rsid w:val="007C617E"/>
    <w:rsid w:val="007D0939"/>
    <w:rsid w:val="007D0943"/>
    <w:rsid w:val="007D1AD3"/>
    <w:rsid w:val="007D28FE"/>
    <w:rsid w:val="007D36F0"/>
    <w:rsid w:val="007D436B"/>
    <w:rsid w:val="007D4E32"/>
    <w:rsid w:val="007D6FE6"/>
    <w:rsid w:val="007D73B8"/>
    <w:rsid w:val="007E0700"/>
    <w:rsid w:val="007E175A"/>
    <w:rsid w:val="007E1D76"/>
    <w:rsid w:val="007E3323"/>
    <w:rsid w:val="007E67D6"/>
    <w:rsid w:val="007E693E"/>
    <w:rsid w:val="007E78EF"/>
    <w:rsid w:val="007E7AC7"/>
    <w:rsid w:val="007F0F10"/>
    <w:rsid w:val="007F2469"/>
    <w:rsid w:val="007F417D"/>
    <w:rsid w:val="007F53C6"/>
    <w:rsid w:val="007F5545"/>
    <w:rsid w:val="007F6A4F"/>
    <w:rsid w:val="0080298F"/>
    <w:rsid w:val="00804412"/>
    <w:rsid w:val="0080449E"/>
    <w:rsid w:val="00804BC8"/>
    <w:rsid w:val="008058C8"/>
    <w:rsid w:val="008074C2"/>
    <w:rsid w:val="00807E6C"/>
    <w:rsid w:val="00810130"/>
    <w:rsid w:val="0081044D"/>
    <w:rsid w:val="00815C9C"/>
    <w:rsid w:val="00820DAB"/>
    <w:rsid w:val="00821918"/>
    <w:rsid w:val="0082344E"/>
    <w:rsid w:val="008235AE"/>
    <w:rsid w:val="00823700"/>
    <w:rsid w:val="00824749"/>
    <w:rsid w:val="008278A4"/>
    <w:rsid w:val="008304B6"/>
    <w:rsid w:val="00830F0F"/>
    <w:rsid w:val="00830F4E"/>
    <w:rsid w:val="00831403"/>
    <w:rsid w:val="008317F3"/>
    <w:rsid w:val="00831F9F"/>
    <w:rsid w:val="008320B6"/>
    <w:rsid w:val="0083264F"/>
    <w:rsid w:val="00833A1C"/>
    <w:rsid w:val="00836E6C"/>
    <w:rsid w:val="00836F81"/>
    <w:rsid w:val="00842435"/>
    <w:rsid w:val="008438E2"/>
    <w:rsid w:val="008442C3"/>
    <w:rsid w:val="0084515B"/>
    <w:rsid w:val="008457ED"/>
    <w:rsid w:val="00846AAB"/>
    <w:rsid w:val="0084769B"/>
    <w:rsid w:val="00850FDC"/>
    <w:rsid w:val="00851A1A"/>
    <w:rsid w:val="00851B2F"/>
    <w:rsid w:val="00853BBB"/>
    <w:rsid w:val="008601C6"/>
    <w:rsid w:val="008607A0"/>
    <w:rsid w:val="00861037"/>
    <w:rsid w:val="008659FA"/>
    <w:rsid w:val="008665DC"/>
    <w:rsid w:val="00866BD1"/>
    <w:rsid w:val="008705DC"/>
    <w:rsid w:val="0087095F"/>
    <w:rsid w:val="00870DFC"/>
    <w:rsid w:val="00872527"/>
    <w:rsid w:val="008728C5"/>
    <w:rsid w:val="0087458B"/>
    <w:rsid w:val="00876EB3"/>
    <w:rsid w:val="0087760B"/>
    <w:rsid w:val="00880197"/>
    <w:rsid w:val="008813F7"/>
    <w:rsid w:val="00882B07"/>
    <w:rsid w:val="00883401"/>
    <w:rsid w:val="00884056"/>
    <w:rsid w:val="008845E6"/>
    <w:rsid w:val="0088652C"/>
    <w:rsid w:val="0088658E"/>
    <w:rsid w:val="0088775F"/>
    <w:rsid w:val="008909D5"/>
    <w:rsid w:val="00890CFB"/>
    <w:rsid w:val="0089131E"/>
    <w:rsid w:val="008937C8"/>
    <w:rsid w:val="008957B8"/>
    <w:rsid w:val="00896B10"/>
    <w:rsid w:val="00897D0F"/>
    <w:rsid w:val="008A1B63"/>
    <w:rsid w:val="008A1EED"/>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B7"/>
    <w:rsid w:val="008B6A72"/>
    <w:rsid w:val="008C0040"/>
    <w:rsid w:val="008C1961"/>
    <w:rsid w:val="008C1B93"/>
    <w:rsid w:val="008C28C3"/>
    <w:rsid w:val="008C2DB4"/>
    <w:rsid w:val="008C3B5B"/>
    <w:rsid w:val="008C536B"/>
    <w:rsid w:val="008C62CD"/>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8F50DB"/>
    <w:rsid w:val="009041C1"/>
    <w:rsid w:val="00904A19"/>
    <w:rsid w:val="00905631"/>
    <w:rsid w:val="009075E2"/>
    <w:rsid w:val="00907DC0"/>
    <w:rsid w:val="009107FF"/>
    <w:rsid w:val="00910DA3"/>
    <w:rsid w:val="00911CF0"/>
    <w:rsid w:val="0091462F"/>
    <w:rsid w:val="00914E9F"/>
    <w:rsid w:val="009151F5"/>
    <w:rsid w:val="0091615F"/>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21BC"/>
    <w:rsid w:val="0093344F"/>
    <w:rsid w:val="00934095"/>
    <w:rsid w:val="00935917"/>
    <w:rsid w:val="00937011"/>
    <w:rsid w:val="00937BD5"/>
    <w:rsid w:val="00941159"/>
    <w:rsid w:val="00942271"/>
    <w:rsid w:val="00942615"/>
    <w:rsid w:val="00942795"/>
    <w:rsid w:val="00942FF3"/>
    <w:rsid w:val="00943046"/>
    <w:rsid w:val="009435B4"/>
    <w:rsid w:val="00943758"/>
    <w:rsid w:val="0094398B"/>
    <w:rsid w:val="00945935"/>
    <w:rsid w:val="00945EAA"/>
    <w:rsid w:val="00945EE2"/>
    <w:rsid w:val="00952D67"/>
    <w:rsid w:val="009538FD"/>
    <w:rsid w:val="00954AED"/>
    <w:rsid w:val="00957E84"/>
    <w:rsid w:val="0096013F"/>
    <w:rsid w:val="00961131"/>
    <w:rsid w:val="00961E09"/>
    <w:rsid w:val="00962851"/>
    <w:rsid w:val="00962A7F"/>
    <w:rsid w:val="00962CD9"/>
    <w:rsid w:val="00963216"/>
    <w:rsid w:val="0096594C"/>
    <w:rsid w:val="00970C00"/>
    <w:rsid w:val="009728AF"/>
    <w:rsid w:val="009745F8"/>
    <w:rsid w:val="00974D6A"/>
    <w:rsid w:val="00975CFA"/>
    <w:rsid w:val="0097615F"/>
    <w:rsid w:val="00976AFC"/>
    <w:rsid w:val="00976BB9"/>
    <w:rsid w:val="00976EDD"/>
    <w:rsid w:val="00977E35"/>
    <w:rsid w:val="00980DDB"/>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F68"/>
    <w:rsid w:val="009E22F0"/>
    <w:rsid w:val="009E248F"/>
    <w:rsid w:val="009E2CF6"/>
    <w:rsid w:val="009E4435"/>
    <w:rsid w:val="009E4812"/>
    <w:rsid w:val="009E5B8D"/>
    <w:rsid w:val="009E64E4"/>
    <w:rsid w:val="009E68F7"/>
    <w:rsid w:val="009E743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07648"/>
    <w:rsid w:val="00A10B0F"/>
    <w:rsid w:val="00A11762"/>
    <w:rsid w:val="00A118E1"/>
    <w:rsid w:val="00A11F86"/>
    <w:rsid w:val="00A142C3"/>
    <w:rsid w:val="00A15DC6"/>
    <w:rsid w:val="00A16969"/>
    <w:rsid w:val="00A16D32"/>
    <w:rsid w:val="00A16DB2"/>
    <w:rsid w:val="00A2061C"/>
    <w:rsid w:val="00A2066A"/>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7147"/>
    <w:rsid w:val="00A503D1"/>
    <w:rsid w:val="00A50757"/>
    <w:rsid w:val="00A509EE"/>
    <w:rsid w:val="00A516EE"/>
    <w:rsid w:val="00A51E2D"/>
    <w:rsid w:val="00A527C7"/>
    <w:rsid w:val="00A52AAE"/>
    <w:rsid w:val="00A530D8"/>
    <w:rsid w:val="00A535DE"/>
    <w:rsid w:val="00A53656"/>
    <w:rsid w:val="00A5397A"/>
    <w:rsid w:val="00A550EA"/>
    <w:rsid w:val="00A5717E"/>
    <w:rsid w:val="00A57545"/>
    <w:rsid w:val="00A57A02"/>
    <w:rsid w:val="00A57F08"/>
    <w:rsid w:val="00A60C43"/>
    <w:rsid w:val="00A60F34"/>
    <w:rsid w:val="00A61D4D"/>
    <w:rsid w:val="00A62948"/>
    <w:rsid w:val="00A648D8"/>
    <w:rsid w:val="00A6539A"/>
    <w:rsid w:val="00A65C4E"/>
    <w:rsid w:val="00A66202"/>
    <w:rsid w:val="00A67F26"/>
    <w:rsid w:val="00A71E36"/>
    <w:rsid w:val="00A725C9"/>
    <w:rsid w:val="00A72AB1"/>
    <w:rsid w:val="00A72DCE"/>
    <w:rsid w:val="00A74500"/>
    <w:rsid w:val="00A75149"/>
    <w:rsid w:val="00A75163"/>
    <w:rsid w:val="00A7671D"/>
    <w:rsid w:val="00A80E56"/>
    <w:rsid w:val="00A8144A"/>
    <w:rsid w:val="00A81AF8"/>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33E0"/>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55E6"/>
    <w:rsid w:val="00AD6775"/>
    <w:rsid w:val="00AD77A1"/>
    <w:rsid w:val="00AE100A"/>
    <w:rsid w:val="00AE1018"/>
    <w:rsid w:val="00AE1DDA"/>
    <w:rsid w:val="00AE2538"/>
    <w:rsid w:val="00AE261C"/>
    <w:rsid w:val="00AE3206"/>
    <w:rsid w:val="00AE341B"/>
    <w:rsid w:val="00AE39CF"/>
    <w:rsid w:val="00AE435B"/>
    <w:rsid w:val="00AE4ED3"/>
    <w:rsid w:val="00AE6497"/>
    <w:rsid w:val="00AE7CF8"/>
    <w:rsid w:val="00AF0ED6"/>
    <w:rsid w:val="00AF0FA4"/>
    <w:rsid w:val="00AF1423"/>
    <w:rsid w:val="00AF1515"/>
    <w:rsid w:val="00AF168A"/>
    <w:rsid w:val="00AF408E"/>
    <w:rsid w:val="00AF523A"/>
    <w:rsid w:val="00AF525D"/>
    <w:rsid w:val="00AF6782"/>
    <w:rsid w:val="00AF6ADA"/>
    <w:rsid w:val="00B00087"/>
    <w:rsid w:val="00B00D8E"/>
    <w:rsid w:val="00B01BC0"/>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240E"/>
    <w:rsid w:val="00B42BB1"/>
    <w:rsid w:val="00B43022"/>
    <w:rsid w:val="00B44AFD"/>
    <w:rsid w:val="00B4548B"/>
    <w:rsid w:val="00B47406"/>
    <w:rsid w:val="00B474B6"/>
    <w:rsid w:val="00B505E4"/>
    <w:rsid w:val="00B50D63"/>
    <w:rsid w:val="00B5161B"/>
    <w:rsid w:val="00B51906"/>
    <w:rsid w:val="00B53F79"/>
    <w:rsid w:val="00B5542B"/>
    <w:rsid w:val="00B56A30"/>
    <w:rsid w:val="00B60B27"/>
    <w:rsid w:val="00B60B8D"/>
    <w:rsid w:val="00B61ACA"/>
    <w:rsid w:val="00B61E41"/>
    <w:rsid w:val="00B61E76"/>
    <w:rsid w:val="00B6428C"/>
    <w:rsid w:val="00B6432D"/>
    <w:rsid w:val="00B65AE3"/>
    <w:rsid w:val="00B6684D"/>
    <w:rsid w:val="00B67490"/>
    <w:rsid w:val="00B70448"/>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90C45"/>
    <w:rsid w:val="00B92935"/>
    <w:rsid w:val="00B95E28"/>
    <w:rsid w:val="00B97ACF"/>
    <w:rsid w:val="00BA1576"/>
    <w:rsid w:val="00BA24F1"/>
    <w:rsid w:val="00BA33A2"/>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1007"/>
    <w:rsid w:val="00BC12C0"/>
    <w:rsid w:val="00BC2B27"/>
    <w:rsid w:val="00BC415F"/>
    <w:rsid w:val="00BC418E"/>
    <w:rsid w:val="00BC4D68"/>
    <w:rsid w:val="00BC61C7"/>
    <w:rsid w:val="00BD27AD"/>
    <w:rsid w:val="00BD2B75"/>
    <w:rsid w:val="00BD37ED"/>
    <w:rsid w:val="00BD3CE4"/>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CFF"/>
    <w:rsid w:val="00BF4EA2"/>
    <w:rsid w:val="00BF5E15"/>
    <w:rsid w:val="00BF6471"/>
    <w:rsid w:val="00C00E38"/>
    <w:rsid w:val="00C011BE"/>
    <w:rsid w:val="00C02501"/>
    <w:rsid w:val="00C03374"/>
    <w:rsid w:val="00C042E4"/>
    <w:rsid w:val="00C04566"/>
    <w:rsid w:val="00C0500C"/>
    <w:rsid w:val="00C06538"/>
    <w:rsid w:val="00C12D37"/>
    <w:rsid w:val="00C12FB4"/>
    <w:rsid w:val="00C1318D"/>
    <w:rsid w:val="00C144B2"/>
    <w:rsid w:val="00C146F9"/>
    <w:rsid w:val="00C15E23"/>
    <w:rsid w:val="00C17A43"/>
    <w:rsid w:val="00C17B86"/>
    <w:rsid w:val="00C17F64"/>
    <w:rsid w:val="00C20533"/>
    <w:rsid w:val="00C2068A"/>
    <w:rsid w:val="00C2128D"/>
    <w:rsid w:val="00C216A5"/>
    <w:rsid w:val="00C23413"/>
    <w:rsid w:val="00C23ED0"/>
    <w:rsid w:val="00C24E99"/>
    <w:rsid w:val="00C2508A"/>
    <w:rsid w:val="00C258A3"/>
    <w:rsid w:val="00C307D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41AA"/>
    <w:rsid w:val="00C453D0"/>
    <w:rsid w:val="00C45763"/>
    <w:rsid w:val="00C458BE"/>
    <w:rsid w:val="00C4736B"/>
    <w:rsid w:val="00C4751D"/>
    <w:rsid w:val="00C517DD"/>
    <w:rsid w:val="00C52962"/>
    <w:rsid w:val="00C52F4D"/>
    <w:rsid w:val="00C5385C"/>
    <w:rsid w:val="00C54A50"/>
    <w:rsid w:val="00C54EFD"/>
    <w:rsid w:val="00C55115"/>
    <w:rsid w:val="00C55C5B"/>
    <w:rsid w:val="00C607CC"/>
    <w:rsid w:val="00C6121F"/>
    <w:rsid w:val="00C61876"/>
    <w:rsid w:val="00C62E5D"/>
    <w:rsid w:val="00C6303C"/>
    <w:rsid w:val="00C63216"/>
    <w:rsid w:val="00C63A1E"/>
    <w:rsid w:val="00C64619"/>
    <w:rsid w:val="00C64D8F"/>
    <w:rsid w:val="00C65283"/>
    <w:rsid w:val="00C67574"/>
    <w:rsid w:val="00C67AFB"/>
    <w:rsid w:val="00C702F5"/>
    <w:rsid w:val="00C705FD"/>
    <w:rsid w:val="00C711F7"/>
    <w:rsid w:val="00C718DA"/>
    <w:rsid w:val="00C73F0C"/>
    <w:rsid w:val="00C74285"/>
    <w:rsid w:val="00C747AB"/>
    <w:rsid w:val="00C754F1"/>
    <w:rsid w:val="00C75D89"/>
    <w:rsid w:val="00C800AD"/>
    <w:rsid w:val="00C800EF"/>
    <w:rsid w:val="00C808C5"/>
    <w:rsid w:val="00C8235C"/>
    <w:rsid w:val="00C85862"/>
    <w:rsid w:val="00C863B2"/>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7CC"/>
    <w:rsid w:val="00CB13BD"/>
    <w:rsid w:val="00CB1C4A"/>
    <w:rsid w:val="00CB2791"/>
    <w:rsid w:val="00CB3E90"/>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5B06"/>
    <w:rsid w:val="00CE73CC"/>
    <w:rsid w:val="00CE793C"/>
    <w:rsid w:val="00CF1F10"/>
    <w:rsid w:val="00CF2106"/>
    <w:rsid w:val="00CF255C"/>
    <w:rsid w:val="00CF2D55"/>
    <w:rsid w:val="00CF4C57"/>
    <w:rsid w:val="00CF6A1E"/>
    <w:rsid w:val="00CF6EF2"/>
    <w:rsid w:val="00CF7EF1"/>
    <w:rsid w:val="00D00704"/>
    <w:rsid w:val="00D01DED"/>
    <w:rsid w:val="00D02126"/>
    <w:rsid w:val="00D023FD"/>
    <w:rsid w:val="00D02EB3"/>
    <w:rsid w:val="00D02EC8"/>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4D26"/>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7067"/>
    <w:rsid w:val="00D47350"/>
    <w:rsid w:val="00D477C1"/>
    <w:rsid w:val="00D47922"/>
    <w:rsid w:val="00D50EB6"/>
    <w:rsid w:val="00D520B4"/>
    <w:rsid w:val="00D526FD"/>
    <w:rsid w:val="00D529A7"/>
    <w:rsid w:val="00D57981"/>
    <w:rsid w:val="00D60BFD"/>
    <w:rsid w:val="00D61A5C"/>
    <w:rsid w:val="00D61D80"/>
    <w:rsid w:val="00D627D6"/>
    <w:rsid w:val="00D639FA"/>
    <w:rsid w:val="00D64474"/>
    <w:rsid w:val="00D6658F"/>
    <w:rsid w:val="00D6671A"/>
    <w:rsid w:val="00D70C48"/>
    <w:rsid w:val="00D70EF9"/>
    <w:rsid w:val="00D71D75"/>
    <w:rsid w:val="00D72DFA"/>
    <w:rsid w:val="00D7355E"/>
    <w:rsid w:val="00D73D24"/>
    <w:rsid w:val="00D76BB5"/>
    <w:rsid w:val="00D770C2"/>
    <w:rsid w:val="00D77C3C"/>
    <w:rsid w:val="00D77C71"/>
    <w:rsid w:val="00D8168A"/>
    <w:rsid w:val="00D8189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204"/>
    <w:rsid w:val="00DA38F4"/>
    <w:rsid w:val="00DA4F8C"/>
    <w:rsid w:val="00DA7F44"/>
    <w:rsid w:val="00DB060B"/>
    <w:rsid w:val="00DB081C"/>
    <w:rsid w:val="00DB14D4"/>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54D2"/>
    <w:rsid w:val="00DE6486"/>
    <w:rsid w:val="00DF1FBF"/>
    <w:rsid w:val="00DF226E"/>
    <w:rsid w:val="00DF39D9"/>
    <w:rsid w:val="00DF3A92"/>
    <w:rsid w:val="00DF4769"/>
    <w:rsid w:val="00DF50F0"/>
    <w:rsid w:val="00E00733"/>
    <w:rsid w:val="00E015E9"/>
    <w:rsid w:val="00E01C6C"/>
    <w:rsid w:val="00E022B1"/>
    <w:rsid w:val="00E05BB3"/>
    <w:rsid w:val="00E05CBB"/>
    <w:rsid w:val="00E06374"/>
    <w:rsid w:val="00E0787D"/>
    <w:rsid w:val="00E11A08"/>
    <w:rsid w:val="00E12359"/>
    <w:rsid w:val="00E129E2"/>
    <w:rsid w:val="00E130EE"/>
    <w:rsid w:val="00E13FC5"/>
    <w:rsid w:val="00E203C7"/>
    <w:rsid w:val="00E20C42"/>
    <w:rsid w:val="00E20E82"/>
    <w:rsid w:val="00E22684"/>
    <w:rsid w:val="00E2439B"/>
    <w:rsid w:val="00E254E4"/>
    <w:rsid w:val="00E26436"/>
    <w:rsid w:val="00E26B7C"/>
    <w:rsid w:val="00E277EC"/>
    <w:rsid w:val="00E31BDF"/>
    <w:rsid w:val="00E32AF2"/>
    <w:rsid w:val="00E332EF"/>
    <w:rsid w:val="00E33AEB"/>
    <w:rsid w:val="00E354DC"/>
    <w:rsid w:val="00E35654"/>
    <w:rsid w:val="00E35781"/>
    <w:rsid w:val="00E366F4"/>
    <w:rsid w:val="00E36C7C"/>
    <w:rsid w:val="00E3709C"/>
    <w:rsid w:val="00E40489"/>
    <w:rsid w:val="00E406CF"/>
    <w:rsid w:val="00E42A0C"/>
    <w:rsid w:val="00E42ED0"/>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A37"/>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90B"/>
    <w:rsid w:val="00E93298"/>
    <w:rsid w:val="00E9560F"/>
    <w:rsid w:val="00E958C4"/>
    <w:rsid w:val="00E96356"/>
    <w:rsid w:val="00E970C2"/>
    <w:rsid w:val="00EA00E0"/>
    <w:rsid w:val="00EA00FF"/>
    <w:rsid w:val="00EA03DF"/>
    <w:rsid w:val="00EA0B4C"/>
    <w:rsid w:val="00EA0E80"/>
    <w:rsid w:val="00EA1FF7"/>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A8D"/>
    <w:rsid w:val="00EB68AD"/>
    <w:rsid w:val="00EB6922"/>
    <w:rsid w:val="00EB7A9C"/>
    <w:rsid w:val="00EC0A1F"/>
    <w:rsid w:val="00EC0FF2"/>
    <w:rsid w:val="00EC14B5"/>
    <w:rsid w:val="00EC1BE0"/>
    <w:rsid w:val="00EC283D"/>
    <w:rsid w:val="00EC34EE"/>
    <w:rsid w:val="00EC369B"/>
    <w:rsid w:val="00EC430E"/>
    <w:rsid w:val="00EC4F61"/>
    <w:rsid w:val="00EC5337"/>
    <w:rsid w:val="00EC7241"/>
    <w:rsid w:val="00EC756F"/>
    <w:rsid w:val="00EC7CB2"/>
    <w:rsid w:val="00EC7E71"/>
    <w:rsid w:val="00EC7F04"/>
    <w:rsid w:val="00ED14A4"/>
    <w:rsid w:val="00ED1FB9"/>
    <w:rsid w:val="00ED2844"/>
    <w:rsid w:val="00ED29C6"/>
    <w:rsid w:val="00ED2D65"/>
    <w:rsid w:val="00ED36BB"/>
    <w:rsid w:val="00ED430E"/>
    <w:rsid w:val="00ED456A"/>
    <w:rsid w:val="00ED55C5"/>
    <w:rsid w:val="00ED6742"/>
    <w:rsid w:val="00ED6B73"/>
    <w:rsid w:val="00EE3622"/>
    <w:rsid w:val="00EE3BFB"/>
    <w:rsid w:val="00EE3C79"/>
    <w:rsid w:val="00EE468A"/>
    <w:rsid w:val="00EE485E"/>
    <w:rsid w:val="00EE569B"/>
    <w:rsid w:val="00EE5AE1"/>
    <w:rsid w:val="00EF01BF"/>
    <w:rsid w:val="00EF1642"/>
    <w:rsid w:val="00EF55CB"/>
    <w:rsid w:val="00EF5942"/>
    <w:rsid w:val="00F0034A"/>
    <w:rsid w:val="00F006B2"/>
    <w:rsid w:val="00F00DBA"/>
    <w:rsid w:val="00F022CF"/>
    <w:rsid w:val="00F024CB"/>
    <w:rsid w:val="00F02DDF"/>
    <w:rsid w:val="00F03A6C"/>
    <w:rsid w:val="00F06751"/>
    <w:rsid w:val="00F077F8"/>
    <w:rsid w:val="00F07AE3"/>
    <w:rsid w:val="00F10292"/>
    <w:rsid w:val="00F103A2"/>
    <w:rsid w:val="00F10FE0"/>
    <w:rsid w:val="00F137D6"/>
    <w:rsid w:val="00F13DF4"/>
    <w:rsid w:val="00F13F1B"/>
    <w:rsid w:val="00F14A53"/>
    <w:rsid w:val="00F17AF6"/>
    <w:rsid w:val="00F20189"/>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1E89"/>
    <w:rsid w:val="00F43285"/>
    <w:rsid w:val="00F444D9"/>
    <w:rsid w:val="00F459DA"/>
    <w:rsid w:val="00F46CB3"/>
    <w:rsid w:val="00F514E1"/>
    <w:rsid w:val="00F51EF1"/>
    <w:rsid w:val="00F522B0"/>
    <w:rsid w:val="00F525FD"/>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1437"/>
    <w:rsid w:val="00F8263E"/>
    <w:rsid w:val="00F8270F"/>
    <w:rsid w:val="00F828E6"/>
    <w:rsid w:val="00F83D4C"/>
    <w:rsid w:val="00F84436"/>
    <w:rsid w:val="00F859B4"/>
    <w:rsid w:val="00F85FA3"/>
    <w:rsid w:val="00F8642C"/>
    <w:rsid w:val="00F87D1B"/>
    <w:rsid w:val="00F90093"/>
    <w:rsid w:val="00F9089E"/>
    <w:rsid w:val="00F9368D"/>
    <w:rsid w:val="00F95528"/>
    <w:rsid w:val="00F95F7D"/>
    <w:rsid w:val="00F9634B"/>
    <w:rsid w:val="00F97EE6"/>
    <w:rsid w:val="00FA08D9"/>
    <w:rsid w:val="00FA1119"/>
    <w:rsid w:val="00FA1AD2"/>
    <w:rsid w:val="00FA30F2"/>
    <w:rsid w:val="00FA3ED5"/>
    <w:rsid w:val="00FA4CCD"/>
    <w:rsid w:val="00FA5EF3"/>
    <w:rsid w:val="00FA682D"/>
    <w:rsid w:val="00FA7574"/>
    <w:rsid w:val="00FA7E30"/>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DAD"/>
    <w:rsid w:val="00FD66C7"/>
    <w:rsid w:val="00FD73B6"/>
    <w:rsid w:val="00FE08BD"/>
    <w:rsid w:val="00FE1ACE"/>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7312"/>
    <w:rsid w:val="44E63F1E"/>
    <w:rsid w:val="45AC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0AD26"/>
  <w15:docId w15:val="{E059BDC7-E3ED-4F37-97D8-AE57E18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styleId="ae">
    <w:name w:val="List Paragraph"/>
    <w:basedOn w:val="a"/>
    <w:uiPriority w:val="34"/>
    <w:qFormat/>
    <w:pPr>
      <w:ind w:firstLineChars="200" w:firstLine="420"/>
    </w:pPr>
  </w:style>
  <w:style w:type="paragraph" w:styleId="af">
    <w:name w:val="Revision"/>
    <w:hidden/>
    <w:uiPriority w:val="99"/>
    <w:unhideWhenUsed/>
    <w:rsid w:val="0042092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董办K</cp:lastModifiedBy>
  <cp:revision>16</cp:revision>
  <cp:lastPrinted>2022-02-09T01:17:00Z</cp:lastPrinted>
  <dcterms:created xsi:type="dcterms:W3CDTF">2025-09-16T08:14:00Z</dcterms:created>
  <dcterms:modified xsi:type="dcterms:W3CDTF">2025-09-16T09:27:00Z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eyJoZGlkIjoiODNmNjA5ZjY0NmYwODhjYTdlNjIxYTIwY2UyZmU2ODYiLCJ1c2VySWQiOiI1MzU5ODExODgifQ==</vt:lpwstr>
  </property>
  <property fmtid="{D5CDD505-2E9C-101B-9397-08002B2CF9AE}" pid="3" name="KSOProductBuildVer">
    <vt:lpwstr>2052-12.1.0.20784</vt:lpwstr>
  </property>
  <property fmtid="{D5CDD505-2E9C-101B-9397-08002B2CF9AE}" pid="4" name="ICV">
    <vt:lpwstr>61B9C94BFEF340B7957DC27B96F11494_12</vt:lpwstr>
  </property>
</Properties>
</file>