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EBD3" w14:textId="77777777" w:rsidR="008544B0" w:rsidRDefault="000577C7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证券简称：莱特光电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>688150</w:t>
      </w:r>
    </w:p>
    <w:p w14:paraId="5C0ED973" w14:textId="77777777" w:rsidR="008544B0" w:rsidRDefault="000577C7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陕西莱特光电材料股份有限公司</w:t>
      </w:r>
    </w:p>
    <w:p w14:paraId="4BE72FEF" w14:textId="77777777" w:rsidR="008544B0" w:rsidRDefault="000577C7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投资者关系活动记录表</w:t>
      </w:r>
    </w:p>
    <w:p w14:paraId="00A6509C" w14:textId="314BC8E9" w:rsidR="008544B0" w:rsidRDefault="000577C7">
      <w:pPr>
        <w:keepNext/>
        <w:keepLines/>
        <w:spacing w:before="260" w:after="260" w:line="360" w:lineRule="auto"/>
        <w:jc w:val="right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5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-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009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160"/>
      </w:tblGrid>
      <w:tr w:rsidR="008544B0" w14:paraId="2E10A4B6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07B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CD0" w14:textId="0AEB2973" w:rsidR="008544B0" w:rsidRDefault="00FF05A7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OLE_LINK8"/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bookmarkEnd w:id="0"/>
            <w:r w:rsidR="000577C7">
              <w:rPr>
                <w:rFonts w:ascii="Wingdings 2" w:eastAsia="宋体" w:hAnsi="Wingdings 2" w:cs="Times New Roman" w:hint="eastAsia"/>
                <w:sz w:val="24"/>
                <w:lang w:bidi="ar"/>
              </w:rPr>
              <w:t>特定</w:t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对象调研</w:t>
            </w:r>
            <w:r w:rsidR="000577C7"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 w:rsidR="000577C7"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分析</w:t>
            </w:r>
            <w:proofErr w:type="gramStart"/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师会议</w:t>
            </w:r>
            <w:proofErr w:type="gramEnd"/>
            <w:r w:rsidR="000577C7"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</w:t>
            </w:r>
            <w:r w:rsidR="000577C7"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媒体采访</w:t>
            </w:r>
            <w:r w:rsidR="000577C7">
              <w:rPr>
                <w:rFonts w:ascii="Times New Roman" w:eastAsia="宋体" w:hAnsi="Times New Roman" w:cs="Times New Roman"/>
                <w:sz w:val="24"/>
                <w:lang w:bidi="ar"/>
              </w:rPr>
              <w:br/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52"/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业绩说明会</w:t>
            </w:r>
            <w:r w:rsidR="000577C7"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 </w:t>
            </w:r>
            <w:bookmarkStart w:id="1" w:name="OLE_LINK9"/>
            <w:r w:rsidR="000577C7"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bookmarkEnd w:id="1"/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新闻发布会</w:t>
            </w:r>
            <w:r w:rsidR="000577C7"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 w:rsidR="000577C7"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路演活动</w:t>
            </w:r>
          </w:p>
          <w:p w14:paraId="407AAC8C" w14:textId="2C8C3894" w:rsidR="008544B0" w:rsidRDefault="00FF05A7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Wingdings 2" w:eastAsia="宋体" w:hAnsi="Wingdings 2" w:cs="Times New Roman" w:hint="eastAsia"/>
                <w:sz w:val="24"/>
                <w:lang w:bidi="ar"/>
              </w:rPr>
              <w:t>现</w:t>
            </w:r>
            <w:r w:rsidR="000577C7"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场参观</w:t>
            </w:r>
            <w:r w:rsidR="000577C7"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Wingdings 2" w:eastAsia="宋体" w:hAnsi="Wingdings 2" w:cs="Times New Roman" w:hint="eastAsia"/>
                <w:sz w:val="24"/>
                <w:lang w:bidi="ar"/>
              </w:rPr>
              <w:t>电话会议</w:t>
            </w:r>
            <w:r w:rsidR="000577C7"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</w:t>
            </w:r>
            <w:r w:rsidR="000577C7"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 w:rsidR="000577C7">
              <w:rPr>
                <w:rFonts w:ascii="Wingdings 2" w:eastAsia="Wingdings 2" w:hAnsi="Wingdings 2" w:cs="Wingdings 2"/>
                <w:bCs/>
                <w:iCs/>
                <w:sz w:val="24"/>
                <w:lang w:bidi="ar"/>
              </w:rPr>
              <w:t></w:t>
            </w:r>
            <w:r w:rsidR="000577C7"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 w:rsidR="000577C7">
              <w:rPr>
                <w:rFonts w:ascii="Wingdings 2" w:eastAsia="宋体" w:hAnsi="Wingdings 2" w:cs="Wingdings 2" w:hint="eastAsia"/>
                <w:sz w:val="24"/>
                <w:szCs w:val="22"/>
                <w:lang w:bidi="ar"/>
              </w:rPr>
              <w:t>其他</w:t>
            </w:r>
            <w:r w:rsidR="000577C7"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 w:rsidR="000577C7"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 w:rsidR="000577C7"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 w:rsidR="000577C7"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</w:p>
        </w:tc>
      </w:tr>
      <w:tr w:rsidR="008544B0" w14:paraId="47896250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C74" w14:textId="77777777" w:rsidR="008544B0" w:rsidRDefault="000577C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303" w14:textId="72D78964" w:rsidR="008544B0" w:rsidRDefault="00FF05A7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线上参与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2025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年半年度</w:t>
            </w:r>
            <w:proofErr w:type="gramStart"/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科创板</w:t>
            </w:r>
            <w:proofErr w:type="gramEnd"/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新材料行业集体业绩说明会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的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全体投资者</w:t>
            </w:r>
          </w:p>
        </w:tc>
      </w:tr>
      <w:tr w:rsidR="008544B0" w14:paraId="107D2BD5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C3C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12F" w14:textId="448719C9" w:rsidR="008544B0" w:rsidRDefault="000577C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 w:rsid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 w:rsid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18</w:t>
            </w:r>
            <w:r w:rsid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15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00-17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00</w:t>
            </w:r>
          </w:p>
        </w:tc>
      </w:tr>
      <w:tr w:rsidR="008544B0" w14:paraId="46E30C5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884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8C" w14:textId="2DF26396" w:rsidR="008544B0" w:rsidRDefault="00FF05A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proofErr w:type="gramStart"/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上证路演</w:t>
            </w:r>
            <w:proofErr w:type="gramEnd"/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中心（网址：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https://roadshow.sseinfo.com/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网络</w:t>
            </w:r>
            <w:r w:rsidR="000577C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文字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互动</w:t>
            </w:r>
          </w:p>
        </w:tc>
      </w:tr>
      <w:tr w:rsidR="008544B0" w14:paraId="5F1C0177" w14:textId="77777777">
        <w:trPr>
          <w:trHeight w:val="65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CB7" w14:textId="77777777" w:rsidR="008544B0" w:rsidRDefault="000577C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347" w14:textId="43F98B26" w:rsidR="00FF05A7" w:rsidRDefault="00FF05A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董事长、总经理：王亚龙先生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副总经理：孙占义先生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</w:p>
          <w:p w14:paraId="5A420AF0" w14:textId="1CD677F9" w:rsidR="00FF05A7" w:rsidRDefault="00FF05A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研发总工程师：冯震先生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董事会秘书：潘香婷女士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</w:p>
          <w:p w14:paraId="540DB609" w14:textId="446A8B8A" w:rsidR="008544B0" w:rsidRDefault="00FF05A7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财务总监：刘霜女士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</w:t>
            </w:r>
            <w:r w:rsidRPr="00FF05A7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独立董事：卫婵女士</w:t>
            </w:r>
          </w:p>
        </w:tc>
      </w:tr>
      <w:tr w:rsidR="008544B0" w14:paraId="48414A0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BEA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40D" w14:textId="2AACAF1D" w:rsidR="008544B0" w:rsidRDefault="000577C7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公司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2025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年上半年营收和净利润均实现显著增长，请问是有哪些因素导致的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？</w:t>
            </w:r>
          </w:p>
          <w:p w14:paraId="11FC382B" w14:textId="7E21193D" w:rsidR="008544B0" w:rsidRDefault="00FF05A7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</w:pP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尊敬的投资者，您好！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年上半年，公司实现营业收入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2.92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亿元，同比增长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18.84%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；实现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归母净利润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1.26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亿元，同比增长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36.74%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。公司营收与净利润实现双增长，主要受以下因素影响：（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）</w:t>
            </w:r>
            <w:bookmarkStart w:id="2" w:name="OLE_LINK2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下游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市场需求持续扩容</w:t>
            </w:r>
            <w:bookmarkEnd w:id="2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显示技术在智能手机、笔记本电脑、车载设备、智能穿戴等终端领域渗透率持续提升，直接带动下游面板厂商需求增长，进而推动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终端材料市场需求增长，为公司业绩增长奠定市场基础</w:t>
            </w:r>
            <w:r w:rsidR="00536222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（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）核</w:t>
            </w:r>
            <w:bookmarkStart w:id="3" w:name="OLE_LINK1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心产品与新品共同发力。公司核心产品</w:t>
            </w:r>
            <w:bookmarkEnd w:id="3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Red Prime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材料、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Green Host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材料保持稳定量产供应，同时新产品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Red Host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材料销量稳步爬坡，逐步向规模化量产迈进，多产品梯队共同驱动收入增长，上半年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终端材料销售收入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2.62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亿元，同比增幅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31.63%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，成为营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收增长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的关键引擎。（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）降本增效提升盈利水平。公司依托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有机材料全产业链一体化模式，通过工艺优化、强化精细化管理体系、优化生产流程等方式持续降本增效，通过多维度举措实现成本优化与效率提升。感谢您的关注！</w:t>
            </w:r>
          </w:p>
          <w:p w14:paraId="28709C41" w14:textId="04C52EC6" w:rsidR="008544B0" w:rsidRDefault="000577C7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lastRenderedPageBreak/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：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领导好，请教您，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1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、公司所在的新材料行业景气度如何，有哪些应对举措？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2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、海内外市场在手</w:t>
            </w:r>
            <w:proofErr w:type="gramStart"/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订单环</w:t>
            </w:r>
            <w:proofErr w:type="gramEnd"/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比、同比变化情况？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3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、新项目研发有哪些突破？</w:t>
            </w:r>
          </w:p>
          <w:p w14:paraId="794F0C10" w14:textId="398D4695" w:rsidR="004D65CB" w:rsidRPr="004D65CB" w:rsidRDefault="004D65CB" w:rsidP="004D65CB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尊敬的投资者，您好！公司所处的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有机材料行业当前呈现出较高景气度。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技术在智能手机、平板、笔电、车载显示等终端应用市场加速渗透，市场份额逐步扩大。预计到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年，中国大陆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有机材料市场规模将达到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74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亿元，同比增长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30%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。同时，全球迎来全新的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8.6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代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AMOLED</w:t>
            </w:r>
            <w:proofErr w:type="gramStart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产线建设</w:t>
            </w:r>
            <w:proofErr w:type="gramEnd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周期，将为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有机发光材料需求带来大幅增长。公司主要应对举措包括：（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）研发与产品端：持续加大研发投入，强化新产品、新技术开发，完善产品系列化布局，不断提升产品性能和质量以满足下游市场对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材料的更高需求。同时，密切关注行业技术动态，积极布局蓝色磷光、叠层器件连接层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CGL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材料、窄光谱</w:t>
            </w:r>
            <w:proofErr w:type="gramStart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高色域</w:t>
            </w:r>
            <w:proofErr w:type="gramEnd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MRTADF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材料等前沿技术。（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）知识产权端：公司加强知识产权布局与保护，通过专利申请巩固技术优势，牢固公司技术护城河，保障产品核心竞争力。（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）市场与客户端：终端材料领域坚持“产品系列化，客户全覆盖”的市场战略，以丰富产品矩阵推进新客户拓展；中间体领域与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SOLUS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P&amp;H</w:t>
            </w:r>
            <w:r w:rsidR="0016272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Tech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SFC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等国际知名终端材料企业合作，进一步打开海外市场。</w:t>
            </w:r>
          </w:p>
          <w:p w14:paraId="688EC349" w14:textId="093D16FF" w:rsidR="004D65CB" w:rsidRPr="004D65CB" w:rsidRDefault="00427AC8" w:rsidP="004D65CB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年上半年，从业务进展看，国内市场依托核心产品</w:t>
            </w: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Red Prime</w:t>
            </w: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材料、</w:t>
            </w: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Green Host</w:t>
            </w:r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材料等稳定供应及迭代升级，收入</w:t>
            </w:r>
            <w:proofErr w:type="gramStart"/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同比呈</w:t>
            </w:r>
            <w:proofErr w:type="gramEnd"/>
            <w:r w:rsidRPr="00427AC8">
              <w:rPr>
                <w:rFonts w:ascii="Times New Roman" w:eastAsia="宋体" w:hAnsi="Times New Roman" w:cs="Times New Roman" w:hint="eastAsia"/>
                <w:szCs w:val="21"/>
              </w:rPr>
              <w:t>增长态势；海外市场产品主要系中间体业务，因客户及产品结构优化，合作项目处于推进阶段，订单逐步培育放量，具体可关注公司后续披露信息</w:t>
            </w:r>
            <w:r w:rsidR="004D65CB" w:rsidRPr="004D65CB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9E77920" w14:textId="66B165B8" w:rsidR="004D65CB" w:rsidRDefault="004D65CB" w:rsidP="004D65CB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新项目研发进展方面，公司持续加强新产品及新技术开发力度，不断完善产品系列化布局。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年上半年，公司终端材料重点开展了发光层红、绿、蓝三色主体材料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(Host)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、发光功能材料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(Prime)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及掺杂材料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(Dopant)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的开发，其中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Red Prime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材料、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Green Host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材料及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Red Host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材料随下游客户需求持续进行迭代升级；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Green Prime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材料处于客户量产测试阶段；蓝光系列材料在客户端积极推进验证。此外，公司积极布局蓝色磷光、叠层器件连接层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CGL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材料、窄光谱</w:t>
            </w:r>
            <w:proofErr w:type="gramStart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高色域</w:t>
            </w:r>
            <w:proofErr w:type="gramEnd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MRTADF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材料等相关前沿技术。中间体方面，重点推进</w:t>
            </w:r>
            <w:proofErr w:type="gramStart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了氘代类</w:t>
            </w:r>
            <w:proofErr w:type="gramEnd"/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产品及面向海外日韩终端材料客户的产品研发，其中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支材料实现量产。钙钛矿项目围绕材料研发、客户协同、知识产权及团队建设多方面推进，深化与高校及科研机构的产学研合作，针对钙钛矿基材和缺陷调控添加剂等材料，在合成工艺、性能优化等方面取得阶段性成果，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D65CB">
              <w:rPr>
                <w:rFonts w:ascii="Times New Roman" w:eastAsia="宋体" w:hAnsi="Times New Roman" w:cs="Times New Roman" w:hint="eastAsia"/>
                <w:szCs w:val="21"/>
              </w:rPr>
              <w:t>款添加剂产品在客户端测试结果较好。感谢您的关注！</w:t>
            </w:r>
            <w:bookmarkStart w:id="4" w:name="OLE_LINK10"/>
            <w:bookmarkStart w:id="5" w:name="OLE_LINK11"/>
            <w:bookmarkStart w:id="6" w:name="OLE_LINK5"/>
            <w:bookmarkStart w:id="7" w:name="OLE_LINK6"/>
          </w:p>
          <w:p w14:paraId="4739AC80" w14:textId="7AD0DE27" w:rsidR="008544B0" w:rsidRDefault="000577C7" w:rsidP="004D65CB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请问公司对钙钛矿材料的市场判断和商业化路径是怎样的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？</w:t>
            </w:r>
          </w:p>
          <w:p w14:paraId="6BA80456" w14:textId="14106D11" w:rsidR="00FF05A7" w:rsidRPr="00FF05A7" w:rsidRDefault="00FF05A7" w:rsidP="00FF05A7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尊敬的投资者，您好！钙钛矿技术的应用前景广阔，具有较大的发展潜力。钙钛矿器件具备轻薄、柔性、可半透明及弱光响应优异等特性，更重要的是高光电转化效率使得钙钛矿太阳能电池在光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伏市场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展现出强劲的竞争力，与此同时，钙钛矿太阳能电池制备工艺简洁高效、生产速度快，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未来量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产的成本优势将十分显著。在太阳能电池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目前同期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技术路线中，钙钛矿材料的发展及迭代速度相对较快，同时国家给与诸多政策支持其发展，未来前景广阔。</w:t>
            </w:r>
          </w:p>
          <w:p w14:paraId="06D70296" w14:textId="1ABCD43F" w:rsidR="008544B0" w:rsidRDefault="00FF05A7" w:rsidP="00FF05A7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目前，公司钙钛矿项目围绕材料研发、客户协同、知识产权及团队建设多方面推进，深化与高校及科研机构的产学研合作，针对钙钛矿基材、缺陷调控添加剂和传输等材料，在材料设计、合成工艺、性能优化等方面取得阶段性成果，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款添加剂产品在客户端测试结果较好。感谢您的关注！</w:t>
            </w:r>
          </w:p>
          <w:p w14:paraId="626F3562" w14:textId="324E1BE6" w:rsidR="00FF05A7" w:rsidRDefault="00FF05A7" w:rsidP="00FF05A7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请问公司当前哪些具体产品系列贡献最大？</w:t>
            </w:r>
          </w:p>
          <w:p w14:paraId="4B674479" w14:textId="5261C7D0" w:rsidR="00FF05A7" w:rsidRDefault="00FF05A7" w:rsidP="00FF05A7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尊敬的投资者，您好！公司当前贡献最大的产品系列为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终端材料。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年半年度，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终端材料收入为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642CC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2642C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642CC">
              <w:rPr>
                <w:rFonts w:ascii="Times New Roman" w:eastAsia="宋体" w:hAnsi="Times New Roman" w:cs="Times New Roman" w:hint="eastAsia"/>
                <w:szCs w:val="21"/>
              </w:rPr>
              <w:t>亿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元，同比增长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31.63%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，收入占比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89.79%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。其中，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Red Prime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材料及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Green Host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材料凭借优异的产品性能稳定量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产供应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并持续升级迭代；新产品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Red Host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材料稳步向规模化量产供货迈进，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Green Prime</w:t>
            </w:r>
            <w:r w:rsidRPr="00FF05A7">
              <w:rPr>
                <w:rFonts w:ascii="Times New Roman" w:eastAsia="宋体" w:hAnsi="Times New Roman" w:cs="Times New Roman" w:hint="eastAsia"/>
                <w:szCs w:val="21"/>
              </w:rPr>
              <w:t>材料处于量产测试阶段，蓝光系列及其他材料在客户端验证进展顺利，这些新产品未来有望逐步形成规模效应，成为业绩增长新引擎。感谢您的关注！</w:t>
            </w:r>
          </w:p>
          <w:p w14:paraId="00882BAD" w14:textId="2F29A746" w:rsidR="00FF05A7" w:rsidRPr="00FF05A7" w:rsidRDefault="000577C7" w:rsidP="00FF05A7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 w:rsid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当前，全球迎来全新的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8.6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代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AMOLED</w:t>
            </w:r>
            <w:proofErr w:type="gramStart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产线建设</w:t>
            </w:r>
            <w:proofErr w:type="gramEnd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周期，国内外面板厂商三星、京东方、维信诺、华星光</w:t>
            </w:r>
            <w:proofErr w:type="gramStart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电纷纷</w:t>
            </w:r>
            <w:proofErr w:type="gramEnd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宣布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8.6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代生产线的建设规划，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OLED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产业也有望迎来全新增长空间，目前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8.6</w:t>
            </w:r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代</w:t>
            </w:r>
            <w:proofErr w:type="gramStart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线进展</w:t>
            </w:r>
            <w:proofErr w:type="gramEnd"/>
            <w:r w:rsidR="00FF05A7" w:rsidRPr="00FF05A7"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>如何？公司材料业务会如何收益？</w:t>
            </w:r>
          </w:p>
          <w:bookmarkEnd w:id="4"/>
          <w:bookmarkEnd w:id="5"/>
          <w:p w14:paraId="7293A09D" w14:textId="77777777" w:rsidR="00FF05A7" w:rsidRPr="00FF05A7" w:rsidRDefault="00FF05A7" w:rsidP="00FF05A7">
            <w:pPr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尊敬的投资者，您好！面对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终端应用市场的巨大潜力和发展趋势，国内外面板厂商加大对高世代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产线的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投资。根据公开资料，京东方第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8.6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代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AMOLED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生产线设计产能为每月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3.2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万片基板，主要生产笔记本电脑、平板电脑等智能终端高端触控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显示屏。该项目预期今年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12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月点亮，明年年底量产，将有力推动全球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显示产业向中尺寸领域加速迈进。</w:t>
            </w:r>
          </w:p>
          <w:p w14:paraId="40AF2F68" w14:textId="636A3CA5" w:rsidR="008544B0" w:rsidRDefault="00536222" w:rsidP="00FF05A7">
            <w:pPr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在材料需求方面，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8.6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代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proofErr w:type="gramStart"/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产线的</w:t>
            </w:r>
            <w:proofErr w:type="gramEnd"/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基板面积为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6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代线的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2.16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倍，且采用叠层发光器件制备工艺，发光材料用量将显著增加。一直以来，公司与头部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面板厂商保持紧密合作，未来随着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8.6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代线投产，公司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OLED</w:t>
            </w:r>
            <w:r w:rsidRPr="00536222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终端材料业务将迎来更为广阔的发展空间。感谢您的关注！</w:t>
            </w:r>
            <w:bookmarkStart w:id="8" w:name="OLE_LINK7"/>
          </w:p>
          <w:p w14:paraId="566539F2" w14:textId="4AD11EDC" w:rsidR="008544B0" w:rsidRDefault="000577C7">
            <w:pPr>
              <w:spacing w:before="50" w:line="360" w:lineRule="auto"/>
              <w:ind w:firstLineChars="200" w:firstLine="422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问题</w:t>
            </w:r>
            <w:r w:rsidR="00FF05A7"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：</w:t>
            </w:r>
            <w:r w:rsidR="00FF05A7" w:rsidRPr="00FF05A7"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公司在股东回报方面有何规划</w:t>
            </w:r>
            <w:r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？</w:t>
            </w:r>
          </w:p>
          <w:p w14:paraId="149997A7" w14:textId="55523EE9" w:rsidR="008544B0" w:rsidRPr="00FF05A7" w:rsidRDefault="00FF05A7" w:rsidP="00FF05A7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lang w:bidi="ar"/>
              </w:rPr>
            </w:pP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lastRenderedPageBreak/>
              <w:t>尊敬的投资者，您好！公司专注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OLED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有机材料领域，通过持续研发创新保持技术优势，推动业务发展，以良好的业绩表现回馈股东。股份回购方面，公司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2024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年使用资金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4,999.12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万元完成回购股份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280.48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万股，今年上半年开始新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一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轮回购计划，拟使用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5,000-10,000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万元进行股份回购，截至目前已使用资金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5,000.53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万元回购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211.96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万股。分红方面，自上市以来，公司坚持实施积极的分红政策，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2022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年至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2024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年，公司已累计实施现金分红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1.65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亿元，分别占当年净利润的比例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38.15%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、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31.27%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和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59.97%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，其中，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2024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年实行了中期分红和年度分红两次分红；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年半年度，公司拟派发现金红利人民币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7,189.90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万元（含税），占公司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年半年度</w:t>
            </w:r>
            <w:proofErr w:type="gramStart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归母净利润</w:t>
            </w:r>
            <w:proofErr w:type="gramEnd"/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的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56.85%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。此外，今年上半年，公司推出《未来三年（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2025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-2027</w:t>
            </w:r>
            <w:r w:rsidRPr="00FF05A7">
              <w:rPr>
                <w:rFonts w:ascii="Times New Roman" w:eastAsia="宋体" w:hAnsi="Times New Roman" w:cs="Times New Roman" w:hint="eastAsia"/>
                <w:color w:val="000000" w:themeColor="text1"/>
                <w:lang w:bidi="ar"/>
              </w:rPr>
              <w:t>年）股东分红回报规划》，落实打造“长期、稳定、可持续”的股东价值回报机制。感谢您的关注！</w:t>
            </w:r>
            <w:bookmarkEnd w:id="6"/>
            <w:bookmarkEnd w:id="7"/>
            <w:bookmarkEnd w:id="8"/>
          </w:p>
        </w:tc>
      </w:tr>
      <w:tr w:rsidR="008544B0" w14:paraId="41F5E8D7" w14:textId="77777777">
        <w:trPr>
          <w:trHeight w:val="1165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B37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lastRenderedPageBreak/>
              <w:t>是否涉及应当披露重大信息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92D" w14:textId="77777777" w:rsidR="008544B0" w:rsidRDefault="000577C7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:rsidR="008544B0" w14:paraId="2A64CD41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DE9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13" w14:textId="796698A2" w:rsidR="008544B0" w:rsidRDefault="00B81268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</w:tr>
      <w:tr w:rsidR="008544B0" w14:paraId="79855557" w14:textId="77777777">
        <w:trPr>
          <w:trHeight w:val="69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A1D" w14:textId="77777777" w:rsidR="008544B0" w:rsidRDefault="000577C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439" w14:textId="47710429" w:rsidR="008544B0" w:rsidRDefault="000577C7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 w:rsidR="00B81268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1</w:t>
            </w:r>
            <w:r w:rsidR="00DF4262"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</w:p>
        </w:tc>
      </w:tr>
    </w:tbl>
    <w:p w14:paraId="6853BF83" w14:textId="5E18D99B" w:rsidR="008544B0" w:rsidRDefault="008544B0"/>
    <w:sectPr w:rsidR="00854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5" w:bottom="851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E7B4" w14:textId="77777777" w:rsidR="000577C7" w:rsidRDefault="000577C7" w:rsidP="000577C7">
      <w:r>
        <w:separator/>
      </w:r>
    </w:p>
  </w:endnote>
  <w:endnote w:type="continuationSeparator" w:id="0">
    <w:p w14:paraId="1B7B1951" w14:textId="77777777" w:rsidR="000577C7" w:rsidRDefault="000577C7" w:rsidP="0005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B9F7" w14:textId="77777777" w:rsidR="00BA1720" w:rsidRDefault="00BA17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1E99" w14:textId="77777777" w:rsidR="00BA1720" w:rsidRDefault="00BA172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A46C" w14:textId="77777777" w:rsidR="00BA1720" w:rsidRDefault="00BA17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A30F" w14:textId="77777777" w:rsidR="000577C7" w:rsidRDefault="000577C7" w:rsidP="000577C7">
      <w:r>
        <w:separator/>
      </w:r>
    </w:p>
  </w:footnote>
  <w:footnote w:type="continuationSeparator" w:id="0">
    <w:p w14:paraId="45DCBE64" w14:textId="77777777" w:rsidR="000577C7" w:rsidRDefault="000577C7" w:rsidP="0005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8AA4" w14:textId="77777777" w:rsidR="00BA1720" w:rsidRDefault="00BA17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D5FD" w14:textId="77777777" w:rsidR="00BA1720" w:rsidRDefault="00BA17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9353" w14:textId="77777777" w:rsidR="00BA1720" w:rsidRDefault="00BA17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3ODUzMWNiZTkwMWIxNGVhZWZiMWI2NDI3ZTRlZjkifQ=="/>
  </w:docVars>
  <w:rsids>
    <w:rsidRoot w:val="09ED5870"/>
    <w:rsid w:val="00003C2A"/>
    <w:rsid w:val="0000515D"/>
    <w:rsid w:val="000577C7"/>
    <w:rsid w:val="00106CC9"/>
    <w:rsid w:val="001521CD"/>
    <w:rsid w:val="0016272C"/>
    <w:rsid w:val="0016293D"/>
    <w:rsid w:val="001C4830"/>
    <w:rsid w:val="001D76C4"/>
    <w:rsid w:val="0023619C"/>
    <w:rsid w:val="00237321"/>
    <w:rsid w:val="002642CC"/>
    <w:rsid w:val="00276EFF"/>
    <w:rsid w:val="002870D4"/>
    <w:rsid w:val="002C27AD"/>
    <w:rsid w:val="002C79EC"/>
    <w:rsid w:val="002E1B69"/>
    <w:rsid w:val="00303410"/>
    <w:rsid w:val="003523A7"/>
    <w:rsid w:val="003559FE"/>
    <w:rsid w:val="003D0FEC"/>
    <w:rsid w:val="003E6839"/>
    <w:rsid w:val="0042313A"/>
    <w:rsid w:val="00427AC8"/>
    <w:rsid w:val="004359D4"/>
    <w:rsid w:val="00450E4E"/>
    <w:rsid w:val="00474F3C"/>
    <w:rsid w:val="004A0AB6"/>
    <w:rsid w:val="004A0BFB"/>
    <w:rsid w:val="004A7620"/>
    <w:rsid w:val="004D43CB"/>
    <w:rsid w:val="004D65CB"/>
    <w:rsid w:val="00536222"/>
    <w:rsid w:val="00542842"/>
    <w:rsid w:val="00561F8B"/>
    <w:rsid w:val="0060627F"/>
    <w:rsid w:val="00615A3A"/>
    <w:rsid w:val="00620A46"/>
    <w:rsid w:val="006C294A"/>
    <w:rsid w:val="006D3370"/>
    <w:rsid w:val="006E4FF9"/>
    <w:rsid w:val="006F20B2"/>
    <w:rsid w:val="007148CA"/>
    <w:rsid w:val="0073706F"/>
    <w:rsid w:val="00746C9F"/>
    <w:rsid w:val="00766A28"/>
    <w:rsid w:val="00815C71"/>
    <w:rsid w:val="008544B0"/>
    <w:rsid w:val="0085639F"/>
    <w:rsid w:val="00873154"/>
    <w:rsid w:val="008D1B2D"/>
    <w:rsid w:val="008E22D5"/>
    <w:rsid w:val="008E36A7"/>
    <w:rsid w:val="008E4F51"/>
    <w:rsid w:val="0091145E"/>
    <w:rsid w:val="0093731C"/>
    <w:rsid w:val="009E75B5"/>
    <w:rsid w:val="00A134AB"/>
    <w:rsid w:val="00A5717D"/>
    <w:rsid w:val="00A84A3B"/>
    <w:rsid w:val="00AA19BA"/>
    <w:rsid w:val="00AA4350"/>
    <w:rsid w:val="00AA68F1"/>
    <w:rsid w:val="00AC6E10"/>
    <w:rsid w:val="00B13BFE"/>
    <w:rsid w:val="00B31191"/>
    <w:rsid w:val="00B606CE"/>
    <w:rsid w:val="00B81268"/>
    <w:rsid w:val="00B85029"/>
    <w:rsid w:val="00BA1720"/>
    <w:rsid w:val="00C24C9F"/>
    <w:rsid w:val="00CE1C6F"/>
    <w:rsid w:val="00CE7835"/>
    <w:rsid w:val="00D12CC8"/>
    <w:rsid w:val="00D23546"/>
    <w:rsid w:val="00D348A8"/>
    <w:rsid w:val="00D532C9"/>
    <w:rsid w:val="00D617AF"/>
    <w:rsid w:val="00D707EA"/>
    <w:rsid w:val="00D92C52"/>
    <w:rsid w:val="00DE44F3"/>
    <w:rsid w:val="00DF2C40"/>
    <w:rsid w:val="00DF4262"/>
    <w:rsid w:val="00E32B36"/>
    <w:rsid w:val="00E503E9"/>
    <w:rsid w:val="00E63C4F"/>
    <w:rsid w:val="00E83E8E"/>
    <w:rsid w:val="00EB1320"/>
    <w:rsid w:val="00ED4DFD"/>
    <w:rsid w:val="00EF7F9D"/>
    <w:rsid w:val="00F10F74"/>
    <w:rsid w:val="00F62C66"/>
    <w:rsid w:val="00FA5753"/>
    <w:rsid w:val="00FC49A0"/>
    <w:rsid w:val="00FF05A7"/>
    <w:rsid w:val="01082668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4161C8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D426D0"/>
    <w:rsid w:val="09ED5870"/>
    <w:rsid w:val="0AA10DD3"/>
    <w:rsid w:val="0BDB744F"/>
    <w:rsid w:val="0C9F69A2"/>
    <w:rsid w:val="0D972EDF"/>
    <w:rsid w:val="0E245572"/>
    <w:rsid w:val="0F344D93"/>
    <w:rsid w:val="0F6807A4"/>
    <w:rsid w:val="0F692FC4"/>
    <w:rsid w:val="10376C29"/>
    <w:rsid w:val="10D95CB2"/>
    <w:rsid w:val="11C81806"/>
    <w:rsid w:val="11EB4770"/>
    <w:rsid w:val="13256902"/>
    <w:rsid w:val="134D0507"/>
    <w:rsid w:val="13E25769"/>
    <w:rsid w:val="144B713C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CCA1BB8"/>
    <w:rsid w:val="1D2B0CBD"/>
    <w:rsid w:val="1E3C591E"/>
    <w:rsid w:val="1EBB0A1A"/>
    <w:rsid w:val="1ED657E9"/>
    <w:rsid w:val="1F0625DD"/>
    <w:rsid w:val="1FCF2ABC"/>
    <w:rsid w:val="1FF22B62"/>
    <w:rsid w:val="204838A0"/>
    <w:rsid w:val="206F7D0E"/>
    <w:rsid w:val="208A6C03"/>
    <w:rsid w:val="21A17A85"/>
    <w:rsid w:val="22032E04"/>
    <w:rsid w:val="24A73237"/>
    <w:rsid w:val="24D34D10"/>
    <w:rsid w:val="24D941F5"/>
    <w:rsid w:val="250F7D12"/>
    <w:rsid w:val="25B85CB3"/>
    <w:rsid w:val="260C3E00"/>
    <w:rsid w:val="26924756"/>
    <w:rsid w:val="26AE7782"/>
    <w:rsid w:val="26C30DB4"/>
    <w:rsid w:val="285514BC"/>
    <w:rsid w:val="29064F88"/>
    <w:rsid w:val="299D3B3E"/>
    <w:rsid w:val="29F95B61"/>
    <w:rsid w:val="29FD45DD"/>
    <w:rsid w:val="2B8F5708"/>
    <w:rsid w:val="2BDB4ABA"/>
    <w:rsid w:val="2C8E0BFD"/>
    <w:rsid w:val="2D2B320F"/>
    <w:rsid w:val="2E3A497C"/>
    <w:rsid w:val="2ECD6C74"/>
    <w:rsid w:val="2FAC781C"/>
    <w:rsid w:val="2FBC42F6"/>
    <w:rsid w:val="2FCF07C9"/>
    <w:rsid w:val="30191914"/>
    <w:rsid w:val="30375A1D"/>
    <w:rsid w:val="30444C19"/>
    <w:rsid w:val="31EA5447"/>
    <w:rsid w:val="31F0254C"/>
    <w:rsid w:val="329F26D5"/>
    <w:rsid w:val="32AF043E"/>
    <w:rsid w:val="32B55A55"/>
    <w:rsid w:val="32E26A66"/>
    <w:rsid w:val="3325691E"/>
    <w:rsid w:val="33D939C5"/>
    <w:rsid w:val="33DB598F"/>
    <w:rsid w:val="3577566A"/>
    <w:rsid w:val="35B91294"/>
    <w:rsid w:val="35BB5A93"/>
    <w:rsid w:val="36276F9C"/>
    <w:rsid w:val="381402C8"/>
    <w:rsid w:val="39447B32"/>
    <w:rsid w:val="395B4E7C"/>
    <w:rsid w:val="39B32F0A"/>
    <w:rsid w:val="3A4122C4"/>
    <w:rsid w:val="3A4523EC"/>
    <w:rsid w:val="3A8D5509"/>
    <w:rsid w:val="3B8161B9"/>
    <w:rsid w:val="3BE21884"/>
    <w:rsid w:val="3C097A00"/>
    <w:rsid w:val="3C241E9D"/>
    <w:rsid w:val="3C4340D1"/>
    <w:rsid w:val="3CED6733"/>
    <w:rsid w:val="3D1553DB"/>
    <w:rsid w:val="3D584C3D"/>
    <w:rsid w:val="3D9A2417"/>
    <w:rsid w:val="3E481E73"/>
    <w:rsid w:val="3EBA2649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6C866F6"/>
    <w:rsid w:val="476B4E24"/>
    <w:rsid w:val="47871694"/>
    <w:rsid w:val="47D429C9"/>
    <w:rsid w:val="47E66258"/>
    <w:rsid w:val="47FA0BDD"/>
    <w:rsid w:val="49867CF3"/>
    <w:rsid w:val="499F0DB5"/>
    <w:rsid w:val="49B54134"/>
    <w:rsid w:val="4A5F3BCC"/>
    <w:rsid w:val="4BDC6081"/>
    <w:rsid w:val="4C69403F"/>
    <w:rsid w:val="4CC21042"/>
    <w:rsid w:val="4D1D0A5F"/>
    <w:rsid w:val="4E010709"/>
    <w:rsid w:val="4E3917D8"/>
    <w:rsid w:val="509947B0"/>
    <w:rsid w:val="50AF5D81"/>
    <w:rsid w:val="50FD4E06"/>
    <w:rsid w:val="511B6F73"/>
    <w:rsid w:val="51B31BC1"/>
    <w:rsid w:val="52162767"/>
    <w:rsid w:val="52611934"/>
    <w:rsid w:val="52B417C7"/>
    <w:rsid w:val="52CF2938"/>
    <w:rsid w:val="531E7A45"/>
    <w:rsid w:val="539B439B"/>
    <w:rsid w:val="552C5BF2"/>
    <w:rsid w:val="55387588"/>
    <w:rsid w:val="55BB2AD2"/>
    <w:rsid w:val="56E524FD"/>
    <w:rsid w:val="573C35C9"/>
    <w:rsid w:val="575013A1"/>
    <w:rsid w:val="5875340D"/>
    <w:rsid w:val="58ED5175"/>
    <w:rsid w:val="59D95C1D"/>
    <w:rsid w:val="5A6C6A91"/>
    <w:rsid w:val="5A787F10"/>
    <w:rsid w:val="5B6641ED"/>
    <w:rsid w:val="5C013209"/>
    <w:rsid w:val="5C166CB5"/>
    <w:rsid w:val="5C983B6D"/>
    <w:rsid w:val="5D026789"/>
    <w:rsid w:val="5D543665"/>
    <w:rsid w:val="5E6617A9"/>
    <w:rsid w:val="5F7A2286"/>
    <w:rsid w:val="5F917744"/>
    <w:rsid w:val="602120CC"/>
    <w:rsid w:val="602364FC"/>
    <w:rsid w:val="61461FA8"/>
    <w:rsid w:val="61D13B33"/>
    <w:rsid w:val="624125B1"/>
    <w:rsid w:val="624B51DE"/>
    <w:rsid w:val="625F0BCD"/>
    <w:rsid w:val="62A06426"/>
    <w:rsid w:val="62D41677"/>
    <w:rsid w:val="64836EB1"/>
    <w:rsid w:val="649C0675"/>
    <w:rsid w:val="64A07A63"/>
    <w:rsid w:val="64FD020B"/>
    <w:rsid w:val="658824B6"/>
    <w:rsid w:val="65FE49D8"/>
    <w:rsid w:val="660B3D1D"/>
    <w:rsid w:val="668E00B5"/>
    <w:rsid w:val="66A240CC"/>
    <w:rsid w:val="674F5770"/>
    <w:rsid w:val="68A51AEC"/>
    <w:rsid w:val="696C260A"/>
    <w:rsid w:val="698B4480"/>
    <w:rsid w:val="699C3992"/>
    <w:rsid w:val="6A5512F0"/>
    <w:rsid w:val="6A8F2708"/>
    <w:rsid w:val="6AD541DF"/>
    <w:rsid w:val="6B60619E"/>
    <w:rsid w:val="6BFB1A23"/>
    <w:rsid w:val="6C150EE6"/>
    <w:rsid w:val="6C5F20A2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505624"/>
    <w:rsid w:val="73B7063C"/>
    <w:rsid w:val="7411165B"/>
    <w:rsid w:val="7428537F"/>
    <w:rsid w:val="743B2FB6"/>
    <w:rsid w:val="749B50F4"/>
    <w:rsid w:val="750A09BD"/>
    <w:rsid w:val="751A15A2"/>
    <w:rsid w:val="75232716"/>
    <w:rsid w:val="753E1665"/>
    <w:rsid w:val="75F60CA4"/>
    <w:rsid w:val="76452218"/>
    <w:rsid w:val="78394CB2"/>
    <w:rsid w:val="7846246B"/>
    <w:rsid w:val="79490272"/>
    <w:rsid w:val="79654980"/>
    <w:rsid w:val="7A124B07"/>
    <w:rsid w:val="7A8E3997"/>
    <w:rsid w:val="7ADF6568"/>
    <w:rsid w:val="7B260758"/>
    <w:rsid w:val="7B4A02D1"/>
    <w:rsid w:val="7B9E6925"/>
    <w:rsid w:val="7BAF2C7A"/>
    <w:rsid w:val="7C713B8D"/>
    <w:rsid w:val="7DA1329F"/>
    <w:rsid w:val="7DDA3B8E"/>
    <w:rsid w:val="7E3F39F1"/>
    <w:rsid w:val="7EFB200E"/>
    <w:rsid w:val="7EFC7B34"/>
    <w:rsid w:val="7F08334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4447F5"/>
  <w15:docId w15:val="{A57C84F8-BDA1-462F-888C-E13E34AC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Emphasis"/>
    <w:basedOn w:val="a0"/>
    <w:autoRedefine/>
    <w:qFormat/>
    <w:rPr>
      <w:i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2933</Words>
  <Characters>627</Characters>
  <Application>Microsoft Office Word</Application>
  <DocSecurity>0</DocSecurity>
  <Lines>22</Lines>
  <Paragraphs>41</Paragraphs>
  <ScaleCrop>false</ScaleCrop>
  <Company>P R C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张尊睿</dc:creator>
  <cp:lastModifiedBy>柴萌远</cp:lastModifiedBy>
  <cp:revision>16</cp:revision>
  <cp:lastPrinted>2025-09-18T09:48:00Z</cp:lastPrinted>
  <dcterms:created xsi:type="dcterms:W3CDTF">2025-08-21T10:32:00Z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