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220" w:line="259" w:lineRule="auto"/>
        <w:jc w:val="left"/>
        <w:rPr>
          <w:rFonts w:ascii="Calibri" w:hAnsi="Calibri" w:eastAsia="Times New Roman" w:cs="Calibri"/>
          <w:color w:val="000000"/>
          <w:sz w:val="22"/>
        </w:rPr>
      </w:pPr>
      <w:r>
        <w:rPr>
          <w:rFonts w:hint="eastAsia" w:ascii="宋体" w:hAnsi="宋体" w:eastAsia="宋体" w:cs="宋体"/>
          <w:color w:val="000000"/>
          <w:sz w:val="24"/>
        </w:rPr>
        <w:t>证券代码：</w:t>
      </w:r>
      <w:r>
        <w:rPr>
          <w:rFonts w:ascii="宋体" w:hAnsi="宋体" w:eastAsia="宋体" w:cs="宋体"/>
          <w:color w:val="000000"/>
          <w:sz w:val="24"/>
        </w:rPr>
        <w:t xml:space="preserve">688328                                    </w:t>
      </w:r>
      <w:r>
        <w:rPr>
          <w:rFonts w:hint="eastAsia" w:ascii="宋体" w:hAnsi="宋体" w:eastAsia="宋体" w:cs="宋体"/>
          <w:color w:val="000000"/>
          <w:sz w:val="24"/>
        </w:rPr>
        <w:t>证券简称：深科达</w:t>
      </w:r>
      <w:r>
        <w:rPr>
          <w:rFonts w:ascii="宋体" w:hAnsi="宋体" w:eastAsia="宋体" w:cs="宋体"/>
          <w:color w:val="000000"/>
          <w:sz w:val="24"/>
        </w:rPr>
        <w:t xml:space="preserve">                                          </w:t>
      </w:r>
    </w:p>
    <w:p>
      <w:pPr>
        <w:widowControl/>
        <w:spacing w:after="217" w:line="259" w:lineRule="auto"/>
        <w:ind w:firstLine="1606" w:firstLineChars="500"/>
        <w:jc w:val="left"/>
        <w:rPr>
          <w:rFonts w:hint="eastAsia" w:ascii="宋体" w:hAnsi="宋体" w:eastAsia="宋体" w:cs="宋体"/>
          <w:b/>
          <w:color w:val="000000"/>
          <w:sz w:val="32"/>
        </w:rPr>
      </w:pPr>
      <w:r>
        <w:rPr>
          <w:rFonts w:hint="eastAsia" w:ascii="宋体" w:hAnsi="宋体" w:eastAsia="宋体" w:cs="宋体"/>
          <w:b/>
          <w:color w:val="000000"/>
          <w:sz w:val="32"/>
        </w:rPr>
        <w:t>深圳市深科达智能装备股份有限公司</w:t>
      </w:r>
    </w:p>
    <w:p>
      <w:pPr>
        <w:widowControl/>
        <w:spacing w:line="259" w:lineRule="auto"/>
        <w:ind w:firstLine="2570" w:firstLineChars="800"/>
        <w:jc w:val="left"/>
        <w:rPr>
          <w:rFonts w:hint="eastAsia" w:ascii="宋体" w:hAnsi="宋体" w:eastAsia="宋体" w:cs="宋体"/>
          <w:b/>
          <w:color w:val="000000"/>
          <w:sz w:val="32"/>
        </w:rPr>
      </w:pPr>
      <w:r>
        <w:rPr>
          <w:rFonts w:hint="eastAsia" w:ascii="宋体" w:hAnsi="宋体" w:eastAsia="宋体" w:cs="宋体"/>
          <w:b/>
          <w:color w:val="000000"/>
          <w:sz w:val="32"/>
        </w:rPr>
        <w:t>投资者关系活动记录表</w:t>
      </w:r>
    </w:p>
    <w:p>
      <w:pPr>
        <w:widowControl/>
        <w:spacing w:line="259" w:lineRule="auto"/>
        <w:ind w:left="1179"/>
        <w:jc w:val="right"/>
        <w:rPr>
          <w:rFonts w:ascii="Calibri" w:hAnsi="Calibri" w:eastAsia="Times New Roman" w:cs="Calibri"/>
          <w:color w:val="000000"/>
          <w:sz w:val="22"/>
        </w:rPr>
      </w:pPr>
      <w:r>
        <w:rPr>
          <w:rFonts w:hint="eastAsia" w:ascii="Calibri" w:hAnsi="Calibri" w:eastAsia="Times New Roman" w:cs="Calibri"/>
          <w:color w:val="000000"/>
          <w:sz w:val="22"/>
        </w:rPr>
        <w:t>涌瑞基金</w:t>
      </w:r>
    </w:p>
    <w:tbl>
      <w:tblPr>
        <w:tblStyle w:val="9"/>
        <w:tblW w:w="9976" w:type="dxa"/>
        <w:tblInd w:w="-743" w:type="dxa"/>
        <w:tblLayout w:type="fixed"/>
        <w:tblCellMar>
          <w:top w:w="0" w:type="dxa"/>
          <w:left w:w="108" w:type="dxa"/>
          <w:bottom w:w="41" w:type="dxa"/>
          <w:right w:w="0" w:type="dxa"/>
        </w:tblCellMar>
      </w:tblPr>
      <w:tblGrid>
        <w:gridCol w:w="2100"/>
        <w:gridCol w:w="7876"/>
      </w:tblGrid>
      <w:tr>
        <w:tblPrEx>
          <w:tblLayout w:type="fixed"/>
          <w:tblCellMar>
            <w:top w:w="0" w:type="dxa"/>
            <w:left w:w="108" w:type="dxa"/>
            <w:bottom w:w="41" w:type="dxa"/>
            <w:right w:w="0" w:type="dxa"/>
          </w:tblCellMar>
        </w:tblPrEx>
        <w:trPr>
          <w:trHeight w:val="2413" w:hRule="atLeast"/>
        </w:trPr>
        <w:tc>
          <w:tcPr>
            <w:tcW w:w="21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after="0" w:line="360" w:lineRule="auto"/>
              <w:jc w:val="center"/>
              <w:rPr>
                <w:rFonts w:hint="eastAsia" w:ascii="宋体" w:hAnsi="宋体" w:eastAsia="宋体" w:cs="Calibri"/>
                <w:b/>
                <w:color w:val="000000"/>
                <w:sz w:val="24"/>
                <w:szCs w:val="24"/>
              </w:rPr>
            </w:pPr>
            <w:r>
              <w:rPr>
                <w:rFonts w:hint="eastAsia" w:ascii="宋体" w:hAnsi="宋体" w:eastAsia="宋体" w:cs="宋体"/>
                <w:b/>
                <w:color w:val="000000"/>
                <w:sz w:val="24"/>
                <w:szCs w:val="24"/>
              </w:rPr>
              <w:t>投资者关系活动类别</w:t>
            </w:r>
          </w:p>
        </w:tc>
        <w:tc>
          <w:tcPr>
            <w:tcW w:w="7876" w:type="dxa"/>
            <w:tcBorders>
              <w:top w:val="single" w:color="000000" w:sz="4" w:space="0"/>
              <w:left w:val="single" w:color="000000" w:sz="4" w:space="0"/>
              <w:bottom w:val="single" w:color="000000" w:sz="4" w:space="0"/>
              <w:right w:val="single" w:color="000000" w:sz="4" w:space="0"/>
            </w:tcBorders>
            <w:vAlign w:val="bottom"/>
          </w:tcPr>
          <w:p>
            <w:pPr>
              <w:widowControl/>
              <w:snapToGrid w:val="0"/>
              <w:spacing w:after="0" w:line="360" w:lineRule="auto"/>
              <w:jc w:val="left"/>
              <w:rPr>
                <w:rFonts w:hint="eastAsia" w:ascii="宋体" w:hAnsi="宋体" w:eastAsia="宋体" w:cs="Calibri"/>
                <w:color w:val="000000"/>
                <w:sz w:val="24"/>
                <w:szCs w:val="24"/>
              </w:rPr>
            </w:pPr>
            <w:r>
              <w:rPr>
                <w:rFonts w:ascii="宋体" w:hAnsi="宋体" w:eastAsia="宋体" w:cs="宋体"/>
                <w:color w:val="000000"/>
                <w:sz w:val="24"/>
                <w:szCs w:val="24"/>
              </w:rPr>
              <w:t>□</w:t>
            </w:r>
            <w:r>
              <w:rPr>
                <w:rFonts w:hint="eastAsia" w:ascii="宋体" w:hAnsi="宋体" w:eastAsia="宋体" w:cs="宋体"/>
                <w:color w:val="000000"/>
                <w:sz w:val="24"/>
                <w:szCs w:val="24"/>
              </w:rPr>
              <w:t>特定对象调研</w:t>
            </w:r>
            <w:r>
              <w:rPr>
                <w:rFonts w:ascii="宋体" w:hAnsi="宋体" w:eastAsia="宋体" w:cs="宋体"/>
                <w:color w:val="000000"/>
                <w:sz w:val="24"/>
                <w:szCs w:val="24"/>
              </w:rPr>
              <w:t xml:space="preserve">        </w:t>
            </w:r>
            <w:r>
              <w:rPr>
                <w:rFonts w:hint="eastAsia" w:ascii="宋体" w:hAnsi="宋体" w:eastAsia="宋体" w:cs="宋体"/>
                <w:color w:val="000000"/>
                <w:sz w:val="24"/>
                <w:szCs w:val="24"/>
              </w:rPr>
              <w:sym w:font="Wingdings 2" w:char="00A3"/>
            </w:r>
            <w:r>
              <w:rPr>
                <w:rFonts w:hint="eastAsia" w:ascii="宋体" w:hAnsi="宋体" w:eastAsia="宋体" w:cs="宋体"/>
                <w:color w:val="000000"/>
                <w:sz w:val="24"/>
                <w:szCs w:val="24"/>
              </w:rPr>
              <w:t>分析师会议</w:t>
            </w:r>
            <w:r>
              <w:rPr>
                <w:rFonts w:ascii="宋体" w:hAnsi="宋体" w:eastAsia="宋体" w:cs="宋体"/>
                <w:color w:val="000000"/>
                <w:sz w:val="24"/>
                <w:szCs w:val="24"/>
              </w:rPr>
              <w:t xml:space="preserve"> </w:t>
            </w:r>
          </w:p>
          <w:p>
            <w:pPr>
              <w:widowControl/>
              <w:snapToGrid w:val="0"/>
              <w:spacing w:after="0" w:line="360" w:lineRule="auto"/>
              <w:jc w:val="left"/>
              <w:rPr>
                <w:rFonts w:hint="eastAsia" w:ascii="宋体" w:hAnsi="宋体" w:eastAsia="宋体" w:cs="Calibri"/>
                <w:color w:val="000000"/>
                <w:sz w:val="24"/>
                <w:szCs w:val="24"/>
              </w:rPr>
            </w:pPr>
            <w:r>
              <w:rPr>
                <w:rFonts w:ascii="宋体" w:hAnsi="宋体" w:eastAsia="宋体" w:cs="宋体"/>
                <w:color w:val="000000"/>
                <w:sz w:val="24"/>
                <w:szCs w:val="24"/>
              </w:rPr>
              <w:t>□</w:t>
            </w:r>
            <w:r>
              <w:rPr>
                <w:rFonts w:hint="eastAsia" w:ascii="宋体" w:hAnsi="宋体" w:eastAsia="宋体" w:cs="宋体"/>
                <w:color w:val="000000"/>
                <w:sz w:val="24"/>
                <w:szCs w:val="24"/>
              </w:rPr>
              <w:t>媒体采访</w:t>
            </w:r>
            <w:r>
              <w:rPr>
                <w:rFonts w:ascii="宋体" w:hAnsi="宋体" w:eastAsia="宋体" w:cs="宋体"/>
                <w:color w:val="000000"/>
                <w:sz w:val="24"/>
                <w:szCs w:val="24"/>
              </w:rPr>
              <w:t xml:space="preserve">            </w:t>
            </w:r>
            <w:r>
              <w:rPr>
                <w:rFonts w:hint="eastAsia" w:ascii="宋体" w:hAnsi="宋体" w:eastAsia="宋体" w:cs="宋体"/>
                <w:color w:val="000000"/>
                <w:sz w:val="24"/>
                <w:szCs w:val="24"/>
              </w:rPr>
              <w:t>□业绩说明会</w:t>
            </w:r>
            <w:r>
              <w:rPr>
                <w:rFonts w:ascii="宋体" w:hAnsi="宋体" w:eastAsia="宋体" w:cs="宋体"/>
                <w:color w:val="000000"/>
                <w:sz w:val="24"/>
                <w:szCs w:val="24"/>
              </w:rPr>
              <w:t xml:space="preserve"> </w:t>
            </w:r>
          </w:p>
          <w:p>
            <w:pPr>
              <w:widowControl/>
              <w:snapToGrid w:val="0"/>
              <w:spacing w:after="0" w:line="360" w:lineRule="auto"/>
              <w:jc w:val="left"/>
              <w:rPr>
                <w:rFonts w:hint="eastAsia" w:ascii="宋体" w:hAnsi="宋体" w:eastAsia="宋体" w:cs="Calibri"/>
                <w:color w:val="000000"/>
                <w:sz w:val="24"/>
                <w:szCs w:val="24"/>
              </w:rPr>
            </w:pPr>
            <w:r>
              <w:rPr>
                <w:rFonts w:ascii="宋体" w:hAnsi="宋体" w:eastAsia="宋体" w:cs="宋体"/>
                <w:color w:val="000000"/>
                <w:sz w:val="24"/>
                <w:szCs w:val="24"/>
              </w:rPr>
              <w:t>□</w:t>
            </w:r>
            <w:r>
              <w:rPr>
                <w:rFonts w:hint="eastAsia" w:ascii="宋体" w:hAnsi="宋体" w:eastAsia="宋体" w:cs="宋体"/>
                <w:color w:val="000000"/>
                <w:sz w:val="24"/>
                <w:szCs w:val="24"/>
              </w:rPr>
              <w:t>新闻发布会</w:t>
            </w:r>
            <w:r>
              <w:rPr>
                <w:rFonts w:ascii="宋体" w:hAnsi="宋体" w:eastAsia="宋体" w:cs="宋体"/>
                <w:color w:val="000000"/>
                <w:sz w:val="24"/>
                <w:szCs w:val="24"/>
              </w:rPr>
              <w:t xml:space="preserve">          </w:t>
            </w:r>
            <w:r>
              <w:rPr>
                <w:rFonts w:ascii="宋体" w:hAnsi="宋体" w:eastAsia="宋体" w:cs="宋体"/>
                <w:color w:val="000000"/>
                <w:sz w:val="24"/>
                <w:szCs w:val="24"/>
              </w:rPr>
              <w:sym w:font="Wingdings 2" w:char="00A3"/>
            </w:r>
            <w:r>
              <w:rPr>
                <w:rFonts w:hint="eastAsia" w:ascii="宋体" w:hAnsi="宋体" w:eastAsia="宋体" w:cs="宋体"/>
                <w:color w:val="000000"/>
                <w:sz w:val="24"/>
                <w:szCs w:val="24"/>
              </w:rPr>
              <w:t>路演活动</w:t>
            </w:r>
            <w:r>
              <w:rPr>
                <w:rFonts w:ascii="宋体" w:hAnsi="宋体" w:eastAsia="宋体" w:cs="宋体"/>
                <w:color w:val="000000"/>
                <w:sz w:val="24"/>
                <w:szCs w:val="24"/>
              </w:rPr>
              <w:t xml:space="preserve"> </w:t>
            </w:r>
          </w:p>
          <w:p>
            <w:pPr>
              <w:widowControl/>
              <w:snapToGrid w:val="0"/>
              <w:spacing w:after="0" w:line="360" w:lineRule="auto"/>
              <w:jc w:val="left"/>
              <w:rPr>
                <w:rFonts w:hint="eastAsia" w:ascii="宋体" w:hAnsi="宋体" w:eastAsia="宋体" w:cs="Calibri"/>
                <w:color w:val="000000"/>
                <w:sz w:val="24"/>
                <w:szCs w:val="24"/>
              </w:rPr>
            </w:pPr>
            <w:r>
              <w:rPr>
                <w:rFonts w:hint="eastAsia" w:ascii="宋体" w:hAnsi="宋体" w:eastAsia="宋体" w:cs="宋体"/>
                <w:color w:val="000000"/>
                <w:sz w:val="24"/>
                <w:szCs w:val="24"/>
              </w:rPr>
              <w:t>■现场参观</w:t>
            </w:r>
            <w:r>
              <w:rPr>
                <w:rFonts w:ascii="宋体" w:hAnsi="宋体" w:eastAsia="宋体" w:cs="宋体"/>
                <w:color w:val="000000"/>
                <w:sz w:val="24"/>
                <w:szCs w:val="24"/>
              </w:rPr>
              <w:t xml:space="preserve">            </w:t>
            </w:r>
            <w:r>
              <w:rPr>
                <w:rFonts w:hint="eastAsia" w:ascii="宋体" w:hAnsi="宋体" w:eastAsia="宋体" w:cs="宋体"/>
                <w:color w:val="000000"/>
                <w:sz w:val="24"/>
                <w:szCs w:val="24"/>
              </w:rPr>
              <w:sym w:font="Wingdings 2" w:char="00A3"/>
            </w:r>
            <w:r>
              <w:rPr>
                <w:rFonts w:hint="eastAsia" w:ascii="宋体" w:hAnsi="宋体" w:eastAsia="宋体" w:cs="宋体"/>
                <w:color w:val="000000"/>
                <w:sz w:val="24"/>
                <w:szCs w:val="24"/>
              </w:rPr>
              <w:t>一对一沟通</w:t>
            </w:r>
            <w:r>
              <w:rPr>
                <w:rFonts w:ascii="宋体" w:hAnsi="宋体" w:eastAsia="宋体" w:cs="宋体"/>
                <w:color w:val="000000"/>
                <w:sz w:val="24"/>
                <w:szCs w:val="24"/>
              </w:rPr>
              <w:t xml:space="preserve"> </w:t>
            </w:r>
          </w:p>
          <w:p>
            <w:pPr>
              <w:widowControl/>
              <w:snapToGrid w:val="0"/>
              <w:spacing w:after="0" w:line="360" w:lineRule="auto"/>
              <w:jc w:val="left"/>
              <w:rPr>
                <w:rFonts w:hint="eastAsia" w:ascii="宋体" w:hAnsi="宋体" w:eastAsia="宋体" w:cs="Calibri"/>
                <w:color w:val="000000"/>
                <w:sz w:val="24"/>
                <w:szCs w:val="24"/>
              </w:rPr>
            </w:pPr>
            <w:r>
              <w:rPr>
                <w:rFonts w:hint="eastAsia" w:ascii="宋体" w:hAnsi="宋体" w:eastAsia="宋体" w:cs="宋体"/>
                <w:color w:val="000000"/>
                <w:sz w:val="24"/>
                <w:szCs w:val="24"/>
              </w:rPr>
              <w:sym w:font="Wingdings 2" w:char="00A3"/>
            </w:r>
            <w:r>
              <w:rPr>
                <w:rFonts w:hint="eastAsia" w:ascii="宋体" w:hAnsi="宋体" w:eastAsia="宋体" w:cs="宋体"/>
                <w:color w:val="000000"/>
                <w:sz w:val="24"/>
                <w:szCs w:val="24"/>
              </w:rPr>
              <w:t>其他</w:t>
            </w:r>
            <w:r>
              <w:rPr>
                <w:rFonts w:ascii="宋体" w:hAnsi="宋体" w:eastAsia="宋体" w:cs="宋体"/>
                <w:color w:val="000000"/>
                <w:sz w:val="24"/>
                <w:szCs w:val="24"/>
              </w:rPr>
              <w:t xml:space="preserve">  </w:t>
            </w:r>
          </w:p>
        </w:tc>
      </w:tr>
      <w:tr>
        <w:tblPrEx>
          <w:tblLayout w:type="fixed"/>
          <w:tblCellMar>
            <w:top w:w="0" w:type="dxa"/>
            <w:left w:w="108" w:type="dxa"/>
            <w:bottom w:w="41" w:type="dxa"/>
            <w:right w:w="0" w:type="dxa"/>
          </w:tblCellMar>
        </w:tblPrEx>
        <w:trPr>
          <w:trHeight w:val="1417" w:hRule="atLeast"/>
        </w:trPr>
        <w:tc>
          <w:tcPr>
            <w:tcW w:w="21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after="0" w:line="360" w:lineRule="auto"/>
              <w:jc w:val="left"/>
              <w:rPr>
                <w:rFonts w:hint="eastAsia" w:ascii="宋体" w:hAnsi="宋体" w:eastAsia="宋体" w:cs="宋体"/>
                <w:color w:val="000000"/>
                <w:sz w:val="24"/>
                <w:szCs w:val="24"/>
              </w:rPr>
            </w:pPr>
            <w:r>
              <w:rPr>
                <w:rFonts w:hint="eastAsia" w:ascii="宋体" w:hAnsi="宋体" w:eastAsia="宋体" w:cs="宋体"/>
                <w:b/>
                <w:color w:val="000000"/>
                <w:sz w:val="24"/>
                <w:szCs w:val="24"/>
              </w:rPr>
              <w:t>参与单位</w:t>
            </w:r>
          </w:p>
        </w:tc>
        <w:tc>
          <w:tcPr>
            <w:tcW w:w="787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after="0" w:line="360" w:lineRule="auto"/>
              <w:rPr>
                <w:rFonts w:hint="eastAsia" w:ascii="宋体" w:hAnsi="宋体" w:eastAsia="微软雅黑" w:cs="宋体"/>
                <w:color w:val="000000"/>
                <w:sz w:val="24"/>
                <w:szCs w:val="24"/>
                <w:lang w:val="en-US" w:eastAsia="zh-CN"/>
              </w:rPr>
            </w:pPr>
            <w:r>
              <w:rPr>
                <w:rFonts w:hint="eastAsia" w:ascii="宋体" w:hAnsi="宋体" w:eastAsia="宋体" w:cs="宋体"/>
                <w:color w:val="auto"/>
                <w:sz w:val="24"/>
                <w:szCs w:val="24"/>
                <w:highlight w:val="none"/>
                <w:lang w:val="en-US" w:eastAsia="zh-CN"/>
              </w:rPr>
              <w:t>长城基金、摩根士丹利、海富通基金、必达控股、长江证券、涌瑞基金、瑞园投资、卓银基金、千里基金、招商证券、中深资本、郑熵量化</w:t>
            </w:r>
          </w:p>
        </w:tc>
      </w:tr>
      <w:tr>
        <w:tblPrEx>
          <w:tblLayout w:type="fixed"/>
          <w:tblCellMar>
            <w:top w:w="0" w:type="dxa"/>
            <w:left w:w="108" w:type="dxa"/>
            <w:bottom w:w="41" w:type="dxa"/>
            <w:right w:w="0" w:type="dxa"/>
          </w:tblCellMar>
        </w:tblPrEx>
        <w:trPr>
          <w:trHeight w:val="567" w:hRule="atLeast"/>
        </w:trPr>
        <w:tc>
          <w:tcPr>
            <w:tcW w:w="21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56" w:beforeLines="50" w:after="0" w:line="360" w:lineRule="auto"/>
              <w:ind w:right="110"/>
              <w:jc w:val="left"/>
              <w:rPr>
                <w:rFonts w:hint="eastAsia" w:ascii="宋体" w:hAnsi="宋体" w:eastAsia="宋体" w:cs="Calibri"/>
                <w:b/>
                <w:color w:val="000000"/>
                <w:sz w:val="24"/>
                <w:szCs w:val="24"/>
              </w:rPr>
            </w:pPr>
            <w:r>
              <w:rPr>
                <w:rFonts w:hint="eastAsia" w:ascii="宋体" w:hAnsi="宋体" w:eastAsia="宋体" w:cs="宋体"/>
                <w:b/>
                <w:color w:val="000000"/>
                <w:sz w:val="24"/>
                <w:szCs w:val="24"/>
              </w:rPr>
              <w:t>时间</w:t>
            </w:r>
          </w:p>
        </w:tc>
        <w:tc>
          <w:tcPr>
            <w:tcW w:w="787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56" w:beforeLines="50" w:after="0" w:line="360" w:lineRule="auto"/>
              <w:jc w:val="left"/>
              <w:rPr>
                <w:rFonts w:hint="default" w:ascii="宋体" w:hAnsi="宋体" w:eastAsia="宋体" w:cs="Calibri"/>
                <w:color w:val="000000"/>
                <w:sz w:val="24"/>
                <w:szCs w:val="24"/>
                <w:lang w:val="en-US" w:eastAsia="zh-CN"/>
              </w:rPr>
            </w:pPr>
            <w:r>
              <w:rPr>
                <w:rFonts w:ascii="宋体" w:hAnsi="宋体" w:eastAsia="宋体" w:cs="Calibri"/>
                <w:color w:val="000000"/>
                <w:sz w:val="24"/>
                <w:szCs w:val="24"/>
              </w:rPr>
              <w:t>202</w:t>
            </w:r>
            <w:r>
              <w:rPr>
                <w:rFonts w:hint="eastAsia" w:ascii="宋体" w:hAnsi="宋体" w:eastAsia="宋体" w:cs="Calibri"/>
                <w:color w:val="000000"/>
                <w:sz w:val="24"/>
                <w:szCs w:val="24"/>
              </w:rPr>
              <w:t>5年</w:t>
            </w:r>
            <w:r>
              <w:rPr>
                <w:rFonts w:hint="eastAsia" w:ascii="宋体" w:hAnsi="宋体" w:eastAsia="宋体" w:cs="Calibri"/>
                <w:color w:val="000000"/>
                <w:sz w:val="24"/>
                <w:szCs w:val="24"/>
                <w:lang w:val="en-US" w:eastAsia="zh-CN"/>
              </w:rPr>
              <w:t>9</w:t>
            </w:r>
            <w:r>
              <w:rPr>
                <w:rFonts w:hint="eastAsia" w:ascii="宋体" w:hAnsi="宋体" w:eastAsia="宋体" w:cs="Calibri"/>
                <w:color w:val="000000"/>
                <w:sz w:val="24"/>
                <w:szCs w:val="24"/>
              </w:rPr>
              <w:t>月</w:t>
            </w:r>
            <w:r>
              <w:rPr>
                <w:rFonts w:hint="eastAsia" w:ascii="宋体" w:hAnsi="宋体" w:eastAsia="宋体" w:cs="Calibri"/>
                <w:color w:val="000000"/>
                <w:sz w:val="24"/>
                <w:szCs w:val="24"/>
                <w:lang w:val="en-US" w:eastAsia="zh-CN"/>
              </w:rPr>
              <w:t>18日-2025年9月19</w:t>
            </w:r>
            <w:bookmarkStart w:id="0" w:name="_GoBack"/>
            <w:bookmarkEnd w:id="0"/>
            <w:r>
              <w:rPr>
                <w:rFonts w:hint="eastAsia" w:ascii="宋体" w:hAnsi="宋体" w:eastAsia="宋体" w:cs="Calibri"/>
                <w:color w:val="000000"/>
                <w:sz w:val="24"/>
                <w:szCs w:val="24"/>
                <w:lang w:val="en-US" w:eastAsia="zh-CN"/>
              </w:rPr>
              <w:t>日</w:t>
            </w:r>
          </w:p>
        </w:tc>
      </w:tr>
      <w:tr>
        <w:tblPrEx>
          <w:tblLayout w:type="fixed"/>
          <w:tblCellMar>
            <w:top w:w="0" w:type="dxa"/>
            <w:left w:w="108" w:type="dxa"/>
            <w:bottom w:w="41" w:type="dxa"/>
            <w:right w:w="0" w:type="dxa"/>
          </w:tblCellMar>
        </w:tblPrEx>
        <w:trPr>
          <w:trHeight w:val="567" w:hRule="atLeast"/>
        </w:trPr>
        <w:tc>
          <w:tcPr>
            <w:tcW w:w="21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56" w:beforeLines="50" w:after="0" w:line="360" w:lineRule="auto"/>
              <w:ind w:right="110"/>
              <w:rPr>
                <w:rFonts w:hint="eastAsia" w:ascii="宋体" w:hAnsi="宋体" w:eastAsia="宋体" w:cs="Calibri"/>
                <w:b/>
                <w:color w:val="000000"/>
                <w:sz w:val="24"/>
                <w:szCs w:val="24"/>
              </w:rPr>
            </w:pPr>
            <w:r>
              <w:rPr>
                <w:rFonts w:hint="eastAsia" w:ascii="宋体" w:hAnsi="宋体" w:eastAsia="宋体" w:cs="宋体"/>
                <w:b/>
                <w:color w:val="000000"/>
                <w:sz w:val="24"/>
                <w:szCs w:val="24"/>
              </w:rPr>
              <w:t>地点</w:t>
            </w:r>
          </w:p>
        </w:tc>
        <w:tc>
          <w:tcPr>
            <w:tcW w:w="787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56" w:beforeLines="50" w:after="0" w:line="360" w:lineRule="auto"/>
              <w:rPr>
                <w:rFonts w:hint="eastAsia" w:ascii="宋体" w:hAnsi="宋体" w:eastAsia="宋体" w:cs="Calibri"/>
                <w:color w:val="000000"/>
                <w:sz w:val="24"/>
                <w:szCs w:val="24"/>
              </w:rPr>
            </w:pPr>
            <w:r>
              <w:rPr>
                <w:rFonts w:hint="eastAsia" w:ascii="宋体" w:hAnsi="宋体" w:eastAsia="宋体" w:cs="Calibri"/>
                <w:color w:val="000000"/>
                <w:sz w:val="24"/>
                <w:szCs w:val="24"/>
              </w:rPr>
              <w:t>会议室</w:t>
            </w:r>
          </w:p>
        </w:tc>
      </w:tr>
      <w:tr>
        <w:tblPrEx>
          <w:tblLayout w:type="fixed"/>
          <w:tblCellMar>
            <w:top w:w="0" w:type="dxa"/>
            <w:left w:w="108" w:type="dxa"/>
            <w:bottom w:w="41" w:type="dxa"/>
            <w:right w:w="0" w:type="dxa"/>
          </w:tblCellMar>
        </w:tblPrEx>
        <w:trPr>
          <w:trHeight w:val="567" w:hRule="atLeast"/>
        </w:trPr>
        <w:tc>
          <w:tcPr>
            <w:tcW w:w="21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56" w:beforeLines="50" w:after="0" w:line="360" w:lineRule="auto"/>
              <w:rPr>
                <w:rFonts w:hint="eastAsia" w:ascii="宋体" w:hAnsi="宋体" w:eastAsia="宋体" w:cs="Calibri"/>
                <w:b/>
                <w:color w:val="000000"/>
                <w:sz w:val="24"/>
                <w:szCs w:val="24"/>
              </w:rPr>
            </w:pPr>
            <w:r>
              <w:rPr>
                <w:rFonts w:hint="eastAsia" w:ascii="宋体" w:hAnsi="宋体" w:eastAsia="宋体" w:cs="宋体"/>
                <w:b/>
                <w:color w:val="000000"/>
                <w:sz w:val="24"/>
                <w:szCs w:val="24"/>
              </w:rPr>
              <w:t>接待人员</w:t>
            </w:r>
          </w:p>
        </w:tc>
        <w:tc>
          <w:tcPr>
            <w:tcW w:w="787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56" w:beforeLines="50" w:after="0" w:line="360" w:lineRule="auto"/>
              <w:rPr>
                <w:rFonts w:hint="eastAsia" w:ascii="宋体" w:hAnsi="宋体" w:eastAsia="宋体" w:cs="Calibri"/>
                <w:color w:val="000000"/>
                <w:sz w:val="24"/>
                <w:szCs w:val="24"/>
              </w:rPr>
            </w:pPr>
            <w:r>
              <w:rPr>
                <w:rFonts w:hint="eastAsia" w:ascii="宋体" w:hAnsi="宋体" w:eastAsia="宋体" w:cs="Calibri"/>
                <w:color w:val="000000"/>
                <w:sz w:val="24"/>
                <w:szCs w:val="24"/>
              </w:rPr>
              <w:t>董事会秘书：郑亦平</w:t>
            </w:r>
          </w:p>
        </w:tc>
      </w:tr>
      <w:tr>
        <w:tblPrEx>
          <w:tblLayout w:type="fixed"/>
          <w:tblCellMar>
            <w:top w:w="0" w:type="dxa"/>
            <w:left w:w="108" w:type="dxa"/>
            <w:bottom w:w="41" w:type="dxa"/>
            <w:right w:w="0" w:type="dxa"/>
          </w:tblCellMar>
        </w:tblPrEx>
        <w:trPr>
          <w:trHeight w:val="490" w:hRule="atLeast"/>
        </w:trPr>
        <w:tc>
          <w:tcPr>
            <w:tcW w:w="21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uto"/>
              <w:ind w:right="110"/>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投资者关系活动主要内容介绍</w:t>
            </w:r>
          </w:p>
        </w:tc>
        <w:tc>
          <w:tcPr>
            <w:tcW w:w="7876"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numPr>
                <w:ilvl w:val="0"/>
                <w:numId w:val="1"/>
              </w:numPr>
              <w:kinsoku/>
              <w:wordWrap/>
              <w:overflowPunct/>
              <w:topLinePunct w:val="0"/>
              <w:autoSpaceDE/>
              <w:autoSpaceDN/>
              <w:bidi w:val="0"/>
              <w:adjustRightInd/>
              <w:snapToGrid w:val="0"/>
              <w:spacing w:before="313" w:beforeLines="100" w:line="360" w:lineRule="auto"/>
              <w:jc w:val="left"/>
              <w:textAlignment w:val="auto"/>
              <w:rPr>
                <w:rFonts w:hint="eastAsia" w:ascii="Times New Roman" w:hAnsi="Times New Roman" w:eastAsia="宋体" w:cs="Times New Roman"/>
                <w:bCs/>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 xml:space="preserve">公司主要业务都有哪些？ </w:t>
            </w:r>
          </w:p>
          <w:p>
            <w:pPr>
              <w:widowControl/>
              <w:numPr>
                <w:ilvl w:val="0"/>
                <w:numId w:val="0"/>
              </w:numPr>
              <w:snapToGrid w:val="0"/>
              <w:spacing w:line="360" w:lineRule="auto"/>
              <w:jc w:val="left"/>
              <w:rPr>
                <w:rFonts w:hint="eastAsia" w:ascii="Times New Roman" w:hAnsi="Times New Roman" w:eastAsia="宋体" w:cs="Times New Roman"/>
                <w:bCs/>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答：公司是一家专业智能装备及核心部件制造商，拥有科学完整的研发、生产和销售运营体系，能够为客户提供公司相关自动化设备的整体解决方案。公司主要从事半导体类设备、平板显示模组类设备、以及智能装备关键零部件的研发、生产和销售。公司产品广泛应用于半导体封测、平板显示器件（显示模组、触控模组、指纹识别模组）的自动化组装和智能化检测，并向智能装备关键零部件等领域进行了延伸。</w:t>
            </w:r>
          </w:p>
          <w:p>
            <w:pPr>
              <w:widowControl/>
              <w:numPr>
                <w:ilvl w:val="0"/>
                <w:numId w:val="1"/>
              </w:numPr>
              <w:snapToGrid w:val="0"/>
              <w:spacing w:line="360" w:lineRule="auto"/>
              <w:jc w:val="left"/>
              <w:rPr>
                <w:rFonts w:hint="eastAsia" w:ascii="Times New Roman" w:hAnsi="Times New Roman" w:eastAsia="宋体" w:cs="Times New Roman"/>
                <w:bCs/>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公司产品的核心技术介绍以及公司知识产权的情况？</w:t>
            </w:r>
          </w:p>
          <w:p>
            <w:pPr>
              <w:widowControl/>
              <w:numPr>
                <w:ilvl w:val="0"/>
                <w:numId w:val="0"/>
              </w:numPr>
              <w:snapToGrid w:val="0"/>
              <w:spacing w:line="360" w:lineRule="auto"/>
              <w:jc w:val="left"/>
              <w:rPr>
                <w:rFonts w:hint="eastAsia" w:ascii="Times New Roman" w:hAnsi="Times New Roman" w:eastAsia="宋体" w:cs="Times New Roman"/>
                <w:bCs/>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 xml:space="preserve"> 答：公司是一家专注于智能装备领域的高科技企业，在多个技术领域拥有核心技术，主要包括：</w:t>
            </w:r>
          </w:p>
          <w:p>
            <w:pPr>
              <w:widowControl/>
              <w:numPr>
                <w:ilvl w:val="0"/>
                <w:numId w:val="2"/>
              </w:numPr>
              <w:snapToGrid w:val="0"/>
              <w:spacing w:line="360" w:lineRule="auto"/>
              <w:jc w:val="left"/>
              <w:rPr>
                <w:rFonts w:hint="eastAsia" w:ascii="Times New Roman" w:hAnsi="Times New Roman" w:eastAsia="宋体" w:cs="Times New Roman"/>
                <w:bCs/>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 xml:space="preserve">精准对位技术：电子纸贴合设备配备高精度视觉定位系统和 CCD 对位技术，能够实现 0.1mm贴附精度，确保贴合过程中的精确对位，可广泛应用于电子纸与各类显示组件的贴合工艺。 </w:t>
            </w:r>
          </w:p>
          <w:p>
            <w:pPr>
              <w:widowControl/>
              <w:numPr>
                <w:ilvl w:val="0"/>
                <w:numId w:val="2"/>
              </w:numPr>
              <w:snapToGrid w:val="0"/>
              <w:spacing w:line="360" w:lineRule="auto"/>
              <w:ind w:left="0" w:leftChars="0" w:firstLine="0" w:firstLineChars="0"/>
              <w:jc w:val="left"/>
              <w:rPr>
                <w:rFonts w:hint="eastAsia" w:ascii="Times New Roman" w:hAnsi="Times New Roman" w:eastAsia="宋体" w:cs="Times New Roman"/>
                <w:bCs/>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 xml:space="preserve">图像处理技术：结合传统检测算法与前沿的 AI 技术研发的机器视觉系统，可应用于平板显示器件生产。能对产品进行高精度检测，快速准确地识别出缺陷和异常，提高产品质量和生产效率。 </w:t>
            </w:r>
          </w:p>
          <w:p>
            <w:pPr>
              <w:widowControl/>
              <w:numPr>
                <w:ilvl w:val="0"/>
                <w:numId w:val="0"/>
              </w:numPr>
              <w:snapToGrid w:val="0"/>
              <w:spacing w:line="360" w:lineRule="auto"/>
              <w:ind w:leftChars="0"/>
              <w:jc w:val="left"/>
              <w:rPr>
                <w:rFonts w:hint="eastAsia" w:ascii="Times New Roman" w:hAnsi="Times New Roman" w:eastAsia="宋体" w:cs="Times New Roman"/>
                <w:bCs/>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（3）运动控制技术：如 FTS 高速输送系统采用博世力士乐核心运动控制，具有高速、高响应、高精度、高稳定等特点，为设备的高速、高精度运行提供了有力保障，适用于各种需要快速、精确运动的生产场景。</w:t>
            </w:r>
          </w:p>
          <w:p>
            <w:pPr>
              <w:widowControl/>
              <w:numPr>
                <w:ilvl w:val="0"/>
                <w:numId w:val="0"/>
              </w:numPr>
              <w:snapToGrid w:val="0"/>
              <w:spacing w:line="360" w:lineRule="auto"/>
              <w:jc w:val="left"/>
              <w:rPr>
                <w:rFonts w:hint="eastAsia" w:ascii="Times New Roman" w:hAnsi="Times New Roman" w:eastAsia="宋体" w:cs="Times New Roman"/>
                <w:bCs/>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 xml:space="preserve">（4）精密压合贴附技术：在电子纸贴合等设备中，能将电子纸（FPL）与 TFT 工件等组件快速、准确地贴附，部分设备还可精准控制点胶量，降低胶合过程中出现溢胶或缺胶风险，保证了贴合质量和产品的稳定性。 </w:t>
            </w:r>
          </w:p>
          <w:p>
            <w:pPr>
              <w:widowControl/>
              <w:numPr>
                <w:ilvl w:val="0"/>
                <w:numId w:val="0"/>
              </w:numPr>
              <w:snapToGrid w:val="0"/>
              <w:spacing w:line="360" w:lineRule="auto"/>
              <w:jc w:val="left"/>
              <w:rPr>
                <w:rFonts w:hint="eastAsia" w:ascii="Times New Roman" w:hAnsi="Times New Roman" w:eastAsia="宋体" w:cs="Times New Roman"/>
                <w:bCs/>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5）工业机器人核心技术：深科达在工业机器人领域布局了多个核心产品，包括直线电机模组、编码器、驱动器和导轨。直线电机模组能够提供高精度的定位控制，编码器可以实时反馈机器人运动的精确位置，有助于提升机器人在装配、搬运、焊接等工艺中的工作效率和灵活性。</w:t>
            </w:r>
          </w:p>
          <w:p>
            <w:pPr>
              <w:widowControl/>
              <w:numPr>
                <w:ilvl w:val="0"/>
                <w:numId w:val="0"/>
              </w:numPr>
              <w:snapToGrid w:val="0"/>
              <w:spacing w:line="360" w:lineRule="auto"/>
              <w:jc w:val="left"/>
              <w:rPr>
                <w:rFonts w:hint="default" w:ascii="Times New Roman" w:hAnsi="Times New Roman" w:eastAsia="宋体" w:cs="Times New Roman"/>
                <w:bCs/>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截至2025年6月30日，公司累计获得授权专利432项，其中发明专利86项、实用新型专利340项、外观设计专利6项，累计获得软件著作权107项。公司知识产权成果丰硕，为公司产品研发技术提供持续有力的支撑。</w:t>
            </w:r>
          </w:p>
          <w:p>
            <w:pPr>
              <w:widowControl/>
              <w:numPr>
                <w:ilvl w:val="0"/>
                <w:numId w:val="1"/>
              </w:numPr>
              <w:snapToGrid w:val="0"/>
              <w:spacing w:line="360" w:lineRule="auto"/>
              <w:jc w:val="left"/>
              <w:rPr>
                <w:rFonts w:hint="default" w:ascii="Times New Roman" w:hAnsi="Times New Roman" w:eastAsia="宋体" w:cs="Times New Roman"/>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t>公司上半年整体的经营情况？</w:t>
            </w:r>
          </w:p>
          <w:p>
            <w:pPr>
              <w:widowControl/>
              <w:snapToGrid w:val="0"/>
              <w:spacing w:line="360" w:lineRule="auto"/>
              <w:jc w:val="left"/>
              <w:rPr>
                <w:rFonts w:hint="eastAsia" w:ascii="Times New Roman" w:hAnsi="Times New Roman" w:eastAsia="宋体" w:cs="Times New Roman"/>
                <w:bCs/>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答：公司今年上半年通过聚焦主业，重点开拓消费类电子细分应用场景，公司实现营业收入35,956.93万元，较去年同期增长49.57%；实现归属于上市公司股东的净利润2,060.42万元，较去年同期增加180.87%；实现归属于上市公司股东的扣除非经常性损益的净利润1,952.21万元，较去年同期增加167.39%。</w:t>
            </w:r>
          </w:p>
          <w:p>
            <w:pPr>
              <w:widowControl/>
              <w:snapToGrid w:val="0"/>
              <w:spacing w:line="360" w:lineRule="auto"/>
              <w:jc w:val="left"/>
              <w:rPr>
                <w:rFonts w:hint="eastAsia" w:ascii="Times New Roman" w:hAnsi="Times New Roman" w:eastAsia="宋体" w:cs="Times New Roman"/>
                <w:bCs/>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从业务来看，公司平板显示模组类设备实现营业收入17,942.64万元，较去年同期增长148.01%，占公司营业收入的49.90%。主要原因系显示面板行业呈现复苏态势，超声波指纹、电子纸、智能眼镜等细分应用场景需求增长，公司平板显示模组类设备业务销售订单较去年同期增加，平板显示模组类设备业务收入较去年同期大幅增长。同时，公司半导体封测设备以及智能装备核心部件在市场开拓方面也取得了积极进展，收入增长。</w:t>
            </w:r>
            <w:r>
              <w:rPr>
                <w:rFonts w:hint="eastAsia" w:ascii="Times New Roman" w:hAnsi="Times New Roman" w:eastAsia="宋体" w:cs="Times New Roman"/>
                <w:bCs/>
                <w:color w:val="000000" w:themeColor="text1"/>
                <w:sz w:val="24"/>
                <w:szCs w:val="24"/>
                <w14:textFill>
                  <w14:solidFill>
                    <w14:schemeClr w14:val="tx1"/>
                  </w14:solidFill>
                </w14:textFill>
              </w:rPr>
              <w:t>​</w:t>
            </w:r>
          </w:p>
          <w:p>
            <w:pPr>
              <w:widowControl/>
              <w:numPr>
                <w:ilvl w:val="0"/>
                <w:numId w:val="1"/>
              </w:numPr>
              <w:snapToGrid w:val="0"/>
              <w:spacing w:line="360" w:lineRule="auto"/>
              <w:ind w:left="0" w:leftChars="0" w:firstLine="0" w:firstLineChars="0"/>
              <w:jc w:val="left"/>
              <w:rPr>
                <w:rFonts w:hint="eastAsia" w:ascii="Times New Roman" w:hAnsi="Times New Roman" w:eastAsia="宋体" w:cs="Times New Roman"/>
                <w:bCs/>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META在2025年9月18日新发布了AR眼镜，公司是否有关注？公司在智能眼镜相关设备的布局以及相关技术情况？</w:t>
            </w:r>
          </w:p>
          <w:p>
            <w:pPr>
              <w:widowControl/>
              <w:numPr>
                <w:ilvl w:val="0"/>
                <w:numId w:val="0"/>
              </w:numPr>
              <w:snapToGrid w:val="0"/>
              <w:spacing w:line="360" w:lineRule="auto"/>
              <w:ind w:leftChars="0"/>
              <w:jc w:val="left"/>
              <w:rPr>
                <w:rFonts w:hint="eastAsia" w:ascii="Times New Roman" w:hAnsi="Times New Roman" w:eastAsia="宋体" w:cs="Times New Roman"/>
                <w:bCs/>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答：2025 年 9 月 18 日，Meta 正式推出了与 Ray-Ban 联名的智能眼镜 Meta Ray-Ban Display，这款 AR 眼镜通过光波导屏幕 + 肌电腕带的硬件组合，以及AI 功能深度整合，在轻量化 AR 眼镜领域建立新标杆，产品能力突出。</w:t>
            </w:r>
          </w:p>
          <w:p>
            <w:pPr>
              <w:widowControl/>
              <w:numPr>
                <w:ilvl w:val="0"/>
                <w:numId w:val="0"/>
              </w:numPr>
              <w:snapToGrid w:val="0"/>
              <w:spacing w:line="360" w:lineRule="auto"/>
              <w:ind w:leftChars="0"/>
              <w:jc w:val="left"/>
              <w:rPr>
                <w:rFonts w:hint="eastAsia" w:ascii="Times New Roman" w:hAnsi="Times New Roman" w:eastAsia="宋体" w:cs="Times New Roman"/>
                <w:bCs/>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公司自2022年开始布局智能眼镜，2025年智能眼镜制程设备订单呈快速增长态势。其智能眼镜设备产品包括AR/VR曲面热成型设备、AR/VR曲面高精度胶合设备等。</w:t>
            </w:r>
          </w:p>
          <w:p>
            <w:pPr>
              <w:widowControl/>
              <w:numPr>
                <w:ilvl w:val="0"/>
                <w:numId w:val="0"/>
              </w:numPr>
              <w:snapToGrid w:val="0"/>
              <w:spacing w:line="360" w:lineRule="auto"/>
              <w:ind w:leftChars="0"/>
              <w:jc w:val="left"/>
              <w:rPr>
                <w:rFonts w:hint="eastAsia" w:ascii="Times New Roman" w:hAnsi="Times New Roman" w:eastAsia="宋体" w:cs="Times New Roman"/>
                <w:bCs/>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公司构建了多维度高精度控制体系，通过运用马里斯曲线拟合与异常数据筛选技术、Mark To Mark 6-Dof 对位技术、高精密六轴闭环控制技术、MTF 主动对位技术等，能够矫正干扰数据，实现高精度控制。同时，公司依托卤素红外灯加热系统实现均匀温控，配合超精密模具加工与曲面膜材预 / 热成型技术，形成了从数据处理、材料成型到光学校准的全流程技术闭环，这些创新成果为智能眼镜产品的制造提供了坚实的技术基础，而且推动了智能眼镜行业向更高精度、更高性能的方向发展。公司目前已与国内外知名厂商建立良好合作，与海外知名客户合作关系持续深化，有望在智能眼镜等新兴应用场景实现进一步突破。</w:t>
            </w:r>
          </w:p>
          <w:p>
            <w:pPr>
              <w:widowControl/>
              <w:numPr>
                <w:ilvl w:val="0"/>
                <w:numId w:val="1"/>
              </w:numPr>
              <w:snapToGrid w:val="0"/>
              <w:spacing w:line="360" w:lineRule="auto"/>
              <w:ind w:left="0" w:leftChars="0" w:firstLine="0" w:firstLineChars="0"/>
              <w:jc w:val="left"/>
              <w:rPr>
                <w:rFonts w:hint="eastAsia" w:ascii="Times New Roman" w:hAnsi="Times New Roman" w:eastAsia="宋体" w:cs="Times New Roman"/>
                <w:bCs/>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目前AI芯片/逻辑芯片增长需求，公司的半导体设备应用场景是否有突破？公司是否有相关产品和技术？</w:t>
            </w:r>
          </w:p>
          <w:p>
            <w:pPr>
              <w:widowControl/>
              <w:numPr>
                <w:ilvl w:val="0"/>
                <w:numId w:val="0"/>
              </w:numPr>
              <w:snapToGrid w:val="0"/>
              <w:spacing w:line="360" w:lineRule="auto"/>
              <w:ind w:leftChars="0"/>
              <w:jc w:val="left"/>
              <w:rPr>
                <w:rFonts w:hint="eastAsia" w:ascii="Times New Roman" w:hAnsi="Times New Roman" w:eastAsia="宋体" w:cs="Times New Roman"/>
                <w:bCs/>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答：公司深耕半导体封测设备领域多年，核心产品矩阵清晰且技术积淀深厚，主要涵盖测试分选一体机（包含转塔式、平移式、重力式等多类型机型）、探针台及固晶机等关键设备。凭借稳定的产品性能与可靠的技术服务，公司已与众多知名半导体企业建立长期稳定的合作关系，当前订单储备充足，业务发展态势良好。​</w:t>
            </w: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br w:type="textWrapping"/>
            </w: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针对AI芯片/逻辑芯片相关应用场景，公司目前的半导体设备暂未直接切入该领域，但平移式分选机已具备适配其需求的核心技术基础。公司将持续深化相关技术研发与产品适配，待条件成熟与时机合适时，将积极把握市场机遇，推动产品在该领域的应用突破。</w:t>
            </w:r>
          </w:p>
          <w:p>
            <w:pPr>
              <w:widowControl/>
              <w:numPr>
                <w:ilvl w:val="0"/>
                <w:numId w:val="0"/>
              </w:numPr>
              <w:snapToGrid w:val="0"/>
              <w:spacing w:line="360" w:lineRule="auto"/>
              <w:ind w:leftChars="0"/>
              <w:jc w:val="left"/>
              <w:rPr>
                <w:rFonts w:hint="eastAsia" w:ascii="Times New Roman" w:hAnsi="Times New Roman" w:eastAsia="宋体" w:cs="Times New Roman"/>
                <w:bCs/>
                <w:color w:val="000000" w:themeColor="text1"/>
                <w:sz w:val="24"/>
                <w:szCs w:val="24"/>
                <w:lang w:val="en-US" w:eastAsia="zh-CN"/>
                <w14:textFill>
                  <w14:solidFill>
                    <w14:schemeClr w14:val="tx1"/>
                  </w14:solidFill>
                </w14:textFill>
              </w:rPr>
            </w:pPr>
            <w:r>
              <w:rPr>
                <w:rFonts w:hint="eastAsia" w:ascii="宋体" w:hAnsi="宋体" w:eastAsia="宋体" w:cs="宋体"/>
                <w:sz w:val="24"/>
                <w:szCs w:val="24"/>
                <w:lang w:val="en-US" w:eastAsia="zh-CN"/>
              </w:rPr>
              <w:t>6</w:t>
            </w:r>
            <w:r>
              <w:rPr>
                <w:rFonts w:ascii="宋体" w:hAnsi="宋体" w:eastAsia="宋体" w:cs="宋体"/>
                <w:sz w:val="24"/>
                <w:szCs w:val="24"/>
              </w:rPr>
              <w:t>、公司在8.6代AMOLED生产线设备方面的市场接单情况如何？</w:t>
            </w:r>
            <w:r>
              <w:rPr>
                <w:rFonts w:ascii="宋体" w:hAnsi="宋体" w:eastAsia="宋体" w:cs="宋体"/>
                <w:sz w:val="24"/>
                <w:szCs w:val="24"/>
              </w:rPr>
              <w:br w:type="textWrapping"/>
            </w:r>
            <w:r>
              <w:rPr>
                <w:rFonts w:ascii="宋体" w:hAnsi="宋体" w:eastAsia="宋体" w:cs="宋体"/>
                <w:sz w:val="24"/>
                <w:szCs w:val="24"/>
              </w:rPr>
              <w:t>答：8.6代AMOLED生产线的落地，标志着国内高世代柔性显示产能正式突破，也带动了上游设备、材料等产业链环节的市场爆发。在8.6代AMOLED生产线领域，公司凭借深厚的技术积累与精准的市场布局已取得阶段性成果，公司的贴合类相关设备已取得8.6代AMOLED生产线</w:t>
            </w:r>
            <w:r>
              <w:rPr>
                <w:rFonts w:hint="eastAsia" w:ascii="宋体" w:hAnsi="宋体" w:eastAsia="宋体" w:cs="宋体"/>
                <w:sz w:val="24"/>
                <w:szCs w:val="24"/>
                <w:lang w:val="en-US" w:eastAsia="zh-CN"/>
              </w:rPr>
              <w:t>大批量</w:t>
            </w:r>
            <w:r>
              <w:rPr>
                <w:rFonts w:ascii="宋体" w:hAnsi="宋体" w:eastAsia="宋体" w:cs="宋体"/>
                <w:sz w:val="24"/>
                <w:szCs w:val="24"/>
              </w:rPr>
              <w:t>订单，打开了高世代AMOLED设备的核心市场。从行业端看，国内预计将有更多高世代AMOLED生产线规划落地，</w:t>
            </w:r>
            <w:r>
              <w:rPr>
                <w:rFonts w:hint="eastAsia" w:ascii="宋体" w:hAnsi="宋体" w:eastAsia="宋体" w:cs="宋体"/>
                <w:sz w:val="24"/>
                <w:szCs w:val="24"/>
                <w:lang w:val="en-US" w:eastAsia="zh-CN"/>
              </w:rPr>
              <w:t>预计公司将会受益</w:t>
            </w:r>
            <w:r>
              <w:rPr>
                <w:rFonts w:ascii="宋体" w:hAnsi="宋体" w:eastAsia="宋体" w:cs="宋体"/>
                <w:sz w:val="24"/>
                <w:szCs w:val="24"/>
              </w:rPr>
              <w:t>。</w:t>
            </w:r>
          </w:p>
          <w:p>
            <w:pPr>
              <w:widowControl/>
              <w:numPr>
                <w:ilvl w:val="0"/>
                <w:numId w:val="0"/>
              </w:numPr>
              <w:snapToGrid w:val="0"/>
              <w:spacing w:line="360" w:lineRule="auto"/>
              <w:ind w:leftChars="0"/>
              <w:jc w:val="left"/>
              <w:rPr>
                <w:rFonts w:hint="eastAsia" w:ascii="Times New Roman" w:hAnsi="Times New Roman" w:eastAsia="宋体" w:cs="Times New Roman"/>
                <w:bCs/>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7、公司外延并购的方向？</w:t>
            </w:r>
          </w:p>
          <w:p>
            <w:pPr>
              <w:widowControl/>
              <w:numPr>
                <w:ilvl w:val="0"/>
                <w:numId w:val="0"/>
              </w:numPr>
              <w:snapToGrid w:val="0"/>
              <w:spacing w:line="360" w:lineRule="auto"/>
              <w:ind w:leftChars="0"/>
              <w:jc w:val="left"/>
              <w:rPr>
                <w:rFonts w:ascii="Times New Roman" w:hAnsi="Times New Roman" w:eastAsia="宋体" w:cs="Times New Roman"/>
                <w:bCs/>
                <w:color w:val="000000" w:themeColor="text1"/>
                <w:sz w:val="24"/>
                <w:szCs w:val="24"/>
                <w14:textFill>
                  <w14:solidFill>
                    <w14:schemeClr w14:val="tx1"/>
                  </w14:solidFill>
                </w14:textFill>
              </w:rPr>
            </w:pP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答：公司是国内为数不多的具备半导体设备、平板显示模组设备以及智能装备核心零部件等研发和制造能力的企业之一，一直专注于智能制造装备生产领域，并向智能装备核心零部件领域进行了产业延伸。未来公司将结合发展战略和经营目标，选取优质投资标的，不断发展主业。</w:t>
            </w:r>
          </w:p>
        </w:tc>
      </w:tr>
      <w:tr>
        <w:tblPrEx>
          <w:tblLayout w:type="fixed"/>
          <w:tblCellMar>
            <w:top w:w="0" w:type="dxa"/>
            <w:left w:w="108" w:type="dxa"/>
            <w:bottom w:w="41" w:type="dxa"/>
            <w:right w:w="0" w:type="dxa"/>
          </w:tblCellMar>
        </w:tblPrEx>
        <w:trPr>
          <w:trHeight w:val="490" w:hRule="atLeast"/>
        </w:trPr>
        <w:tc>
          <w:tcPr>
            <w:tcW w:w="21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附件清单（如有）</w:t>
            </w:r>
          </w:p>
        </w:tc>
        <w:tc>
          <w:tcPr>
            <w:tcW w:w="7876" w:type="dxa"/>
            <w:tcBorders>
              <w:top w:val="single" w:color="000000" w:sz="4" w:space="0"/>
              <w:left w:val="single" w:color="000000" w:sz="4" w:space="0"/>
              <w:bottom w:val="single" w:color="000000" w:sz="4" w:space="0"/>
              <w:right w:val="single" w:color="000000" w:sz="4" w:space="0"/>
            </w:tcBorders>
            <w:vAlign w:val="bottom"/>
          </w:tcPr>
          <w:p>
            <w:pPr>
              <w:widowControl/>
              <w:snapToGrid w:val="0"/>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无</w:t>
            </w:r>
          </w:p>
        </w:tc>
      </w:tr>
    </w:tbl>
    <w:p>
      <w:pPr>
        <w:rPr>
          <w:rFonts w:hint="eastAsia"/>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Theme="minorEastAsia"/>
        <w:lang w:eastAsia="zh-CN"/>
      </w:rPr>
    </w:pPr>
    <w:r>
      <w:rPr>
        <w:rFonts w:hint="eastAsia"/>
      </w:rPr>
      <w:t>投资者关系调研记录表2025-</w:t>
    </w:r>
    <w:r>
      <w:rPr>
        <w:rFonts w:hint="eastAsia"/>
        <w:lang w:val="en-US" w:eastAsia="zh-CN"/>
      </w:rPr>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194188"/>
    <w:multiLevelType w:val="singleLevel"/>
    <w:tmpl w:val="90194188"/>
    <w:lvl w:ilvl="0" w:tentative="0">
      <w:start w:val="1"/>
      <w:numFmt w:val="decimal"/>
      <w:suff w:val="nothing"/>
      <w:lvlText w:val="%1、"/>
      <w:lvlJc w:val="left"/>
    </w:lvl>
  </w:abstractNum>
  <w:abstractNum w:abstractNumId="1">
    <w:nsid w:val="083BA2F6"/>
    <w:multiLevelType w:val="singleLevel"/>
    <w:tmpl w:val="083BA2F6"/>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E3A"/>
    <w:rsid w:val="00007BB1"/>
    <w:rsid w:val="00024DA0"/>
    <w:rsid w:val="0003789B"/>
    <w:rsid w:val="00045150"/>
    <w:rsid w:val="0005228C"/>
    <w:rsid w:val="00066488"/>
    <w:rsid w:val="000911B1"/>
    <w:rsid w:val="000B022D"/>
    <w:rsid w:val="000C66AC"/>
    <w:rsid w:val="000C7ECB"/>
    <w:rsid w:val="000E3444"/>
    <w:rsid w:val="000F2088"/>
    <w:rsid w:val="000F68A3"/>
    <w:rsid w:val="000F7B15"/>
    <w:rsid w:val="00111A9F"/>
    <w:rsid w:val="001218C5"/>
    <w:rsid w:val="001268B5"/>
    <w:rsid w:val="00127CFF"/>
    <w:rsid w:val="00141788"/>
    <w:rsid w:val="001618D4"/>
    <w:rsid w:val="00172897"/>
    <w:rsid w:val="00174135"/>
    <w:rsid w:val="001762DD"/>
    <w:rsid w:val="001770C5"/>
    <w:rsid w:val="001B4BAE"/>
    <w:rsid w:val="002149F8"/>
    <w:rsid w:val="002153C4"/>
    <w:rsid w:val="00215CCC"/>
    <w:rsid w:val="002169BA"/>
    <w:rsid w:val="00227609"/>
    <w:rsid w:val="002313D0"/>
    <w:rsid w:val="00234889"/>
    <w:rsid w:val="002542FB"/>
    <w:rsid w:val="00260363"/>
    <w:rsid w:val="002641F9"/>
    <w:rsid w:val="002735E9"/>
    <w:rsid w:val="002A78AB"/>
    <w:rsid w:val="002E03FF"/>
    <w:rsid w:val="002E25DA"/>
    <w:rsid w:val="002E593A"/>
    <w:rsid w:val="002E6F1D"/>
    <w:rsid w:val="002F2186"/>
    <w:rsid w:val="002F5B4F"/>
    <w:rsid w:val="002F60BE"/>
    <w:rsid w:val="003036D7"/>
    <w:rsid w:val="003244D1"/>
    <w:rsid w:val="00341321"/>
    <w:rsid w:val="00343140"/>
    <w:rsid w:val="00365D58"/>
    <w:rsid w:val="0039175E"/>
    <w:rsid w:val="0039424D"/>
    <w:rsid w:val="003A7B13"/>
    <w:rsid w:val="003D33FB"/>
    <w:rsid w:val="003D68CE"/>
    <w:rsid w:val="00431189"/>
    <w:rsid w:val="00441FB0"/>
    <w:rsid w:val="00486001"/>
    <w:rsid w:val="004916E5"/>
    <w:rsid w:val="0049390B"/>
    <w:rsid w:val="00495744"/>
    <w:rsid w:val="004B283F"/>
    <w:rsid w:val="004B42CE"/>
    <w:rsid w:val="004B7A64"/>
    <w:rsid w:val="004E2779"/>
    <w:rsid w:val="004F6DDF"/>
    <w:rsid w:val="00540F5E"/>
    <w:rsid w:val="00543E0D"/>
    <w:rsid w:val="00550A02"/>
    <w:rsid w:val="005631F4"/>
    <w:rsid w:val="00571C96"/>
    <w:rsid w:val="005B6EDB"/>
    <w:rsid w:val="005E4214"/>
    <w:rsid w:val="005F75DD"/>
    <w:rsid w:val="00601B64"/>
    <w:rsid w:val="006215DB"/>
    <w:rsid w:val="00626B1E"/>
    <w:rsid w:val="00636A0A"/>
    <w:rsid w:val="0067019D"/>
    <w:rsid w:val="00676756"/>
    <w:rsid w:val="00680FF1"/>
    <w:rsid w:val="00684A28"/>
    <w:rsid w:val="00697E06"/>
    <w:rsid w:val="006A13AE"/>
    <w:rsid w:val="006A7ED1"/>
    <w:rsid w:val="00715EA3"/>
    <w:rsid w:val="00727C4E"/>
    <w:rsid w:val="00745BBF"/>
    <w:rsid w:val="00767398"/>
    <w:rsid w:val="00795411"/>
    <w:rsid w:val="007C3DC5"/>
    <w:rsid w:val="007C50C8"/>
    <w:rsid w:val="007E0A19"/>
    <w:rsid w:val="007E0A94"/>
    <w:rsid w:val="00802E87"/>
    <w:rsid w:val="00812C38"/>
    <w:rsid w:val="0083205D"/>
    <w:rsid w:val="00887839"/>
    <w:rsid w:val="008A2209"/>
    <w:rsid w:val="008A4F1F"/>
    <w:rsid w:val="008A7678"/>
    <w:rsid w:val="008C5CF2"/>
    <w:rsid w:val="009018B3"/>
    <w:rsid w:val="009314BC"/>
    <w:rsid w:val="0093153E"/>
    <w:rsid w:val="00947AB4"/>
    <w:rsid w:val="009709F1"/>
    <w:rsid w:val="009824CC"/>
    <w:rsid w:val="009868E8"/>
    <w:rsid w:val="00993534"/>
    <w:rsid w:val="009B4D09"/>
    <w:rsid w:val="009B60F4"/>
    <w:rsid w:val="009E6F6B"/>
    <w:rsid w:val="00A13212"/>
    <w:rsid w:val="00A24ADD"/>
    <w:rsid w:val="00A46D6F"/>
    <w:rsid w:val="00A47956"/>
    <w:rsid w:val="00A706F0"/>
    <w:rsid w:val="00A77639"/>
    <w:rsid w:val="00A94AA5"/>
    <w:rsid w:val="00AA3F47"/>
    <w:rsid w:val="00AB058C"/>
    <w:rsid w:val="00AB3988"/>
    <w:rsid w:val="00AB3C08"/>
    <w:rsid w:val="00AD5482"/>
    <w:rsid w:val="00B13D78"/>
    <w:rsid w:val="00B47FFC"/>
    <w:rsid w:val="00B55D98"/>
    <w:rsid w:val="00B64F28"/>
    <w:rsid w:val="00B65EEF"/>
    <w:rsid w:val="00B91208"/>
    <w:rsid w:val="00BB6EA5"/>
    <w:rsid w:val="00BC6542"/>
    <w:rsid w:val="00BE70D1"/>
    <w:rsid w:val="00C107F4"/>
    <w:rsid w:val="00C128FA"/>
    <w:rsid w:val="00C17808"/>
    <w:rsid w:val="00C63707"/>
    <w:rsid w:val="00C77C49"/>
    <w:rsid w:val="00C81511"/>
    <w:rsid w:val="00C96B6A"/>
    <w:rsid w:val="00CA1F21"/>
    <w:rsid w:val="00CA7C41"/>
    <w:rsid w:val="00CB6E74"/>
    <w:rsid w:val="00CC6EB0"/>
    <w:rsid w:val="00CD73E6"/>
    <w:rsid w:val="00D24A99"/>
    <w:rsid w:val="00D37291"/>
    <w:rsid w:val="00D52FCE"/>
    <w:rsid w:val="00D5453C"/>
    <w:rsid w:val="00D56F6B"/>
    <w:rsid w:val="00D621D0"/>
    <w:rsid w:val="00D77A3C"/>
    <w:rsid w:val="00D805F2"/>
    <w:rsid w:val="00D85CDB"/>
    <w:rsid w:val="00DA135F"/>
    <w:rsid w:val="00DC7844"/>
    <w:rsid w:val="00DE774C"/>
    <w:rsid w:val="00E00937"/>
    <w:rsid w:val="00E01D3A"/>
    <w:rsid w:val="00E2458D"/>
    <w:rsid w:val="00E51CC7"/>
    <w:rsid w:val="00E54EED"/>
    <w:rsid w:val="00E86C58"/>
    <w:rsid w:val="00EA1183"/>
    <w:rsid w:val="00EA3843"/>
    <w:rsid w:val="00EA6014"/>
    <w:rsid w:val="00EA62D7"/>
    <w:rsid w:val="00EA7E01"/>
    <w:rsid w:val="00EB08A9"/>
    <w:rsid w:val="00EC3F83"/>
    <w:rsid w:val="00EF5ED5"/>
    <w:rsid w:val="00F021A1"/>
    <w:rsid w:val="00F05203"/>
    <w:rsid w:val="00F2068D"/>
    <w:rsid w:val="00F33166"/>
    <w:rsid w:val="00F5285A"/>
    <w:rsid w:val="00F53094"/>
    <w:rsid w:val="00F646A1"/>
    <w:rsid w:val="00F83D1C"/>
    <w:rsid w:val="00FA2E3A"/>
    <w:rsid w:val="00FA2EE7"/>
    <w:rsid w:val="00FB1548"/>
    <w:rsid w:val="00FB4B62"/>
    <w:rsid w:val="00FB7A77"/>
    <w:rsid w:val="00FD032E"/>
    <w:rsid w:val="00FD4A7B"/>
    <w:rsid w:val="00FD5EE0"/>
    <w:rsid w:val="00FE5B9D"/>
    <w:rsid w:val="00FF2F64"/>
    <w:rsid w:val="00FF5EA0"/>
    <w:rsid w:val="070519D5"/>
    <w:rsid w:val="091260C2"/>
    <w:rsid w:val="0A461515"/>
    <w:rsid w:val="113C7F4E"/>
    <w:rsid w:val="181C5855"/>
    <w:rsid w:val="1EFC317A"/>
    <w:rsid w:val="1FD1227A"/>
    <w:rsid w:val="23E74C33"/>
    <w:rsid w:val="2C19452D"/>
    <w:rsid w:val="2CA82B03"/>
    <w:rsid w:val="2D042D03"/>
    <w:rsid w:val="2E8C4480"/>
    <w:rsid w:val="2EED3F38"/>
    <w:rsid w:val="307964C9"/>
    <w:rsid w:val="34AC20C7"/>
    <w:rsid w:val="37D509E5"/>
    <w:rsid w:val="38E07FB3"/>
    <w:rsid w:val="3AF95225"/>
    <w:rsid w:val="3F5C661A"/>
    <w:rsid w:val="3FEB3EB8"/>
    <w:rsid w:val="41AF7E19"/>
    <w:rsid w:val="425012F0"/>
    <w:rsid w:val="42E44775"/>
    <w:rsid w:val="45475D7C"/>
    <w:rsid w:val="4B8F3130"/>
    <w:rsid w:val="4BF556C1"/>
    <w:rsid w:val="4F8B5508"/>
    <w:rsid w:val="504B4F3C"/>
    <w:rsid w:val="50546DA2"/>
    <w:rsid w:val="55D3319D"/>
    <w:rsid w:val="5B367A53"/>
    <w:rsid w:val="5C727963"/>
    <w:rsid w:val="5FE95136"/>
    <w:rsid w:val="611B2D5E"/>
    <w:rsid w:val="623F48B3"/>
    <w:rsid w:val="70394C4A"/>
    <w:rsid w:val="7291323F"/>
    <w:rsid w:val="743E521F"/>
    <w:rsid w:val="74B356D7"/>
    <w:rsid w:val="77790EFF"/>
    <w:rsid w:val="7BBA5835"/>
    <w:rsid w:val="7D7F7E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line="240" w:lineRule="auto"/>
      <w:jc w:val="left"/>
    </w:pPr>
    <w:rPr>
      <w:rFonts w:ascii="宋体" w:hAnsi="宋体" w:eastAsia="宋体" w:cs="宋体"/>
      <w:kern w:val="0"/>
      <w:sz w:val="24"/>
      <w:szCs w:val="24"/>
    </w:rPr>
  </w:style>
  <w:style w:type="character" w:styleId="7">
    <w:name w:val="Strong"/>
    <w:basedOn w:val="6"/>
    <w:qFormat/>
    <w:uiPriority w:val="22"/>
    <w:rPr>
      <w:b/>
    </w:rPr>
  </w:style>
  <w:style w:type="paragraph" w:styleId="8">
    <w:name w:val="List Paragraph"/>
    <w:basedOn w:val="1"/>
    <w:qFormat/>
    <w:uiPriority w:val="34"/>
    <w:pPr>
      <w:ind w:firstLine="420" w:firstLineChars="200"/>
    </w:pPr>
  </w:style>
  <w:style w:type="table" w:customStyle="1" w:styleId="9">
    <w:name w:val="TableGrid"/>
    <w:qFormat/>
    <w:uiPriority w:val="0"/>
    <w:tblPr>
      <w:tblLayout w:type="fixed"/>
      <w:tblCellMar>
        <w:top w:w="0" w:type="dxa"/>
        <w:left w:w="0" w:type="dxa"/>
        <w:bottom w:w="0" w:type="dxa"/>
        <w:right w:w="0" w:type="dxa"/>
      </w:tblCellMar>
    </w:tblPr>
  </w:style>
  <w:style w:type="character" w:customStyle="1" w:styleId="10">
    <w:name w:val="页眉 字符"/>
    <w:basedOn w:val="6"/>
    <w:link w:val="3"/>
    <w:qFormat/>
    <w:uiPriority w:val="99"/>
    <w:rPr>
      <w:sz w:val="18"/>
      <w:szCs w:val="18"/>
    </w:rPr>
  </w:style>
  <w:style w:type="character" w:customStyle="1" w:styleId="11">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QN</Company>
  <Pages>5</Pages>
  <Words>492</Words>
  <Characters>2811</Characters>
  <Lines>23</Lines>
  <Paragraphs>6</Paragraphs>
  <TotalTime>134</TotalTime>
  <ScaleCrop>false</ScaleCrop>
  <LinksUpToDate>false</LinksUpToDate>
  <CharactersWithSpaces>3297</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2025-06-20T09:06:00Z</dcterms:created>
  <dc:creator>HYC_财务部_任艺男</dc:creator>
  <cp:lastModifiedBy>zyp</cp:lastModifiedBy>
  <dcterms:modified xsi:type="dcterms:W3CDTF">2025-09-19T09:05:37Z</dcterms:modified>
  <dc:title>证券代码：688328                                    证券简称：深科达</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