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4741" w14:textId="77777777" w:rsidR="00834C62" w:rsidRDefault="00561AF3">
      <w:pPr>
        <w:pStyle w:val="Default"/>
        <w:spacing w:line="360" w:lineRule="exact"/>
        <w:jc w:val="center"/>
        <w:rPr>
          <w:rFonts w:ascii="宋体" w:eastAsia="宋体" w:hAnsi="宋体" w:cs="宋体" w:hint="eastAsia"/>
          <w:b/>
          <w:bCs/>
          <w:szCs w:val="28"/>
        </w:rPr>
      </w:pPr>
      <w:r>
        <w:rPr>
          <w:rFonts w:ascii="宋体" w:eastAsia="宋体" w:hAnsi="宋体" w:cs="宋体" w:hint="eastAsia"/>
          <w:b/>
          <w:bCs/>
          <w:szCs w:val="28"/>
        </w:rPr>
        <w:t>天合光能股份有限公司</w:t>
      </w:r>
    </w:p>
    <w:p w14:paraId="2CF0430F" w14:textId="77777777" w:rsidR="00834C62" w:rsidRDefault="00561AF3">
      <w:pPr>
        <w:pStyle w:val="Default"/>
        <w:spacing w:line="360" w:lineRule="exact"/>
        <w:jc w:val="center"/>
        <w:rPr>
          <w:rFonts w:ascii="宋体" w:eastAsia="宋体" w:hAnsi="宋体" w:cs="宋体" w:hint="eastAsia"/>
          <w:b/>
          <w:bCs/>
          <w:szCs w:val="28"/>
        </w:rPr>
      </w:pPr>
      <w:r>
        <w:rPr>
          <w:rFonts w:ascii="宋体" w:eastAsia="宋体" w:hAnsi="宋体" w:cs="宋体" w:hint="eastAsia"/>
          <w:b/>
          <w:bCs/>
          <w:szCs w:val="28"/>
        </w:rPr>
        <w:t>投资者关系活动记录表</w:t>
      </w:r>
    </w:p>
    <w:p w14:paraId="18496401" w14:textId="77777777" w:rsidR="00834C62" w:rsidRDefault="00561AF3">
      <w:pPr>
        <w:wordWrap w:val="0"/>
        <w:spacing w:line="360" w:lineRule="auto"/>
        <w:jc w:val="right"/>
        <w:rPr>
          <w:rFonts w:ascii="宋体" w:eastAsia="宋体" w:hAnsi="宋体" w:cs="Times New Roman" w:hint="eastAsia"/>
          <w:sz w:val="22"/>
        </w:rPr>
      </w:pPr>
      <w:r>
        <w:rPr>
          <w:rFonts w:ascii="宋体" w:eastAsia="宋体" w:hAnsi="宋体" w:cs="Times New Roman" w:hint="eastAsia"/>
          <w:sz w:val="22"/>
        </w:rPr>
        <w:t xml:space="preserve"> </w:t>
      </w:r>
      <w:r>
        <w:rPr>
          <w:rFonts w:ascii="宋体" w:eastAsia="宋体" w:hAnsi="宋体" w:cs="Times New Roman"/>
          <w:sz w:val="22"/>
        </w:rPr>
        <w:t xml:space="preserve">     </w:t>
      </w:r>
      <w:r>
        <w:rPr>
          <w:rFonts w:ascii="宋体" w:eastAsia="宋体" w:hAnsi="宋体" w:cs="Times New Roman" w:hint="eastAsia"/>
          <w:sz w:val="22"/>
        </w:rPr>
        <w:t>编号</w:t>
      </w:r>
      <w:r>
        <w:rPr>
          <w:rFonts w:ascii="宋体" w:eastAsia="宋体" w:hAnsi="宋体" w:cs="Times New Roman"/>
          <w:sz w:val="22"/>
        </w:rPr>
        <w:t>：</w:t>
      </w:r>
      <w:r>
        <w:rPr>
          <w:rFonts w:ascii="宋体" w:eastAsia="宋体" w:hAnsi="宋体" w:cs="Times New Roman" w:hint="eastAsia"/>
          <w:sz w:val="22"/>
        </w:rPr>
        <w:t>2</w:t>
      </w:r>
      <w:r>
        <w:rPr>
          <w:rFonts w:ascii="宋体" w:eastAsia="宋体" w:hAnsi="宋体" w:cs="Times New Roman"/>
          <w:sz w:val="22"/>
        </w:rPr>
        <w:t>02</w:t>
      </w:r>
      <w:r w:rsidR="00DB3A6C">
        <w:rPr>
          <w:rFonts w:ascii="宋体" w:eastAsia="宋体" w:hAnsi="宋体" w:cs="Times New Roman"/>
          <w:sz w:val="22"/>
        </w:rPr>
        <w:t>5</w:t>
      </w:r>
      <w:r>
        <w:rPr>
          <w:rFonts w:ascii="宋体" w:eastAsia="宋体" w:hAnsi="宋体" w:cs="Times New Roman" w:hint="eastAsia"/>
          <w:sz w:val="22"/>
        </w:rPr>
        <w:t>-0</w:t>
      </w:r>
      <w:r>
        <w:rPr>
          <w:rFonts w:ascii="宋体" w:eastAsia="宋体" w:hAnsi="宋体" w:cs="Times New Roman"/>
          <w:sz w:val="22"/>
        </w:rPr>
        <w:t>0</w:t>
      </w:r>
      <w:r w:rsidR="00DB3A6C">
        <w:rPr>
          <w:rFonts w:ascii="宋体" w:eastAsia="宋体" w:hAnsi="宋体" w:cs="Times New Roman" w:hint="eastAsia"/>
          <w:sz w:val="22"/>
        </w:rPr>
        <w:t>9</w:t>
      </w:r>
    </w:p>
    <w:tbl>
      <w:tblPr>
        <w:tblStyle w:val="1"/>
        <w:tblW w:w="8500" w:type="dxa"/>
        <w:jc w:val="center"/>
        <w:tblLook w:val="04A0" w:firstRow="1" w:lastRow="0" w:firstColumn="1" w:lastColumn="0" w:noHBand="0" w:noVBand="1"/>
      </w:tblPr>
      <w:tblGrid>
        <w:gridCol w:w="1838"/>
        <w:gridCol w:w="6662"/>
      </w:tblGrid>
      <w:tr w:rsidR="00834C62" w14:paraId="6A927216" w14:textId="77777777">
        <w:trPr>
          <w:trHeight w:val="1926"/>
          <w:jc w:val="center"/>
        </w:trPr>
        <w:tc>
          <w:tcPr>
            <w:tcW w:w="1838" w:type="dxa"/>
            <w:vAlign w:val="center"/>
          </w:tcPr>
          <w:p w14:paraId="528E2DC3" w14:textId="77777777" w:rsidR="00834C62" w:rsidRDefault="00561AF3">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投资者关系活动类别</w:t>
            </w:r>
          </w:p>
        </w:tc>
        <w:tc>
          <w:tcPr>
            <w:tcW w:w="6662" w:type="dxa"/>
          </w:tcPr>
          <w:p w14:paraId="337E82E8" w14:textId="77777777" w:rsidR="00834C62" w:rsidRDefault="00561AF3">
            <w:pPr>
              <w:spacing w:line="360" w:lineRule="exact"/>
              <w:jc w:val="left"/>
              <w:rPr>
                <w:rFonts w:ascii="宋体" w:eastAsia="宋体" w:hAnsi="宋体" w:cs="Times New Roman" w:hint="eastAsia"/>
                <w:sz w:val="22"/>
              </w:rPr>
            </w:pPr>
            <w:r>
              <w:rPr>
                <w:rFonts w:ascii="宋体" w:eastAsia="宋体" w:hAnsi="宋体" w:cs="Times New Roman" w:hint="eastAsia"/>
                <w:szCs w:val="21"/>
              </w:rPr>
              <w:t>√</w:t>
            </w:r>
            <w:r>
              <w:rPr>
                <w:rFonts w:ascii="宋体" w:eastAsia="宋体" w:hAnsi="宋体" w:cs="Times New Roman" w:hint="eastAsia"/>
                <w:sz w:val="22"/>
              </w:rPr>
              <w:t xml:space="preserve">特定对象调研 </w:t>
            </w:r>
            <w:r>
              <w:rPr>
                <w:rFonts w:ascii="宋体" w:eastAsia="宋体" w:hAnsi="宋体" w:cs="Times New Roman"/>
                <w:sz w:val="22"/>
              </w:rPr>
              <w:t xml:space="preserve">       </w:t>
            </w:r>
            <w:r>
              <w:rPr>
                <w:rFonts w:ascii="宋体" w:eastAsia="宋体" w:hAnsi="宋体" w:cs="Times New Roman" w:hint="eastAsia"/>
                <w:sz w:val="22"/>
              </w:rPr>
              <w:t>□ 分析师会议</w:t>
            </w:r>
          </w:p>
          <w:p w14:paraId="1770DBCB" w14:textId="77777777" w:rsidR="00834C62" w:rsidRDefault="00561AF3">
            <w:pPr>
              <w:autoSpaceDE w:val="0"/>
              <w:autoSpaceDN w:val="0"/>
              <w:spacing w:line="360" w:lineRule="exact"/>
              <w:jc w:val="left"/>
              <w:rPr>
                <w:rFonts w:ascii="宋体" w:eastAsia="宋体" w:hAnsi="宋体" w:cs="Noto Sans CJK JP Regular" w:hint="eastAsia"/>
                <w:kern w:val="0"/>
                <w:sz w:val="22"/>
              </w:rPr>
            </w:pPr>
            <w:r>
              <w:rPr>
                <w:rFonts w:ascii="宋体" w:eastAsia="宋体" w:hAnsi="宋体" w:cs="Times New Roman" w:hint="eastAsia"/>
                <w:sz w:val="22"/>
              </w:rPr>
              <w:t xml:space="preserve">□ </w:t>
            </w:r>
            <w:r>
              <w:rPr>
                <w:rFonts w:ascii="宋体" w:eastAsia="宋体" w:hAnsi="宋体" w:cs="Noto Sans CJK JP Regular" w:hint="eastAsia"/>
                <w:kern w:val="0"/>
                <w:sz w:val="22"/>
              </w:rPr>
              <w:t xml:space="preserve">媒体采访  </w:t>
            </w:r>
            <w:r>
              <w:rPr>
                <w:rFonts w:ascii="宋体" w:eastAsia="宋体" w:hAnsi="宋体" w:cs="Noto Sans CJK JP Regular"/>
                <w:kern w:val="0"/>
                <w:sz w:val="22"/>
              </w:rPr>
              <w:t xml:space="preserve">         </w:t>
            </w:r>
            <w:r>
              <w:rPr>
                <w:rFonts w:ascii="宋体" w:eastAsia="宋体" w:hAnsi="宋体" w:cs="Times New Roman" w:hint="eastAsia"/>
                <w:sz w:val="22"/>
              </w:rPr>
              <w:t>□</w:t>
            </w:r>
            <w:r>
              <w:rPr>
                <w:rFonts w:ascii="宋体" w:eastAsia="宋体" w:hAnsi="宋体" w:cs="Noto Sans CJK JP Regular" w:hint="eastAsia"/>
                <w:kern w:val="0"/>
                <w:sz w:val="22"/>
              </w:rPr>
              <w:t xml:space="preserve"> 业绩说明会</w:t>
            </w:r>
          </w:p>
          <w:p w14:paraId="5FACC898" w14:textId="77777777" w:rsidR="00834C62" w:rsidRDefault="00561AF3">
            <w:pPr>
              <w:autoSpaceDE w:val="0"/>
              <w:autoSpaceDN w:val="0"/>
              <w:spacing w:line="360" w:lineRule="exact"/>
              <w:jc w:val="left"/>
              <w:rPr>
                <w:rFonts w:ascii="宋体" w:eastAsia="宋体" w:hAnsi="宋体" w:cs="Noto Sans CJK JP Regular" w:hint="eastAsia"/>
                <w:kern w:val="0"/>
                <w:sz w:val="22"/>
              </w:rPr>
            </w:pPr>
            <w:r>
              <w:rPr>
                <w:rFonts w:ascii="宋体" w:eastAsia="宋体" w:hAnsi="宋体" w:cs="Noto Sans CJK JP Regular" w:hint="eastAsia"/>
                <w:kern w:val="0"/>
                <w:sz w:val="22"/>
              </w:rPr>
              <w:t xml:space="preserve">□ 新闻发布会  </w:t>
            </w:r>
            <w:r>
              <w:rPr>
                <w:rFonts w:ascii="宋体" w:eastAsia="宋体" w:hAnsi="宋体" w:cs="Noto Sans CJK JP Regular"/>
                <w:kern w:val="0"/>
                <w:sz w:val="22"/>
              </w:rPr>
              <w:t xml:space="preserve">       </w:t>
            </w:r>
            <w:r>
              <w:rPr>
                <w:rFonts w:ascii="宋体" w:eastAsia="宋体" w:hAnsi="宋体" w:cs="Noto Sans CJK JP Regular" w:hint="eastAsia"/>
                <w:kern w:val="0"/>
                <w:sz w:val="22"/>
              </w:rPr>
              <w:t>□ 路演活动</w:t>
            </w:r>
          </w:p>
          <w:p w14:paraId="029864DC" w14:textId="77777777" w:rsidR="00834C62" w:rsidRDefault="009E607E">
            <w:pPr>
              <w:spacing w:line="360" w:lineRule="exact"/>
              <w:jc w:val="left"/>
              <w:rPr>
                <w:rFonts w:ascii="宋体" w:eastAsia="宋体" w:hAnsi="宋体" w:cs="Times New Roman" w:hint="eastAsia"/>
                <w:sz w:val="22"/>
              </w:rPr>
            </w:pPr>
            <w:r>
              <w:rPr>
                <w:rFonts w:ascii="宋体" w:eastAsia="宋体" w:hAnsi="宋体" w:cs="Times New Roman" w:hint="eastAsia"/>
                <w:szCs w:val="21"/>
              </w:rPr>
              <w:t>√</w:t>
            </w:r>
            <w:r w:rsidR="00561AF3">
              <w:rPr>
                <w:rFonts w:ascii="宋体" w:eastAsia="宋体" w:hAnsi="宋体" w:cs="Times New Roman" w:hint="eastAsia"/>
                <w:sz w:val="22"/>
              </w:rPr>
              <w:t xml:space="preserve"> 现场参观</w:t>
            </w:r>
          </w:p>
          <w:p w14:paraId="2B620625" w14:textId="77777777" w:rsidR="00834C62" w:rsidRDefault="00561AF3">
            <w:pPr>
              <w:spacing w:line="360" w:lineRule="exact"/>
              <w:jc w:val="left"/>
              <w:rPr>
                <w:rFonts w:ascii="宋体" w:eastAsia="宋体" w:hAnsi="宋体" w:cs="Times New Roman" w:hint="eastAsia"/>
                <w:sz w:val="22"/>
              </w:rPr>
            </w:pPr>
            <w:r>
              <w:rPr>
                <w:rFonts w:ascii="宋体" w:eastAsia="宋体" w:hAnsi="宋体" w:cs="Times New Roman" w:hint="eastAsia"/>
                <w:sz w:val="22"/>
              </w:rPr>
              <w:t>□ 其他（请文字说明）</w:t>
            </w:r>
          </w:p>
        </w:tc>
      </w:tr>
      <w:tr w:rsidR="00834C62" w14:paraId="3BD48E9D" w14:textId="77777777">
        <w:trPr>
          <w:trHeight w:val="475"/>
          <w:jc w:val="center"/>
        </w:trPr>
        <w:tc>
          <w:tcPr>
            <w:tcW w:w="1838" w:type="dxa"/>
            <w:vAlign w:val="center"/>
          </w:tcPr>
          <w:p w14:paraId="0F2FB320" w14:textId="77777777" w:rsidR="00834C62" w:rsidRDefault="00561AF3">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参与</w:t>
            </w:r>
            <w:r>
              <w:rPr>
                <w:rFonts w:ascii="宋体" w:eastAsia="宋体" w:hAnsi="宋体" w:cs="Times New Roman"/>
                <w:b/>
                <w:bCs/>
                <w:sz w:val="22"/>
              </w:rPr>
              <w:t>单位</w:t>
            </w:r>
          </w:p>
        </w:tc>
        <w:tc>
          <w:tcPr>
            <w:tcW w:w="6662" w:type="dxa"/>
            <w:vAlign w:val="center"/>
          </w:tcPr>
          <w:p w14:paraId="33F79324" w14:textId="77777777" w:rsidR="00834C62" w:rsidRDefault="003644C8" w:rsidP="002B657B">
            <w:pPr>
              <w:spacing w:line="276" w:lineRule="auto"/>
              <w:rPr>
                <w:rFonts w:ascii="宋体" w:eastAsia="宋体" w:hAnsi="宋体" w:cs="Times New Roman" w:hint="eastAsia"/>
                <w:szCs w:val="21"/>
              </w:rPr>
            </w:pPr>
            <w:r w:rsidRPr="003644C8">
              <w:rPr>
                <w:rFonts w:ascii="宋体" w:eastAsia="宋体" w:hAnsi="宋体" w:cs="Times New Roman" w:hint="eastAsia"/>
                <w:szCs w:val="21"/>
              </w:rPr>
              <w:t>广发基金、华夏基金、景顺长城、财通基金、百年资产、鑫元基金、光合未来、长江证券、东吴证券、中信建投证券、天风证券、国金证券、兴业证券、财通证券</w:t>
            </w:r>
            <w:r>
              <w:rPr>
                <w:rFonts w:ascii="宋体" w:eastAsia="宋体" w:hAnsi="宋体" w:cs="Times New Roman" w:hint="eastAsia"/>
                <w:szCs w:val="21"/>
              </w:rPr>
              <w:t>等</w:t>
            </w:r>
          </w:p>
        </w:tc>
      </w:tr>
      <w:tr w:rsidR="00834C62" w14:paraId="3B47BC29" w14:textId="77777777">
        <w:trPr>
          <w:trHeight w:val="851"/>
          <w:jc w:val="center"/>
        </w:trPr>
        <w:tc>
          <w:tcPr>
            <w:tcW w:w="1838" w:type="dxa"/>
            <w:vAlign w:val="center"/>
          </w:tcPr>
          <w:p w14:paraId="64700243" w14:textId="77777777" w:rsidR="00834C62" w:rsidRDefault="00561AF3">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公司</w:t>
            </w:r>
            <w:r>
              <w:rPr>
                <w:rFonts w:ascii="宋体" w:eastAsia="宋体" w:hAnsi="宋体" w:cs="Times New Roman"/>
                <w:b/>
                <w:bCs/>
                <w:sz w:val="22"/>
              </w:rPr>
              <w:t>接待人员姓名</w:t>
            </w:r>
            <w:r>
              <w:rPr>
                <w:rFonts w:ascii="宋体" w:eastAsia="宋体" w:hAnsi="宋体" w:cs="Times New Roman" w:hint="eastAsia"/>
                <w:b/>
                <w:bCs/>
                <w:sz w:val="22"/>
              </w:rPr>
              <w:t>及职务</w:t>
            </w:r>
          </w:p>
        </w:tc>
        <w:tc>
          <w:tcPr>
            <w:tcW w:w="6662" w:type="dxa"/>
            <w:vAlign w:val="center"/>
          </w:tcPr>
          <w:p w14:paraId="3813AD64" w14:textId="77777777" w:rsidR="00782120" w:rsidRDefault="00782120" w:rsidP="007B62E2">
            <w:pPr>
              <w:spacing w:line="276" w:lineRule="auto"/>
              <w:rPr>
                <w:rFonts w:ascii="宋体" w:eastAsia="宋体" w:hAnsi="宋体" w:cs="Times New Roman" w:hint="eastAsia"/>
                <w:szCs w:val="21"/>
              </w:rPr>
            </w:pPr>
            <w:r>
              <w:rPr>
                <w:rFonts w:ascii="宋体" w:eastAsia="宋体" w:hAnsi="宋体" w:cs="Times New Roman" w:hint="eastAsia"/>
                <w:szCs w:val="21"/>
              </w:rPr>
              <w:t xml:space="preserve">杨豹 </w:t>
            </w:r>
            <w:r w:rsidRPr="00782120">
              <w:rPr>
                <w:rFonts w:ascii="宋体" w:eastAsia="宋体" w:hAnsi="宋体" w:cs="Times New Roman" w:hint="eastAsia"/>
                <w:szCs w:val="21"/>
              </w:rPr>
              <w:t>天合光能储能事业部总裁、光伏事业部副总裁</w:t>
            </w:r>
            <w:r>
              <w:rPr>
                <w:rFonts w:ascii="宋体" w:eastAsia="宋体" w:hAnsi="宋体" w:cs="Times New Roman" w:hint="eastAsia"/>
                <w:szCs w:val="21"/>
              </w:rPr>
              <w:t xml:space="preserve"> </w:t>
            </w:r>
          </w:p>
          <w:p w14:paraId="65EFA221" w14:textId="77777777" w:rsidR="00782120" w:rsidRDefault="00782120" w:rsidP="007B62E2">
            <w:pPr>
              <w:spacing w:line="276" w:lineRule="auto"/>
              <w:rPr>
                <w:rFonts w:ascii="宋体" w:eastAsia="宋体" w:hAnsi="宋体" w:cs="Times New Roman" w:hint="eastAsia"/>
                <w:szCs w:val="21"/>
              </w:rPr>
            </w:pPr>
            <w:r>
              <w:rPr>
                <w:rFonts w:ascii="宋体" w:eastAsia="宋体" w:hAnsi="宋体" w:cs="Times New Roman" w:hint="eastAsia"/>
                <w:szCs w:val="21"/>
              </w:rPr>
              <w:t xml:space="preserve">冯玟生 </w:t>
            </w:r>
            <w:r w:rsidRPr="00782120">
              <w:rPr>
                <w:rFonts w:ascii="宋体" w:eastAsia="宋体" w:hAnsi="宋体" w:cs="Times New Roman" w:hint="eastAsia"/>
                <w:szCs w:val="21"/>
              </w:rPr>
              <w:t>天合光能储能事业部副总裁、储能事业部供应链中心负责人</w:t>
            </w:r>
            <w:r>
              <w:rPr>
                <w:rFonts w:ascii="宋体" w:eastAsia="宋体" w:hAnsi="宋体" w:cs="Times New Roman" w:hint="eastAsia"/>
                <w:szCs w:val="21"/>
              </w:rPr>
              <w:t xml:space="preserve"> </w:t>
            </w:r>
          </w:p>
          <w:p w14:paraId="352BACCC" w14:textId="77777777" w:rsidR="00834C62" w:rsidRDefault="00782120" w:rsidP="007B62E2">
            <w:pPr>
              <w:spacing w:line="276" w:lineRule="auto"/>
              <w:rPr>
                <w:rFonts w:ascii="宋体" w:eastAsia="宋体" w:hAnsi="宋体" w:cs="Times New Roman" w:hint="eastAsia"/>
                <w:szCs w:val="21"/>
              </w:rPr>
            </w:pPr>
            <w:r>
              <w:rPr>
                <w:rFonts w:ascii="宋体" w:eastAsia="宋体" w:hAnsi="宋体" w:cs="Times New Roman" w:hint="eastAsia"/>
                <w:szCs w:val="21"/>
              </w:rPr>
              <w:t xml:space="preserve">张春涛 </w:t>
            </w:r>
            <w:r w:rsidRPr="00782120">
              <w:rPr>
                <w:rFonts w:ascii="宋体" w:eastAsia="宋体" w:hAnsi="宋体" w:cs="Times New Roman" w:hint="eastAsia"/>
                <w:szCs w:val="21"/>
              </w:rPr>
              <w:t>天合储能</w:t>
            </w:r>
            <w:r w:rsidRPr="00782120">
              <w:rPr>
                <w:rFonts w:ascii="宋体" w:eastAsia="宋体" w:hAnsi="宋体" w:cs="Times New Roman"/>
                <w:szCs w:val="21"/>
              </w:rPr>
              <w:t>(滁州)有限公司总经理</w:t>
            </w:r>
            <w:r>
              <w:rPr>
                <w:rFonts w:ascii="宋体" w:eastAsia="宋体" w:hAnsi="宋体" w:cs="Times New Roman" w:hint="eastAsia"/>
                <w:szCs w:val="21"/>
              </w:rPr>
              <w:t xml:space="preserve"> </w:t>
            </w:r>
          </w:p>
          <w:p w14:paraId="6790DBA8" w14:textId="5549CD53" w:rsidR="00782120" w:rsidRDefault="00782120" w:rsidP="00782120">
            <w:pPr>
              <w:spacing w:line="276" w:lineRule="auto"/>
              <w:rPr>
                <w:rFonts w:ascii="宋体" w:eastAsia="宋体" w:hAnsi="宋体" w:cs="Times New Roman" w:hint="eastAsia"/>
                <w:szCs w:val="21"/>
              </w:rPr>
            </w:pPr>
            <w:r>
              <w:rPr>
                <w:rFonts w:ascii="宋体" w:eastAsia="宋体" w:hAnsi="宋体" w:cs="Times New Roman" w:hint="eastAsia"/>
                <w:szCs w:val="21"/>
              </w:rPr>
              <w:t xml:space="preserve">吴群 </w:t>
            </w:r>
            <w:r w:rsidR="000752E6">
              <w:rPr>
                <w:rFonts w:ascii="宋体" w:eastAsia="宋体" w:hAnsi="宋体" w:cs="Times New Roman" w:hint="eastAsia"/>
                <w:szCs w:val="21"/>
              </w:rPr>
              <w:t>天合光能</w:t>
            </w:r>
            <w:r>
              <w:rPr>
                <w:rFonts w:ascii="宋体" w:eastAsia="宋体" w:hAnsi="宋体" w:cs="Times New Roman" w:hint="eastAsia"/>
                <w:szCs w:val="21"/>
              </w:rPr>
              <w:t xml:space="preserve">董事会秘书 </w:t>
            </w:r>
          </w:p>
        </w:tc>
      </w:tr>
      <w:tr w:rsidR="00834C62" w14:paraId="7BCA7891" w14:textId="77777777">
        <w:trPr>
          <w:trHeight w:val="410"/>
          <w:jc w:val="center"/>
        </w:trPr>
        <w:tc>
          <w:tcPr>
            <w:tcW w:w="1838" w:type="dxa"/>
            <w:vAlign w:val="center"/>
          </w:tcPr>
          <w:p w14:paraId="4A0A3B99" w14:textId="77777777" w:rsidR="00834C62" w:rsidRDefault="00561AF3">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时间</w:t>
            </w:r>
          </w:p>
        </w:tc>
        <w:tc>
          <w:tcPr>
            <w:tcW w:w="6662" w:type="dxa"/>
            <w:vAlign w:val="center"/>
          </w:tcPr>
          <w:p w14:paraId="059D3A19" w14:textId="77777777" w:rsidR="00834C62" w:rsidRDefault="00561AF3" w:rsidP="00DB3A6C">
            <w:pPr>
              <w:spacing w:line="360" w:lineRule="exact"/>
              <w:rPr>
                <w:rFonts w:ascii="宋体" w:eastAsia="宋体" w:hAnsi="宋体" w:cs="Times New Roman" w:hint="eastAsia"/>
                <w:sz w:val="22"/>
              </w:rPr>
            </w:pPr>
            <w:r>
              <w:rPr>
                <w:rFonts w:ascii="宋体" w:eastAsia="宋体" w:hAnsi="宋体" w:cs="Times New Roman" w:hint="eastAsia"/>
                <w:sz w:val="22"/>
              </w:rPr>
              <w:t>2</w:t>
            </w:r>
            <w:r>
              <w:rPr>
                <w:rFonts w:ascii="宋体" w:eastAsia="宋体" w:hAnsi="宋体" w:cs="Times New Roman"/>
                <w:sz w:val="22"/>
              </w:rPr>
              <w:t>02</w:t>
            </w:r>
            <w:r w:rsidR="00DB3A6C">
              <w:rPr>
                <w:rFonts w:ascii="宋体" w:eastAsia="宋体" w:hAnsi="宋体" w:cs="Times New Roman"/>
                <w:sz w:val="22"/>
              </w:rPr>
              <w:t>5</w:t>
            </w:r>
            <w:r>
              <w:rPr>
                <w:rFonts w:ascii="宋体" w:eastAsia="宋体" w:hAnsi="宋体" w:cs="Times New Roman" w:hint="eastAsia"/>
                <w:sz w:val="22"/>
              </w:rPr>
              <w:t>年</w:t>
            </w:r>
            <w:r w:rsidR="00DB3A6C">
              <w:rPr>
                <w:rFonts w:ascii="宋体" w:eastAsia="宋体" w:hAnsi="宋体" w:cs="Times New Roman"/>
                <w:sz w:val="22"/>
              </w:rPr>
              <w:t>9</w:t>
            </w:r>
            <w:r>
              <w:rPr>
                <w:rFonts w:ascii="宋体" w:eastAsia="宋体" w:hAnsi="宋体" w:cs="Times New Roman" w:hint="eastAsia"/>
                <w:sz w:val="22"/>
              </w:rPr>
              <w:t>月</w:t>
            </w:r>
            <w:r w:rsidR="00DB3A6C">
              <w:rPr>
                <w:rFonts w:ascii="宋体" w:eastAsia="宋体" w:hAnsi="宋体" w:cs="Times New Roman"/>
                <w:sz w:val="22"/>
              </w:rPr>
              <w:t>19</w:t>
            </w:r>
            <w:r>
              <w:rPr>
                <w:rFonts w:ascii="宋体" w:eastAsia="宋体" w:hAnsi="宋体" w:cs="Times New Roman" w:hint="eastAsia"/>
                <w:sz w:val="22"/>
              </w:rPr>
              <w:t>日</w:t>
            </w:r>
          </w:p>
        </w:tc>
      </w:tr>
      <w:tr w:rsidR="00834C62" w14:paraId="5EE229B1" w14:textId="77777777">
        <w:trPr>
          <w:trHeight w:val="417"/>
          <w:jc w:val="center"/>
        </w:trPr>
        <w:tc>
          <w:tcPr>
            <w:tcW w:w="1838" w:type="dxa"/>
            <w:vAlign w:val="center"/>
          </w:tcPr>
          <w:p w14:paraId="21804851" w14:textId="77777777" w:rsidR="00834C62" w:rsidRDefault="00561AF3">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地点</w:t>
            </w:r>
          </w:p>
        </w:tc>
        <w:tc>
          <w:tcPr>
            <w:tcW w:w="6662" w:type="dxa"/>
            <w:vAlign w:val="center"/>
          </w:tcPr>
          <w:p w14:paraId="516305CB" w14:textId="77777777" w:rsidR="00834C62" w:rsidRDefault="00DB3A6C" w:rsidP="00DB3A6C">
            <w:pPr>
              <w:tabs>
                <w:tab w:val="left" w:pos="5358"/>
              </w:tabs>
              <w:spacing w:line="360" w:lineRule="exact"/>
              <w:rPr>
                <w:rFonts w:ascii="宋体" w:eastAsia="宋体" w:hAnsi="宋体" w:cs="Times New Roman" w:hint="eastAsia"/>
                <w:sz w:val="22"/>
              </w:rPr>
            </w:pPr>
            <w:r>
              <w:rPr>
                <w:rFonts w:ascii="宋体" w:eastAsia="宋体" w:hAnsi="宋体" w:cs="Times New Roman" w:hint="eastAsia"/>
                <w:sz w:val="22"/>
              </w:rPr>
              <w:t>天合储能（滁州）有限公司会议室</w:t>
            </w:r>
          </w:p>
        </w:tc>
      </w:tr>
      <w:tr w:rsidR="00834C62" w14:paraId="1500A691" w14:textId="77777777">
        <w:trPr>
          <w:trHeight w:val="1124"/>
          <w:jc w:val="center"/>
        </w:trPr>
        <w:tc>
          <w:tcPr>
            <w:tcW w:w="1838" w:type="dxa"/>
            <w:vAlign w:val="center"/>
          </w:tcPr>
          <w:p w14:paraId="25664930" w14:textId="77777777" w:rsidR="00834C62" w:rsidRDefault="00561AF3">
            <w:pPr>
              <w:spacing w:line="360" w:lineRule="exact"/>
              <w:jc w:val="center"/>
              <w:rPr>
                <w:rFonts w:ascii="宋体" w:eastAsia="宋体" w:hAnsi="宋体" w:cs="Times New Roman" w:hint="eastAsia"/>
                <w:sz w:val="22"/>
              </w:rPr>
            </w:pPr>
            <w:r>
              <w:rPr>
                <w:rFonts w:ascii="宋体" w:eastAsia="宋体" w:hAnsi="宋体" w:cs="Times New Roman" w:hint="eastAsia"/>
                <w:sz w:val="22"/>
              </w:rPr>
              <w:t>投资</w:t>
            </w:r>
            <w:r>
              <w:rPr>
                <w:rFonts w:ascii="宋体" w:eastAsia="宋体" w:hAnsi="宋体" w:cs="Times New Roman"/>
                <w:sz w:val="22"/>
              </w:rPr>
              <w:t>者关系活动</w:t>
            </w:r>
            <w:r>
              <w:rPr>
                <w:rFonts w:ascii="宋体" w:eastAsia="宋体" w:hAnsi="宋体" w:cs="Times New Roman" w:hint="eastAsia"/>
                <w:sz w:val="22"/>
              </w:rPr>
              <w:t>主要</w:t>
            </w:r>
            <w:r>
              <w:rPr>
                <w:rFonts w:ascii="宋体" w:eastAsia="宋体" w:hAnsi="宋体" w:cs="Times New Roman"/>
                <w:sz w:val="22"/>
              </w:rPr>
              <w:t>内容</w:t>
            </w:r>
            <w:r>
              <w:rPr>
                <w:rFonts w:ascii="宋体" w:eastAsia="宋体" w:hAnsi="宋体" w:cs="Times New Roman" w:hint="eastAsia"/>
                <w:sz w:val="22"/>
              </w:rPr>
              <w:t>介绍</w:t>
            </w:r>
          </w:p>
        </w:tc>
        <w:tc>
          <w:tcPr>
            <w:tcW w:w="6662" w:type="dxa"/>
          </w:tcPr>
          <w:p w14:paraId="601280C4" w14:textId="77777777" w:rsidR="00DB3A6C" w:rsidRPr="009E607E" w:rsidRDefault="00DB3A6C"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本次交流活动包括产线参观和交流</w:t>
            </w:r>
            <w:r w:rsidR="009E607E" w:rsidRPr="009E607E">
              <w:rPr>
                <w:rFonts w:ascii="宋体" w:eastAsia="宋体" w:hAnsi="宋体" w:cs="Times New Roman" w:hint="eastAsia"/>
                <w:sz w:val="22"/>
              </w:rPr>
              <w:t>座谈</w:t>
            </w:r>
            <w:r w:rsidRPr="009E607E">
              <w:rPr>
                <w:rFonts w:ascii="宋体" w:eastAsia="宋体" w:hAnsi="宋体" w:cs="Times New Roman" w:hint="eastAsia"/>
                <w:sz w:val="22"/>
              </w:rPr>
              <w:t>。</w:t>
            </w:r>
          </w:p>
          <w:p w14:paraId="40E2C03C" w14:textId="77777777" w:rsidR="00DB3A6C" w:rsidRPr="009E607E" w:rsidRDefault="00DB3A6C" w:rsidP="00FA2868">
            <w:pPr>
              <w:tabs>
                <w:tab w:val="left" w:pos="5358"/>
              </w:tabs>
              <w:spacing w:line="360" w:lineRule="exact"/>
              <w:jc w:val="left"/>
              <w:rPr>
                <w:rFonts w:ascii="宋体" w:eastAsia="宋体" w:hAnsi="宋体" w:cs="Times New Roman" w:hint="eastAsia"/>
                <w:sz w:val="22"/>
              </w:rPr>
            </w:pPr>
          </w:p>
          <w:p w14:paraId="55F5A040" w14:textId="77777777" w:rsidR="00732C7D" w:rsidRPr="009E607E" w:rsidRDefault="009E607E"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交流</w:t>
            </w:r>
            <w:r w:rsidR="00DB3A6C" w:rsidRPr="009E607E">
              <w:rPr>
                <w:rFonts w:ascii="宋体" w:eastAsia="宋体" w:hAnsi="宋体" w:cs="Times New Roman" w:hint="eastAsia"/>
                <w:sz w:val="22"/>
              </w:rPr>
              <w:t>座谈的主要内容：</w:t>
            </w:r>
          </w:p>
          <w:p w14:paraId="4B11AB04" w14:textId="77777777" w:rsidR="00732C7D" w:rsidRPr="009E607E" w:rsidRDefault="009E607E" w:rsidP="00FA2868">
            <w:pPr>
              <w:tabs>
                <w:tab w:val="left" w:pos="5358"/>
              </w:tabs>
              <w:spacing w:line="360" w:lineRule="exact"/>
              <w:jc w:val="left"/>
              <w:rPr>
                <w:rFonts w:ascii="宋体" w:eastAsia="宋体" w:hAnsi="宋体" w:cs="Times New Roman" w:hint="eastAsia"/>
                <w:b/>
                <w:sz w:val="22"/>
              </w:rPr>
            </w:pPr>
            <w:r w:rsidRPr="009E607E">
              <w:rPr>
                <w:rFonts w:ascii="宋体" w:eastAsia="宋体" w:hAnsi="宋体" w:cs="Times New Roman" w:hint="eastAsia"/>
                <w:b/>
                <w:sz w:val="22"/>
              </w:rPr>
              <w:t>一、</w:t>
            </w:r>
            <w:r w:rsidR="00732C7D" w:rsidRPr="009E607E">
              <w:rPr>
                <w:rFonts w:ascii="宋体" w:eastAsia="宋体" w:hAnsi="宋体" w:cs="Times New Roman" w:hint="eastAsia"/>
                <w:b/>
                <w:sz w:val="22"/>
              </w:rPr>
              <w:t>公司介绍</w:t>
            </w:r>
          </w:p>
          <w:p w14:paraId="7FDA8447" w14:textId="77777777" w:rsidR="00E806BC" w:rsidRPr="009E607E" w:rsidRDefault="00E806BC" w:rsidP="00FA2868">
            <w:pPr>
              <w:tabs>
                <w:tab w:val="left" w:pos="5358"/>
              </w:tabs>
              <w:spacing w:line="360" w:lineRule="exact"/>
              <w:ind w:firstLineChars="200" w:firstLine="440"/>
              <w:jc w:val="left"/>
              <w:rPr>
                <w:rFonts w:ascii="宋体" w:eastAsia="宋体" w:hAnsi="宋体" w:cs="Times New Roman" w:hint="eastAsia"/>
                <w:sz w:val="22"/>
              </w:rPr>
            </w:pPr>
            <w:r w:rsidRPr="009E607E">
              <w:rPr>
                <w:rFonts w:ascii="宋体" w:eastAsia="宋体" w:hAnsi="宋体" w:cs="Times New Roman" w:hint="eastAsia"/>
                <w:sz w:val="22"/>
              </w:rPr>
              <w:t>天合光能</w:t>
            </w:r>
            <w:r w:rsidR="00732C7D" w:rsidRPr="009E607E">
              <w:rPr>
                <w:rFonts w:ascii="宋体" w:eastAsia="宋体" w:hAnsi="宋体" w:cs="Times New Roman" w:hint="eastAsia"/>
                <w:sz w:val="22"/>
              </w:rPr>
              <w:t>于2</w:t>
            </w:r>
            <w:r w:rsidR="00732C7D" w:rsidRPr="009E607E">
              <w:rPr>
                <w:rFonts w:ascii="宋体" w:eastAsia="宋体" w:hAnsi="宋体" w:cs="Times New Roman"/>
                <w:sz w:val="22"/>
              </w:rPr>
              <w:t>015</w:t>
            </w:r>
            <w:r w:rsidR="00732C7D" w:rsidRPr="009E607E">
              <w:rPr>
                <w:rFonts w:ascii="宋体" w:eastAsia="宋体" w:hAnsi="宋体" w:cs="Times New Roman" w:hint="eastAsia"/>
                <w:sz w:val="22"/>
              </w:rPr>
              <w:t>年布局储能业务，成立</w:t>
            </w:r>
            <w:r w:rsidR="00014FE2" w:rsidRPr="009E607E">
              <w:rPr>
                <w:rFonts w:ascii="宋体" w:eastAsia="宋体" w:hAnsi="宋体" w:cs="Times New Roman" w:hint="eastAsia"/>
                <w:sz w:val="22"/>
              </w:rPr>
              <w:t>江苏</w:t>
            </w:r>
            <w:r w:rsidR="00732C7D" w:rsidRPr="009E607E">
              <w:rPr>
                <w:rFonts w:ascii="宋体" w:eastAsia="宋体" w:hAnsi="宋体" w:cs="Times New Roman" w:hint="eastAsia"/>
                <w:sz w:val="22"/>
              </w:rPr>
              <w:t>天合储能</w:t>
            </w:r>
            <w:r w:rsidR="00014FE2" w:rsidRPr="009E607E">
              <w:rPr>
                <w:rFonts w:ascii="宋体" w:eastAsia="宋体" w:hAnsi="宋体" w:cs="Times New Roman" w:hint="eastAsia"/>
                <w:sz w:val="22"/>
              </w:rPr>
              <w:t>有限公司。天合储能</w:t>
            </w:r>
            <w:r w:rsidRPr="009E607E">
              <w:rPr>
                <w:rFonts w:ascii="宋体" w:eastAsia="宋体" w:hAnsi="宋体" w:cs="Times New Roman" w:hint="eastAsia"/>
                <w:sz w:val="22"/>
              </w:rPr>
              <w:t>定位为有“芯”的储能系统集成商，</w:t>
            </w:r>
            <w:r w:rsidR="00B61D03" w:rsidRPr="009E607E">
              <w:rPr>
                <w:rFonts w:ascii="宋体" w:eastAsia="宋体" w:hAnsi="宋体" w:cs="Times New Roman" w:hint="eastAsia"/>
                <w:sz w:val="22"/>
              </w:rPr>
              <w:t>致力于成为</w:t>
            </w:r>
            <w:r w:rsidRPr="009E607E">
              <w:rPr>
                <w:rFonts w:ascii="宋体" w:eastAsia="宋体" w:hAnsi="宋体" w:cs="Times New Roman" w:hint="eastAsia"/>
                <w:sz w:val="22"/>
              </w:rPr>
              <w:t>光储融合的智慧能源解决方案领导者</w:t>
            </w:r>
            <w:r w:rsidR="00B61D03" w:rsidRPr="009E607E">
              <w:rPr>
                <w:rFonts w:ascii="宋体" w:eastAsia="宋体" w:hAnsi="宋体" w:cs="Times New Roman" w:hint="eastAsia"/>
                <w:sz w:val="22"/>
              </w:rPr>
              <w:t>。</w:t>
            </w:r>
          </w:p>
          <w:p w14:paraId="7D119119" w14:textId="77777777" w:rsidR="009E607E" w:rsidRPr="009E607E" w:rsidRDefault="00732C7D" w:rsidP="00FA2868">
            <w:pPr>
              <w:tabs>
                <w:tab w:val="left" w:pos="5358"/>
              </w:tabs>
              <w:spacing w:line="360" w:lineRule="exact"/>
              <w:ind w:firstLineChars="200" w:firstLine="440"/>
              <w:jc w:val="left"/>
              <w:rPr>
                <w:rFonts w:ascii="宋体" w:eastAsia="宋体" w:hAnsi="宋体" w:cs="Times New Roman" w:hint="eastAsia"/>
                <w:sz w:val="22"/>
              </w:rPr>
            </w:pPr>
            <w:r w:rsidRPr="009E607E">
              <w:rPr>
                <w:rFonts w:ascii="宋体" w:eastAsia="宋体" w:hAnsi="宋体" w:cs="Times New Roman" w:hint="eastAsia"/>
                <w:sz w:val="22"/>
              </w:rPr>
              <w:t>截止目前</w:t>
            </w:r>
            <w:r w:rsidR="00B61D03" w:rsidRPr="009E607E">
              <w:rPr>
                <w:rFonts w:ascii="宋体" w:eastAsia="宋体" w:hAnsi="宋体" w:cs="Times New Roman" w:hint="eastAsia"/>
                <w:sz w:val="22"/>
              </w:rPr>
              <w:t>，天合储能</w:t>
            </w:r>
            <w:r w:rsidRPr="009E607E">
              <w:rPr>
                <w:rFonts w:ascii="宋体" w:eastAsia="宋体" w:hAnsi="宋体" w:cs="Times New Roman" w:hint="eastAsia"/>
                <w:sz w:val="22"/>
              </w:rPr>
              <w:t>累计出货</w:t>
            </w:r>
            <w:r w:rsidR="009E607E">
              <w:rPr>
                <w:rFonts w:ascii="宋体" w:eastAsia="宋体" w:hAnsi="宋体" w:cs="Times New Roman" w:hint="eastAsia"/>
                <w:sz w:val="22"/>
              </w:rPr>
              <w:t>已</w:t>
            </w:r>
            <w:r w:rsidR="009E607E" w:rsidRPr="009E607E">
              <w:rPr>
                <w:rFonts w:ascii="宋体" w:eastAsia="宋体" w:hAnsi="宋体" w:cs="Times New Roman" w:hint="eastAsia"/>
                <w:sz w:val="22"/>
              </w:rPr>
              <w:t>超</w:t>
            </w:r>
            <w:r w:rsidRPr="009E607E">
              <w:rPr>
                <w:rFonts w:ascii="宋体" w:eastAsia="宋体" w:hAnsi="宋体" w:cs="Times New Roman" w:hint="eastAsia"/>
                <w:sz w:val="22"/>
              </w:rPr>
              <w:t>12GWh，交付覆盖六个大洲，并连续七个季度</w:t>
            </w:r>
            <w:r w:rsidRPr="009E607E">
              <w:rPr>
                <w:rFonts w:ascii="宋体" w:eastAsia="宋体" w:hAnsi="宋体" w:cs="Times New Roman"/>
                <w:sz w:val="22"/>
              </w:rPr>
              <w:t>无间断蝉联</w:t>
            </w:r>
            <w:r w:rsidRPr="009E607E">
              <w:rPr>
                <w:rFonts w:ascii="宋体" w:eastAsia="宋体" w:hAnsi="宋体" w:cs="Times New Roman" w:hint="eastAsia"/>
                <w:sz w:val="22"/>
              </w:rPr>
              <w:t>BNEF全球</w:t>
            </w:r>
            <w:r w:rsidRPr="009E607E">
              <w:rPr>
                <w:rFonts w:ascii="宋体" w:eastAsia="宋体" w:hAnsi="宋体" w:cs="Times New Roman"/>
                <w:sz w:val="22"/>
              </w:rPr>
              <w:t>Tier1</w:t>
            </w:r>
            <w:r w:rsidRPr="009E607E">
              <w:rPr>
                <w:rFonts w:ascii="宋体" w:eastAsia="宋体" w:hAnsi="宋体" w:cs="Times New Roman" w:hint="eastAsia"/>
                <w:sz w:val="22"/>
              </w:rPr>
              <w:t>一级储能厂商榜单。</w:t>
            </w:r>
            <w:r w:rsidR="00B61D03" w:rsidRPr="009E607E">
              <w:rPr>
                <w:rFonts w:ascii="宋体" w:eastAsia="宋体" w:hAnsi="宋体" w:cs="Times New Roman" w:hint="eastAsia"/>
                <w:sz w:val="22"/>
              </w:rPr>
              <w:t>目前天合储能在全球拥有超过百家客户、超过70GWh的储备项目、拥有550多项专利授权和超过500名研发人员。</w:t>
            </w:r>
          </w:p>
          <w:p w14:paraId="25F86F49" w14:textId="1FBE013A" w:rsidR="00732C7D" w:rsidRPr="009E607E" w:rsidRDefault="00B61D03" w:rsidP="00FA2868">
            <w:pPr>
              <w:tabs>
                <w:tab w:val="left" w:pos="5358"/>
              </w:tabs>
              <w:spacing w:line="360" w:lineRule="exact"/>
              <w:ind w:firstLineChars="200" w:firstLine="440"/>
              <w:jc w:val="left"/>
              <w:rPr>
                <w:rFonts w:ascii="宋体" w:eastAsia="宋体" w:hAnsi="宋体" w:cs="Times New Roman" w:hint="eastAsia"/>
                <w:sz w:val="22"/>
              </w:rPr>
            </w:pPr>
            <w:r w:rsidRPr="009E607E">
              <w:rPr>
                <w:rFonts w:ascii="宋体" w:eastAsia="宋体" w:hAnsi="宋体" w:cs="Times New Roman" w:hint="eastAsia"/>
                <w:sz w:val="22"/>
              </w:rPr>
              <w:t>2</w:t>
            </w:r>
            <w:r w:rsidRPr="009E607E">
              <w:rPr>
                <w:rFonts w:ascii="宋体" w:eastAsia="宋体" w:hAnsi="宋体" w:cs="Times New Roman"/>
                <w:sz w:val="22"/>
              </w:rPr>
              <w:t>023</w:t>
            </w:r>
            <w:r w:rsidRPr="009E607E">
              <w:rPr>
                <w:rFonts w:ascii="宋体" w:eastAsia="宋体" w:hAnsi="宋体" w:cs="Times New Roman" w:hint="eastAsia"/>
                <w:sz w:val="22"/>
              </w:rPr>
              <w:t>年，</w:t>
            </w:r>
            <w:r w:rsidR="00F22402" w:rsidRPr="009E607E">
              <w:rPr>
                <w:rFonts w:ascii="宋体" w:eastAsia="宋体" w:hAnsi="宋体" w:cs="Times New Roman" w:hint="eastAsia"/>
                <w:sz w:val="22"/>
              </w:rPr>
              <w:t>公司滁州储能电池及系统集成超级工厂投产，目前滁州基地拥有电芯产能1</w:t>
            </w:r>
            <w:r w:rsidR="00F22402" w:rsidRPr="009E607E">
              <w:rPr>
                <w:rFonts w:ascii="宋体" w:eastAsia="宋体" w:hAnsi="宋体" w:cs="Times New Roman"/>
                <w:sz w:val="22"/>
              </w:rPr>
              <w:t>2</w:t>
            </w:r>
            <w:r w:rsidR="00F22402" w:rsidRPr="009E607E">
              <w:rPr>
                <w:rFonts w:ascii="宋体" w:eastAsia="宋体" w:hAnsi="宋体" w:cs="Times New Roman" w:hint="eastAsia"/>
                <w:sz w:val="22"/>
              </w:rPr>
              <w:t>GWh，PACK产能6GWh和集成产能1</w:t>
            </w:r>
            <w:r w:rsidR="00F22402" w:rsidRPr="009E607E">
              <w:rPr>
                <w:rFonts w:ascii="宋体" w:eastAsia="宋体" w:hAnsi="宋体" w:cs="Times New Roman"/>
                <w:sz w:val="22"/>
              </w:rPr>
              <w:t>6</w:t>
            </w:r>
            <w:r w:rsidR="00F22402" w:rsidRPr="009E607E">
              <w:rPr>
                <w:rFonts w:ascii="宋体" w:eastAsia="宋体" w:hAnsi="宋体" w:cs="Times New Roman" w:hint="eastAsia"/>
                <w:sz w:val="22"/>
              </w:rPr>
              <w:t>GWh。</w:t>
            </w:r>
            <w:r w:rsidR="004B05C3">
              <w:rPr>
                <w:rFonts w:ascii="宋体" w:eastAsia="宋体" w:hAnsi="宋体" w:cs="Times New Roman" w:hint="eastAsia"/>
                <w:sz w:val="22"/>
              </w:rPr>
              <w:t>随着公司储能出货量快速增长，产能利用率也</w:t>
            </w:r>
            <w:r w:rsidR="008142A7">
              <w:rPr>
                <w:rFonts w:ascii="宋体" w:eastAsia="宋体" w:hAnsi="宋体" w:cs="Times New Roman" w:hint="eastAsia"/>
                <w:sz w:val="22"/>
              </w:rPr>
              <w:t>显著</w:t>
            </w:r>
            <w:r w:rsidR="004B05C3">
              <w:rPr>
                <w:rFonts w:ascii="宋体" w:eastAsia="宋体" w:hAnsi="宋体" w:cs="Times New Roman" w:hint="eastAsia"/>
                <w:sz w:val="22"/>
              </w:rPr>
              <w:t>提升，当前处在较高水平。</w:t>
            </w:r>
          </w:p>
          <w:p w14:paraId="46D1F918" w14:textId="77777777" w:rsidR="00732C7D" w:rsidRPr="009E607E" w:rsidRDefault="00732C7D" w:rsidP="00FA2868">
            <w:pPr>
              <w:tabs>
                <w:tab w:val="left" w:pos="5358"/>
              </w:tabs>
              <w:spacing w:line="360" w:lineRule="exact"/>
              <w:jc w:val="left"/>
              <w:rPr>
                <w:rFonts w:ascii="宋体" w:eastAsia="宋体" w:hAnsi="宋体" w:cs="Times New Roman" w:hint="eastAsia"/>
                <w:sz w:val="22"/>
              </w:rPr>
            </w:pPr>
          </w:p>
          <w:p w14:paraId="004DE2B1" w14:textId="77777777" w:rsidR="00732C7D" w:rsidRPr="009E607E" w:rsidRDefault="00732C7D" w:rsidP="00FA2868">
            <w:pPr>
              <w:tabs>
                <w:tab w:val="left" w:pos="5358"/>
              </w:tabs>
              <w:spacing w:line="360" w:lineRule="exact"/>
              <w:jc w:val="left"/>
              <w:rPr>
                <w:rFonts w:ascii="宋体" w:eastAsia="宋体" w:hAnsi="宋体" w:cs="Times New Roman" w:hint="eastAsia"/>
                <w:b/>
                <w:sz w:val="22"/>
              </w:rPr>
            </w:pPr>
            <w:r w:rsidRPr="009E607E">
              <w:rPr>
                <w:rFonts w:ascii="宋体" w:eastAsia="宋体" w:hAnsi="宋体" w:cs="Times New Roman" w:hint="eastAsia"/>
                <w:b/>
                <w:sz w:val="22"/>
              </w:rPr>
              <w:t>二、问答环节</w:t>
            </w:r>
          </w:p>
          <w:p w14:paraId="46FE5307" w14:textId="77777777" w:rsidR="003644C8" w:rsidRPr="009E607E" w:rsidRDefault="003644C8" w:rsidP="00FA2868">
            <w:pPr>
              <w:tabs>
                <w:tab w:val="left" w:pos="5358"/>
              </w:tabs>
              <w:spacing w:line="360" w:lineRule="exact"/>
              <w:jc w:val="left"/>
              <w:rPr>
                <w:rFonts w:ascii="宋体" w:eastAsia="宋体" w:hAnsi="宋体" w:cs="Times New Roman" w:hint="eastAsia"/>
                <w:b/>
                <w:sz w:val="22"/>
              </w:rPr>
            </w:pPr>
            <w:r w:rsidRPr="009E607E">
              <w:rPr>
                <w:rFonts w:ascii="宋体" w:eastAsia="宋体" w:hAnsi="宋体" w:cs="Times New Roman"/>
                <w:b/>
                <w:sz w:val="22"/>
              </w:rPr>
              <w:t>1、请问公司2025年预计国内、海外出货比例情况，以及海外主要销售市场结构情况，订单价格如何？</w:t>
            </w:r>
          </w:p>
          <w:p w14:paraId="2CCA1BA1" w14:textId="58F970C8" w:rsidR="003644C8" w:rsidRPr="009E607E" w:rsidRDefault="003644C8"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答：</w:t>
            </w:r>
            <w:r w:rsidRPr="009E607E">
              <w:rPr>
                <w:rFonts w:ascii="宋体" w:eastAsia="宋体" w:hAnsi="宋体" w:cs="Times New Roman"/>
                <w:sz w:val="22"/>
              </w:rPr>
              <w:t>2025年，</w:t>
            </w:r>
            <w:r w:rsidR="00A50C10" w:rsidRPr="009E607E">
              <w:rPr>
                <w:rFonts w:ascii="宋体" w:eastAsia="宋体" w:hAnsi="宋体" w:cs="Times New Roman" w:hint="eastAsia"/>
                <w:sz w:val="22"/>
              </w:rPr>
              <w:t>公司</w:t>
            </w:r>
            <w:r w:rsidR="000D1FD6">
              <w:rPr>
                <w:rFonts w:ascii="宋体" w:eastAsia="宋体" w:hAnsi="宋体" w:cs="Times New Roman" w:hint="eastAsia"/>
                <w:sz w:val="22"/>
              </w:rPr>
              <w:t>储能业务出货目标</w:t>
            </w:r>
            <w:r w:rsidR="00B94BA8" w:rsidRPr="009E607E">
              <w:rPr>
                <w:rFonts w:ascii="宋体" w:eastAsia="宋体" w:hAnsi="宋体" w:cs="Times New Roman" w:hint="eastAsia"/>
                <w:sz w:val="22"/>
              </w:rPr>
              <w:t>超</w:t>
            </w:r>
            <w:r w:rsidR="00A50C10" w:rsidRPr="009E607E">
              <w:rPr>
                <w:rFonts w:ascii="宋体" w:eastAsia="宋体" w:hAnsi="宋体" w:cs="Times New Roman" w:hint="eastAsia"/>
                <w:sz w:val="22"/>
              </w:rPr>
              <w:t>8GWh</w:t>
            </w:r>
            <w:r w:rsidR="00B94BA8" w:rsidRPr="009E607E">
              <w:rPr>
                <w:rFonts w:ascii="宋体" w:eastAsia="宋体" w:hAnsi="宋体" w:cs="Times New Roman" w:hint="eastAsia"/>
                <w:sz w:val="22"/>
              </w:rPr>
              <w:t>，其中，</w:t>
            </w:r>
            <w:r w:rsidRPr="009E607E">
              <w:rPr>
                <w:rFonts w:ascii="宋体" w:eastAsia="宋体" w:hAnsi="宋体" w:cs="Times New Roman"/>
                <w:sz w:val="22"/>
              </w:rPr>
              <w:t>海外市场</w:t>
            </w:r>
            <w:r w:rsidR="00B94BA8" w:rsidRPr="009E607E">
              <w:rPr>
                <w:rFonts w:ascii="宋体" w:eastAsia="宋体" w:hAnsi="宋体" w:cs="Times New Roman"/>
                <w:sz w:val="22"/>
              </w:rPr>
              <w:t>预</w:t>
            </w:r>
            <w:r w:rsidR="00B94BA8" w:rsidRPr="009E607E">
              <w:rPr>
                <w:rFonts w:ascii="宋体" w:eastAsia="宋体" w:hAnsi="宋体" w:cs="Times New Roman"/>
                <w:sz w:val="22"/>
              </w:rPr>
              <w:lastRenderedPageBreak/>
              <w:t>计</w:t>
            </w:r>
            <w:r w:rsidRPr="009E607E">
              <w:rPr>
                <w:rFonts w:ascii="宋体" w:eastAsia="宋体" w:hAnsi="宋体" w:cs="Times New Roman"/>
                <w:sz w:val="22"/>
              </w:rPr>
              <w:t>出货占比将达到六成左右，国内市场占比相应约为四成。这一结构主要基于我们对全球储能市场需求及盈利水平的战略研判，旨在优先把握海外高增长、高溢价区域的订单机会。海外主要销售的市场包括美国、欧洲、拉美、澳洲以及亚太和中东等</w:t>
            </w:r>
            <w:r w:rsidR="006D43AE">
              <w:rPr>
                <w:rFonts w:ascii="宋体" w:eastAsia="宋体" w:hAnsi="宋体" w:cs="Times New Roman" w:hint="eastAsia"/>
                <w:sz w:val="22"/>
              </w:rPr>
              <w:t>。</w:t>
            </w:r>
            <w:r w:rsidRPr="009E607E">
              <w:rPr>
                <w:rFonts w:ascii="宋体" w:eastAsia="宋体" w:hAnsi="宋体" w:cs="Times New Roman" w:hint="eastAsia"/>
                <w:sz w:val="22"/>
              </w:rPr>
              <w:t>在定价方面，我们的产品单价与当前行业主流水平保持一致，具备良好的市场竞争力。</w:t>
            </w:r>
          </w:p>
          <w:p w14:paraId="6092C6A1" w14:textId="77777777" w:rsidR="009E607E" w:rsidRDefault="009E607E" w:rsidP="00FA2868">
            <w:pPr>
              <w:tabs>
                <w:tab w:val="left" w:pos="5358"/>
              </w:tabs>
              <w:spacing w:line="360" w:lineRule="exact"/>
              <w:jc w:val="left"/>
              <w:rPr>
                <w:rFonts w:ascii="宋体" w:eastAsia="宋体" w:hAnsi="宋体" w:cs="Times New Roman" w:hint="eastAsia"/>
                <w:b/>
                <w:sz w:val="22"/>
              </w:rPr>
            </w:pPr>
          </w:p>
          <w:p w14:paraId="79DAF1D7" w14:textId="77777777" w:rsidR="00A50C10" w:rsidRPr="009E607E" w:rsidRDefault="009E607E" w:rsidP="00FA2868">
            <w:pPr>
              <w:tabs>
                <w:tab w:val="left" w:pos="5358"/>
              </w:tabs>
              <w:spacing w:line="360" w:lineRule="exact"/>
              <w:jc w:val="left"/>
              <w:rPr>
                <w:rFonts w:ascii="宋体" w:eastAsia="宋体" w:hAnsi="宋体" w:cs="Times New Roman" w:hint="eastAsia"/>
                <w:b/>
                <w:sz w:val="22"/>
              </w:rPr>
            </w:pPr>
            <w:r>
              <w:rPr>
                <w:rFonts w:ascii="宋体" w:eastAsia="宋体" w:hAnsi="宋体" w:cs="Times New Roman" w:hint="eastAsia"/>
                <w:b/>
                <w:sz w:val="22"/>
              </w:rPr>
              <w:t>2、</w:t>
            </w:r>
            <w:r w:rsidR="00B94BA8" w:rsidRPr="009E607E">
              <w:rPr>
                <w:rFonts w:ascii="宋体" w:eastAsia="宋体" w:hAnsi="宋体" w:cs="Times New Roman" w:hint="eastAsia"/>
                <w:b/>
                <w:sz w:val="22"/>
              </w:rPr>
              <w:t>请问公司目前</w:t>
            </w:r>
            <w:r w:rsidR="00A50C10" w:rsidRPr="009E607E">
              <w:rPr>
                <w:rFonts w:ascii="宋体" w:eastAsia="宋体" w:hAnsi="宋体" w:cs="Times New Roman" w:hint="eastAsia"/>
                <w:b/>
                <w:sz w:val="22"/>
              </w:rPr>
              <w:t>在手</w:t>
            </w:r>
            <w:r w:rsidR="00B94BA8" w:rsidRPr="009E607E">
              <w:rPr>
                <w:rFonts w:ascii="宋体" w:eastAsia="宋体" w:hAnsi="宋体" w:cs="Times New Roman" w:hint="eastAsia"/>
                <w:b/>
                <w:sz w:val="22"/>
              </w:rPr>
              <w:t>的海外</w:t>
            </w:r>
            <w:r w:rsidR="00A50C10" w:rsidRPr="009E607E">
              <w:rPr>
                <w:rFonts w:ascii="宋体" w:eastAsia="宋体" w:hAnsi="宋体" w:cs="Times New Roman" w:hint="eastAsia"/>
                <w:b/>
                <w:sz w:val="22"/>
              </w:rPr>
              <w:t>订单情况？2</w:t>
            </w:r>
            <w:r w:rsidR="00A50C10" w:rsidRPr="009E607E">
              <w:rPr>
                <w:rFonts w:ascii="宋体" w:eastAsia="宋体" w:hAnsi="宋体" w:cs="Times New Roman"/>
                <w:b/>
                <w:sz w:val="22"/>
              </w:rPr>
              <w:t>026</w:t>
            </w:r>
            <w:r w:rsidR="00A50C10" w:rsidRPr="009E607E">
              <w:rPr>
                <w:rFonts w:ascii="宋体" w:eastAsia="宋体" w:hAnsi="宋体" w:cs="Times New Roman" w:hint="eastAsia"/>
                <w:b/>
                <w:sz w:val="22"/>
              </w:rPr>
              <w:t>年</w:t>
            </w:r>
            <w:r w:rsidR="00B94BA8" w:rsidRPr="009E607E">
              <w:rPr>
                <w:rFonts w:ascii="宋体" w:eastAsia="宋体" w:hAnsi="宋体" w:cs="Times New Roman" w:hint="eastAsia"/>
                <w:b/>
                <w:sz w:val="22"/>
              </w:rPr>
              <w:t>是否仍将保持高速增长？</w:t>
            </w:r>
          </w:p>
          <w:p w14:paraId="5F7CBFC3" w14:textId="28076E7B" w:rsidR="00A50C10" w:rsidRPr="009E607E" w:rsidRDefault="00A50C10"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答：目前（</w:t>
            </w:r>
            <w:r w:rsidR="00B94BA8" w:rsidRPr="009E607E">
              <w:rPr>
                <w:rFonts w:ascii="宋体" w:eastAsia="宋体" w:hAnsi="宋体" w:cs="Times New Roman" w:hint="eastAsia"/>
                <w:sz w:val="22"/>
              </w:rPr>
              <w:t>已签单</w:t>
            </w:r>
            <w:r w:rsidRPr="009E607E">
              <w:rPr>
                <w:rFonts w:ascii="宋体" w:eastAsia="宋体" w:hAnsi="宋体" w:cs="Times New Roman" w:hint="eastAsia"/>
                <w:sz w:val="22"/>
              </w:rPr>
              <w:t>）</w:t>
            </w:r>
            <w:r w:rsidR="00B94BA8" w:rsidRPr="009E607E">
              <w:rPr>
                <w:rFonts w:ascii="宋体" w:eastAsia="宋体" w:hAnsi="宋体" w:cs="Times New Roman" w:hint="eastAsia"/>
                <w:sz w:val="22"/>
              </w:rPr>
              <w:t>的</w:t>
            </w:r>
            <w:r w:rsidRPr="009E607E">
              <w:rPr>
                <w:rFonts w:ascii="宋体" w:eastAsia="宋体" w:hAnsi="宋体" w:cs="Times New Roman" w:hint="eastAsia"/>
                <w:sz w:val="22"/>
              </w:rPr>
              <w:t>海外订单</w:t>
            </w:r>
            <w:r w:rsidR="000D1FD6">
              <w:rPr>
                <w:rFonts w:ascii="宋体" w:eastAsia="宋体" w:hAnsi="宋体" w:cs="Times New Roman" w:hint="eastAsia"/>
                <w:sz w:val="22"/>
              </w:rPr>
              <w:t>超</w:t>
            </w:r>
            <w:r w:rsidRPr="009E607E">
              <w:rPr>
                <w:rFonts w:ascii="宋体" w:eastAsia="宋体" w:hAnsi="宋体" w:cs="Times New Roman" w:hint="eastAsia"/>
                <w:sz w:val="22"/>
              </w:rPr>
              <w:t>1</w:t>
            </w:r>
            <w:r w:rsidRPr="009E607E">
              <w:rPr>
                <w:rFonts w:ascii="宋体" w:eastAsia="宋体" w:hAnsi="宋体" w:cs="Times New Roman"/>
                <w:sz w:val="22"/>
              </w:rPr>
              <w:t>0</w:t>
            </w:r>
            <w:r w:rsidRPr="009E607E">
              <w:rPr>
                <w:rFonts w:ascii="宋体" w:eastAsia="宋体" w:hAnsi="宋体" w:cs="Times New Roman" w:hint="eastAsia"/>
                <w:sz w:val="22"/>
              </w:rPr>
              <w:t>GW</w:t>
            </w:r>
            <w:r w:rsidR="000D1FD6">
              <w:rPr>
                <w:rFonts w:ascii="宋体" w:eastAsia="宋体" w:hAnsi="宋体" w:cs="Times New Roman" w:hint="eastAsia"/>
                <w:sz w:val="22"/>
              </w:rPr>
              <w:t>h</w:t>
            </w:r>
            <w:r w:rsidR="00B94BA8" w:rsidRPr="009E607E">
              <w:rPr>
                <w:rFonts w:ascii="宋体" w:eastAsia="宋体" w:hAnsi="宋体" w:cs="Times New Roman" w:hint="eastAsia"/>
                <w:sz w:val="22"/>
              </w:rPr>
              <w:t>，</w:t>
            </w:r>
            <w:r w:rsidRPr="009E607E">
              <w:rPr>
                <w:rFonts w:ascii="宋体" w:eastAsia="宋体" w:hAnsi="宋体" w:cs="Times New Roman" w:hint="eastAsia"/>
                <w:sz w:val="22"/>
              </w:rPr>
              <w:t>预计</w:t>
            </w:r>
            <w:r w:rsidR="006D43AE">
              <w:rPr>
                <w:rFonts w:ascii="宋体" w:eastAsia="宋体" w:hAnsi="宋体" w:cs="Times New Roman" w:hint="eastAsia"/>
                <w:sz w:val="22"/>
              </w:rPr>
              <w:t>主要</w:t>
            </w:r>
            <w:r w:rsidRPr="009E607E">
              <w:rPr>
                <w:rFonts w:ascii="宋体" w:eastAsia="宋体" w:hAnsi="宋体" w:cs="Times New Roman" w:hint="eastAsia"/>
                <w:sz w:val="22"/>
              </w:rPr>
              <w:t>在2</w:t>
            </w:r>
            <w:r w:rsidRPr="009E607E">
              <w:rPr>
                <w:rFonts w:ascii="宋体" w:eastAsia="宋体" w:hAnsi="宋体" w:cs="Times New Roman"/>
                <w:sz w:val="22"/>
              </w:rPr>
              <w:t>025</w:t>
            </w:r>
            <w:r w:rsidRPr="009E607E">
              <w:rPr>
                <w:rFonts w:ascii="宋体" w:eastAsia="宋体" w:hAnsi="宋体" w:cs="Times New Roman" w:hint="eastAsia"/>
                <w:sz w:val="22"/>
              </w:rPr>
              <w:t>-2</w:t>
            </w:r>
            <w:r w:rsidRPr="009E607E">
              <w:rPr>
                <w:rFonts w:ascii="宋体" w:eastAsia="宋体" w:hAnsi="宋体" w:cs="Times New Roman"/>
                <w:sz w:val="22"/>
              </w:rPr>
              <w:t>026</w:t>
            </w:r>
            <w:r w:rsidRPr="009E607E">
              <w:rPr>
                <w:rFonts w:ascii="宋体" w:eastAsia="宋体" w:hAnsi="宋体" w:cs="Times New Roman" w:hint="eastAsia"/>
                <w:sz w:val="22"/>
              </w:rPr>
              <w:t>年交付</w:t>
            </w:r>
            <w:r w:rsidR="00241334">
              <w:rPr>
                <w:rFonts w:ascii="宋体" w:eastAsia="宋体" w:hAnsi="宋体" w:cs="Times New Roman" w:hint="eastAsia"/>
                <w:sz w:val="22"/>
              </w:rPr>
              <w:t>，未来还会持续加大海外市场签单力度，支撑储能业务规模扩张和盈利质量提升</w:t>
            </w:r>
            <w:r w:rsidRPr="009E607E">
              <w:rPr>
                <w:rFonts w:ascii="宋体" w:eastAsia="宋体" w:hAnsi="宋体" w:cs="Times New Roman" w:hint="eastAsia"/>
                <w:sz w:val="22"/>
              </w:rPr>
              <w:t>。</w:t>
            </w:r>
            <w:r w:rsidR="00B94BA8" w:rsidRPr="009E607E">
              <w:rPr>
                <w:rFonts w:ascii="宋体" w:eastAsia="宋体" w:hAnsi="宋体" w:cs="Times New Roman" w:hint="eastAsia"/>
                <w:sz w:val="22"/>
              </w:rPr>
              <w:t>2</w:t>
            </w:r>
            <w:r w:rsidR="00B94BA8" w:rsidRPr="009E607E">
              <w:rPr>
                <w:rFonts w:ascii="宋体" w:eastAsia="宋体" w:hAnsi="宋体" w:cs="Times New Roman"/>
                <w:sz w:val="22"/>
              </w:rPr>
              <w:t>026</w:t>
            </w:r>
            <w:r w:rsidR="00B94BA8" w:rsidRPr="009E607E">
              <w:rPr>
                <w:rFonts w:ascii="宋体" w:eastAsia="宋体" w:hAnsi="宋体" w:cs="Times New Roman" w:hint="eastAsia"/>
                <w:sz w:val="22"/>
              </w:rPr>
              <w:t>年天合储能出货</w:t>
            </w:r>
            <w:r w:rsidR="006D43AE">
              <w:rPr>
                <w:rFonts w:ascii="宋体" w:eastAsia="宋体" w:hAnsi="宋体" w:cs="Times New Roman" w:hint="eastAsia"/>
                <w:sz w:val="22"/>
              </w:rPr>
              <w:t>目标是</w:t>
            </w:r>
            <w:r w:rsidR="00B94BA8" w:rsidRPr="009E607E">
              <w:rPr>
                <w:rFonts w:ascii="宋体" w:eastAsia="宋体" w:hAnsi="宋体" w:cs="Times New Roman" w:hint="eastAsia"/>
                <w:sz w:val="22"/>
              </w:rPr>
              <w:t>保持5</w:t>
            </w:r>
            <w:r w:rsidR="00B94BA8" w:rsidRPr="009E607E">
              <w:rPr>
                <w:rFonts w:ascii="宋体" w:eastAsia="宋体" w:hAnsi="宋体" w:cs="Times New Roman"/>
                <w:sz w:val="22"/>
              </w:rPr>
              <w:t>0</w:t>
            </w:r>
            <w:r w:rsidR="00B94BA8" w:rsidRPr="009E607E">
              <w:rPr>
                <w:rFonts w:ascii="宋体" w:eastAsia="宋体" w:hAnsi="宋体" w:cs="Times New Roman" w:hint="eastAsia"/>
                <w:sz w:val="22"/>
              </w:rPr>
              <w:t>%</w:t>
            </w:r>
            <w:r w:rsidR="000D1FD6">
              <w:rPr>
                <w:rFonts w:ascii="宋体" w:eastAsia="宋体" w:hAnsi="宋体" w:cs="Times New Roman" w:hint="eastAsia"/>
                <w:sz w:val="22"/>
              </w:rPr>
              <w:t>以上</w:t>
            </w:r>
            <w:r w:rsidR="006D43AE">
              <w:rPr>
                <w:rFonts w:ascii="宋体" w:eastAsia="宋体" w:hAnsi="宋体" w:cs="Times New Roman" w:hint="eastAsia"/>
                <w:sz w:val="22"/>
              </w:rPr>
              <w:t>的同比增速</w:t>
            </w:r>
            <w:r w:rsidR="00B94BA8" w:rsidRPr="009E607E">
              <w:rPr>
                <w:rFonts w:ascii="宋体" w:eastAsia="宋体" w:hAnsi="宋体" w:cs="Times New Roman" w:hint="eastAsia"/>
                <w:sz w:val="22"/>
              </w:rPr>
              <w:t>。</w:t>
            </w:r>
          </w:p>
          <w:p w14:paraId="4FD58304" w14:textId="77777777" w:rsidR="00A50C10" w:rsidRPr="009E607E" w:rsidRDefault="00A50C10" w:rsidP="00FA2868">
            <w:pPr>
              <w:tabs>
                <w:tab w:val="left" w:pos="5358"/>
              </w:tabs>
              <w:spacing w:line="360" w:lineRule="exact"/>
              <w:jc w:val="left"/>
              <w:rPr>
                <w:rFonts w:ascii="宋体" w:eastAsia="宋体" w:hAnsi="宋体" w:cs="Times New Roman" w:hint="eastAsia"/>
                <w:sz w:val="22"/>
              </w:rPr>
            </w:pPr>
          </w:p>
          <w:p w14:paraId="4D100EDD" w14:textId="77777777" w:rsidR="00B94BA8" w:rsidRPr="009E607E" w:rsidRDefault="00B94BA8" w:rsidP="00FA2868">
            <w:pPr>
              <w:tabs>
                <w:tab w:val="left" w:pos="5358"/>
              </w:tabs>
              <w:spacing w:line="360" w:lineRule="exact"/>
              <w:jc w:val="left"/>
              <w:rPr>
                <w:rFonts w:ascii="宋体" w:eastAsia="宋体" w:hAnsi="宋体" w:cs="Times New Roman" w:hint="eastAsia"/>
                <w:b/>
                <w:sz w:val="22"/>
              </w:rPr>
            </w:pPr>
            <w:r w:rsidRPr="009E607E">
              <w:rPr>
                <w:rFonts w:ascii="宋体" w:eastAsia="宋体" w:hAnsi="宋体" w:cs="Times New Roman" w:hint="eastAsia"/>
                <w:b/>
                <w:sz w:val="22"/>
              </w:rPr>
              <w:t>3、公司储能业务在海外拓展迅速的原因？和光伏有没有渠道复用？</w:t>
            </w:r>
          </w:p>
          <w:p w14:paraId="7C170907" w14:textId="77777777" w:rsidR="00B94BA8" w:rsidRPr="009E607E" w:rsidRDefault="00B94BA8"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答：</w:t>
            </w:r>
            <w:r w:rsidRPr="009E607E">
              <w:rPr>
                <w:rFonts w:ascii="宋体" w:eastAsia="宋体" w:hAnsi="宋体" w:cs="Times New Roman"/>
                <w:sz w:val="22"/>
              </w:rPr>
              <w:t>2025年，公司储能业务在海外市场拓展迅速，主要得益于以下几个方面的持续发力：</w:t>
            </w:r>
          </w:p>
          <w:p w14:paraId="1AC23C18" w14:textId="1FB86B87" w:rsidR="00B94BA8" w:rsidRPr="009E607E" w:rsidRDefault="00B94BA8"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1、积极推进战略性签约</w:t>
            </w:r>
            <w:r w:rsidR="006D43AE">
              <w:rPr>
                <w:rFonts w:ascii="宋体" w:eastAsia="宋体" w:hAnsi="宋体" w:cs="Times New Roman" w:hint="eastAsia"/>
                <w:sz w:val="22"/>
              </w:rPr>
              <w:t>，</w:t>
            </w:r>
            <w:r w:rsidRPr="009E607E">
              <w:rPr>
                <w:rFonts w:ascii="宋体" w:eastAsia="宋体" w:hAnsi="宋体" w:cs="Times New Roman"/>
                <w:sz w:val="22"/>
              </w:rPr>
              <w:t>2022-2024年之间在欧洲的英国、德国等高价值高要求市场打造多个标杆项目，树立了可靠的“有芯的储能集成商”品牌形象。作为具备自研电芯能力的储能系统集成商，我们能够为客户提供更适配、高性能的整套解决方案，交付能力和项目执行效率不断提升，赢得了国际客户的认可。</w:t>
            </w:r>
          </w:p>
          <w:p w14:paraId="28882396" w14:textId="31ED5E0A" w:rsidR="00B94BA8" w:rsidRPr="009E607E" w:rsidRDefault="00B94BA8"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2、充分利用集团在光伏领域已建立的广泛渠道资源，实现了协同拓展和客户转化。</w:t>
            </w:r>
            <w:r w:rsidRPr="009E607E">
              <w:rPr>
                <w:rFonts w:ascii="宋体" w:eastAsia="宋体" w:hAnsi="宋体" w:cs="Times New Roman"/>
                <w:sz w:val="22"/>
              </w:rPr>
              <w:t>2025年上半年，由</w:t>
            </w:r>
            <w:r w:rsidR="006D43AE">
              <w:rPr>
                <w:rFonts w:ascii="宋体" w:eastAsia="宋体" w:hAnsi="宋体" w:cs="Times New Roman" w:hint="eastAsia"/>
                <w:sz w:val="22"/>
              </w:rPr>
              <w:t>天合光能</w:t>
            </w:r>
            <w:r w:rsidRPr="009E607E">
              <w:rPr>
                <w:rFonts w:ascii="宋体" w:eastAsia="宋体" w:hAnsi="宋体" w:cs="Times New Roman"/>
                <w:sz w:val="22"/>
              </w:rPr>
              <w:t>原有光伏客户转化而来的储能订单占比达</w:t>
            </w:r>
            <w:r w:rsidR="00EE3B1C">
              <w:rPr>
                <w:rFonts w:ascii="宋体" w:eastAsia="宋体" w:hAnsi="宋体" w:cs="Times New Roman"/>
                <w:sz w:val="22"/>
              </w:rPr>
              <w:t>50</w:t>
            </w:r>
            <w:r w:rsidR="00EE3B1C">
              <w:rPr>
                <w:rFonts w:ascii="宋体" w:eastAsia="宋体" w:hAnsi="宋体" w:cs="Times New Roman" w:hint="eastAsia"/>
                <w:sz w:val="22"/>
              </w:rPr>
              <w:t>%左右</w:t>
            </w:r>
            <w:r w:rsidRPr="009E607E">
              <w:rPr>
                <w:rFonts w:ascii="宋体" w:eastAsia="宋体" w:hAnsi="宋体" w:cs="Times New Roman"/>
                <w:sz w:val="22"/>
              </w:rPr>
              <w:t>，渠道复用显著提升了海外市场开拓的效率和覆盖面。</w:t>
            </w:r>
          </w:p>
          <w:p w14:paraId="09C9F42F" w14:textId="77777777" w:rsidR="00B94BA8" w:rsidRPr="009E607E" w:rsidRDefault="00B94BA8"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3、在全球化销售与服务能力方面，公司已全面运营全球工程技术中心、售前技术与解决方案团队贴近本地市场、理解客户本地化电网级需求，并在中国、北美、欧洲设立了三大调试中心，可为客户提供从方案设计、产品交付、施工建设到后期运维的全生命周期本地化服务。同时，我们持续完善全球售后运维网络，目前已在超</w:t>
            </w:r>
            <w:r w:rsidRPr="009E607E">
              <w:rPr>
                <w:rFonts w:ascii="宋体" w:eastAsia="宋体" w:hAnsi="宋体" w:cs="Times New Roman"/>
                <w:sz w:val="22"/>
              </w:rPr>
              <w:t>10个国家布局了10余个服务中心，切实提升属地响应能力。</w:t>
            </w:r>
          </w:p>
          <w:p w14:paraId="23A95584" w14:textId="77777777" w:rsidR="00B94BA8" w:rsidRPr="009E607E" w:rsidRDefault="00B94BA8"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4、全栈自研自产使</w:t>
            </w:r>
            <w:r w:rsidR="002B3E11">
              <w:rPr>
                <w:rFonts w:ascii="宋体" w:eastAsia="宋体" w:hAnsi="宋体" w:cs="Times New Roman" w:hint="eastAsia"/>
                <w:sz w:val="22"/>
              </w:rPr>
              <w:t>公司</w:t>
            </w:r>
            <w:r w:rsidRPr="009E607E">
              <w:rPr>
                <w:rFonts w:ascii="宋体" w:eastAsia="宋体" w:hAnsi="宋体" w:cs="Times New Roman" w:hint="eastAsia"/>
                <w:sz w:val="22"/>
              </w:rPr>
              <w:t>能够更好地控制产品性能与责任闭环，一站式系统解决方案也让客户更加省心省力。近期多个重大项目也印证了公司的综合实力：例如，今年</w:t>
            </w:r>
            <w:r w:rsidRPr="009E607E">
              <w:rPr>
                <w:rFonts w:ascii="宋体" w:eastAsia="宋体" w:hAnsi="宋体" w:cs="Times New Roman"/>
                <w:sz w:val="22"/>
              </w:rPr>
              <w:t>7月，1.2GWh储能系统成功发运智利，标志着天合储能海外单体项目交付正式进入“GWh时代”；公司与东欧优质伙伴Stiemo达成战略合作，计划未来数年联合部</w:t>
            </w:r>
            <w:r w:rsidRPr="009E607E">
              <w:rPr>
                <w:rFonts w:ascii="宋体" w:eastAsia="宋体" w:hAnsi="宋体" w:cs="Times New Roman"/>
                <w:sz w:val="22"/>
              </w:rPr>
              <w:lastRenderedPageBreak/>
              <w:t>署GWh级储能项目；此外，由我司供货的埃及Abydos超360MWh光储融合电站，从发货到并网仅用时60天，充分体现了“技术+供应链+本土伙伴”三位一体的高效交付模式。</w:t>
            </w:r>
          </w:p>
          <w:p w14:paraId="32426366" w14:textId="77777777" w:rsidR="00B94BA8" w:rsidRPr="009E607E" w:rsidRDefault="00B94BA8" w:rsidP="00FA2868">
            <w:pPr>
              <w:tabs>
                <w:tab w:val="left" w:pos="5358"/>
              </w:tabs>
              <w:spacing w:line="360" w:lineRule="exact"/>
              <w:ind w:firstLineChars="200" w:firstLine="440"/>
              <w:jc w:val="left"/>
              <w:rPr>
                <w:rFonts w:ascii="宋体" w:eastAsia="宋体" w:hAnsi="宋体" w:cs="Times New Roman" w:hint="eastAsia"/>
                <w:sz w:val="22"/>
              </w:rPr>
            </w:pPr>
            <w:r w:rsidRPr="009E607E">
              <w:rPr>
                <w:rFonts w:ascii="宋体" w:eastAsia="宋体" w:hAnsi="宋体" w:cs="Times New Roman" w:hint="eastAsia"/>
                <w:sz w:val="22"/>
              </w:rPr>
              <w:t>综上，系统化的技术、渠道协同与全球运营服务能力，是支撑公司储能业务高质量出海的关键。</w:t>
            </w:r>
          </w:p>
          <w:p w14:paraId="37EC0D9B" w14:textId="77777777" w:rsidR="00B94BA8" w:rsidRPr="009E607E" w:rsidRDefault="00B94BA8" w:rsidP="00FA2868">
            <w:pPr>
              <w:tabs>
                <w:tab w:val="left" w:pos="5358"/>
              </w:tabs>
              <w:spacing w:line="360" w:lineRule="exact"/>
              <w:jc w:val="left"/>
              <w:rPr>
                <w:rFonts w:ascii="宋体" w:eastAsia="宋体" w:hAnsi="宋体" w:cs="Times New Roman" w:hint="eastAsia"/>
                <w:sz w:val="22"/>
              </w:rPr>
            </w:pPr>
          </w:p>
          <w:p w14:paraId="75D2CD12" w14:textId="77777777" w:rsidR="00B94BA8" w:rsidRPr="009E607E" w:rsidRDefault="00B94BA8" w:rsidP="00FA2868">
            <w:pPr>
              <w:tabs>
                <w:tab w:val="left" w:pos="5358"/>
              </w:tabs>
              <w:spacing w:line="360" w:lineRule="exact"/>
              <w:jc w:val="left"/>
              <w:rPr>
                <w:rFonts w:ascii="宋体" w:eastAsia="宋体" w:hAnsi="宋体" w:cs="Times New Roman" w:hint="eastAsia"/>
                <w:b/>
                <w:sz w:val="22"/>
              </w:rPr>
            </w:pPr>
            <w:r w:rsidRPr="009E607E">
              <w:rPr>
                <w:rFonts w:ascii="宋体" w:eastAsia="宋体" w:hAnsi="宋体" w:cs="Times New Roman"/>
                <w:b/>
                <w:sz w:val="22"/>
              </w:rPr>
              <w:t>4、</w:t>
            </w:r>
            <w:r w:rsidRPr="009E607E">
              <w:rPr>
                <w:rFonts w:ascii="宋体" w:eastAsia="宋体" w:hAnsi="宋体" w:cs="Times New Roman" w:hint="eastAsia"/>
                <w:b/>
                <w:sz w:val="22"/>
              </w:rPr>
              <w:t>目前公司</w:t>
            </w:r>
            <w:r w:rsidRPr="009E607E">
              <w:rPr>
                <w:rFonts w:ascii="宋体" w:eastAsia="宋体" w:hAnsi="宋体" w:cs="Times New Roman"/>
                <w:b/>
                <w:sz w:val="22"/>
              </w:rPr>
              <w:t>储能电芯的自供比例？</w:t>
            </w:r>
          </w:p>
          <w:p w14:paraId="33121C9B" w14:textId="5E887078" w:rsidR="00B94BA8" w:rsidRPr="009E607E" w:rsidRDefault="00B94BA8" w:rsidP="00FA2868">
            <w:pPr>
              <w:tabs>
                <w:tab w:val="left" w:pos="5358"/>
              </w:tabs>
              <w:spacing w:line="360" w:lineRule="exact"/>
              <w:jc w:val="left"/>
              <w:rPr>
                <w:rFonts w:ascii="宋体" w:eastAsia="宋体" w:hAnsi="宋体" w:cs="Times New Roman" w:hint="eastAsia"/>
                <w:sz w:val="22"/>
              </w:rPr>
            </w:pPr>
            <w:r w:rsidRPr="009E607E">
              <w:rPr>
                <w:rFonts w:ascii="宋体" w:eastAsia="宋体" w:hAnsi="宋体" w:cs="Times New Roman" w:hint="eastAsia"/>
                <w:sz w:val="22"/>
              </w:rPr>
              <w:t>答：</w:t>
            </w:r>
            <w:r w:rsidR="006D43AE">
              <w:rPr>
                <w:rFonts w:ascii="宋体" w:eastAsia="宋体" w:hAnsi="宋体" w:cs="Times New Roman" w:hint="eastAsia"/>
                <w:sz w:val="22"/>
              </w:rPr>
              <w:t>公司储能系统中的电芯</w:t>
            </w:r>
            <w:r w:rsidRPr="009E607E">
              <w:rPr>
                <w:rFonts w:ascii="宋体" w:eastAsia="宋体" w:hAnsi="宋体" w:cs="Times New Roman"/>
                <w:sz w:val="22"/>
              </w:rPr>
              <w:t>100%自供</w:t>
            </w:r>
            <w:r w:rsidR="006D43AE">
              <w:rPr>
                <w:rFonts w:ascii="宋体" w:eastAsia="宋体" w:hAnsi="宋体" w:cs="Times New Roman" w:hint="eastAsia"/>
                <w:sz w:val="22"/>
              </w:rPr>
              <w:t>生产。</w:t>
            </w:r>
            <w:r w:rsidR="006D43AE" w:rsidRPr="009E607E">
              <w:rPr>
                <w:rFonts w:ascii="宋体" w:eastAsia="宋体" w:hAnsi="宋体" w:cs="Times New Roman"/>
                <w:sz w:val="22"/>
              </w:rPr>
              <w:t>作为具备自研电芯能力的储能系统集成商，我们能够为客户提供更适配、高性能的整套解决方案，交付能力和项目执行效率不断提升，</w:t>
            </w:r>
            <w:r w:rsidR="006D43AE">
              <w:rPr>
                <w:rFonts w:ascii="宋体" w:eastAsia="宋体" w:hAnsi="宋体" w:cs="Times New Roman" w:hint="eastAsia"/>
                <w:sz w:val="22"/>
              </w:rPr>
              <w:t>更好地开拓海外市场</w:t>
            </w:r>
            <w:r w:rsidRPr="009E607E">
              <w:rPr>
                <w:rFonts w:ascii="宋体" w:eastAsia="宋体" w:hAnsi="宋体" w:cs="Times New Roman" w:hint="eastAsia"/>
                <w:sz w:val="22"/>
              </w:rPr>
              <w:t>。</w:t>
            </w:r>
          </w:p>
          <w:p w14:paraId="58E043E5" w14:textId="77777777" w:rsidR="00DE764C" w:rsidRDefault="00DE764C" w:rsidP="00FA2868">
            <w:pPr>
              <w:tabs>
                <w:tab w:val="left" w:pos="5358"/>
              </w:tabs>
              <w:spacing w:line="360" w:lineRule="exact"/>
              <w:jc w:val="left"/>
              <w:rPr>
                <w:rFonts w:ascii="宋体" w:eastAsia="宋体" w:hAnsi="宋体" w:cs="Times New Roman" w:hint="eastAsia"/>
                <w:sz w:val="22"/>
              </w:rPr>
            </w:pPr>
          </w:p>
          <w:p w14:paraId="2E997D03" w14:textId="77777777" w:rsidR="00FA2868" w:rsidRPr="00FA2868" w:rsidRDefault="00FA2868" w:rsidP="00FA2868">
            <w:pPr>
              <w:tabs>
                <w:tab w:val="left" w:pos="5358"/>
              </w:tabs>
              <w:spacing w:line="360" w:lineRule="exact"/>
              <w:jc w:val="left"/>
              <w:rPr>
                <w:rFonts w:ascii="宋体" w:eastAsia="宋体" w:hAnsi="宋体" w:cs="Times New Roman" w:hint="eastAsia"/>
                <w:b/>
                <w:sz w:val="22"/>
              </w:rPr>
            </w:pPr>
            <w:r>
              <w:rPr>
                <w:rFonts w:ascii="宋体" w:eastAsia="宋体" w:hAnsi="宋体" w:cs="Times New Roman" w:hint="eastAsia"/>
                <w:b/>
                <w:sz w:val="22"/>
              </w:rPr>
              <w:t>5、</w:t>
            </w:r>
            <w:r w:rsidRPr="00FA2868">
              <w:rPr>
                <w:rFonts w:ascii="宋体" w:eastAsia="宋体" w:hAnsi="宋体" w:cs="Times New Roman" w:hint="eastAsia"/>
                <w:b/>
                <w:sz w:val="22"/>
              </w:rPr>
              <w:t>公司在储能技术研发方面的亮点介绍。</w:t>
            </w:r>
          </w:p>
          <w:p w14:paraId="515DA73E" w14:textId="77777777" w:rsidR="00FA2868" w:rsidRPr="00FA2868" w:rsidRDefault="00FA2868" w:rsidP="00FA2868">
            <w:pPr>
              <w:tabs>
                <w:tab w:val="left" w:pos="5358"/>
              </w:tabs>
              <w:spacing w:line="360" w:lineRule="exact"/>
              <w:jc w:val="left"/>
              <w:rPr>
                <w:rFonts w:ascii="宋体" w:eastAsia="宋体" w:hAnsi="宋体" w:cs="Times New Roman" w:hint="eastAsia"/>
                <w:sz w:val="22"/>
              </w:rPr>
            </w:pPr>
            <w:r>
              <w:rPr>
                <w:rFonts w:ascii="宋体" w:eastAsia="宋体" w:hAnsi="宋体" w:cs="Times New Roman" w:hint="eastAsia"/>
                <w:sz w:val="22"/>
              </w:rPr>
              <w:t>答：</w:t>
            </w:r>
            <w:r w:rsidRPr="00FA2868">
              <w:rPr>
                <w:rFonts w:ascii="宋体" w:eastAsia="宋体" w:hAnsi="宋体" w:cs="Times New Roman" w:hint="eastAsia"/>
                <w:sz w:val="22"/>
              </w:rPr>
              <w:t>2</w:t>
            </w:r>
            <w:r w:rsidRPr="00FA2868">
              <w:rPr>
                <w:rFonts w:ascii="宋体" w:eastAsia="宋体" w:hAnsi="宋体" w:cs="Times New Roman"/>
                <w:sz w:val="22"/>
              </w:rPr>
              <w:t>025</w:t>
            </w:r>
            <w:r w:rsidRPr="00FA2868">
              <w:rPr>
                <w:rFonts w:ascii="宋体" w:eastAsia="宋体" w:hAnsi="宋体" w:cs="Times New Roman" w:hint="eastAsia"/>
                <w:sz w:val="22"/>
              </w:rPr>
              <w:t>年3月，天合储能发布新一代升级储能系统</w:t>
            </w:r>
            <w:r w:rsidRPr="00FA2868">
              <w:rPr>
                <w:rFonts w:ascii="宋体" w:eastAsia="宋体" w:hAnsi="宋体" w:cs="Times New Roman"/>
                <w:sz w:val="22"/>
              </w:rPr>
              <w:t>Elementa 2 Pro</w:t>
            </w:r>
            <w:r w:rsidRPr="00FA2868">
              <w:rPr>
                <w:rFonts w:ascii="宋体" w:eastAsia="宋体" w:hAnsi="宋体" w:cs="Times New Roman" w:hint="eastAsia"/>
                <w:sz w:val="22"/>
              </w:rPr>
              <w:t>，其</w:t>
            </w:r>
            <w:r w:rsidRPr="00FA2868">
              <w:rPr>
                <w:rFonts w:ascii="宋体" w:eastAsia="宋体" w:hAnsi="宋体" w:cs="Times New Roman"/>
                <w:sz w:val="22"/>
              </w:rPr>
              <w:t>搭载了天合自研的314Ah高性能天合芯，支持15000次长循环，显著延长了系统寿命，降低了全生命周期成本，为用户带来更高的投资回报率。以“全栈自研电芯+多级安全防护+属地化场景适配”为核心竞争力，深度融合光储生态，为全球客户提供</w:t>
            </w:r>
            <w:r w:rsidRPr="00FA2868">
              <w:rPr>
                <w:rFonts w:ascii="宋体" w:eastAsia="宋体" w:hAnsi="宋体" w:cs="Times New Roman" w:hint="eastAsia"/>
                <w:sz w:val="22"/>
              </w:rPr>
              <w:t>高能量密度、</w:t>
            </w:r>
            <w:r w:rsidRPr="00FA2868">
              <w:rPr>
                <w:rFonts w:ascii="宋体" w:eastAsia="宋体" w:hAnsi="宋体" w:cs="Times New Roman"/>
                <w:sz w:val="22"/>
              </w:rPr>
              <w:t>高可靠</w:t>
            </w:r>
            <w:r w:rsidRPr="00FA2868">
              <w:rPr>
                <w:rFonts w:ascii="宋体" w:eastAsia="宋体" w:hAnsi="宋体" w:cs="Times New Roman" w:hint="eastAsia"/>
                <w:sz w:val="22"/>
              </w:rPr>
              <w:t>且更适配多场景化需求的</w:t>
            </w:r>
            <w:r w:rsidRPr="00FA2868">
              <w:rPr>
                <w:rFonts w:ascii="宋体" w:eastAsia="宋体" w:hAnsi="宋体" w:cs="Times New Roman"/>
                <w:sz w:val="22"/>
              </w:rPr>
              <w:t>储能解决方案</w:t>
            </w:r>
            <w:r w:rsidRPr="00FA2868">
              <w:rPr>
                <w:rFonts w:ascii="宋体" w:eastAsia="宋体" w:hAnsi="宋体" w:cs="Times New Roman" w:hint="eastAsia"/>
                <w:sz w:val="22"/>
              </w:rPr>
              <w:t>。</w:t>
            </w:r>
          </w:p>
          <w:p w14:paraId="10E5D67C" w14:textId="77777777" w:rsidR="00FA2868" w:rsidRPr="00FA2868" w:rsidRDefault="00FA2868" w:rsidP="00FA2868">
            <w:pPr>
              <w:tabs>
                <w:tab w:val="left" w:pos="5358"/>
              </w:tabs>
              <w:spacing w:line="360" w:lineRule="exact"/>
              <w:ind w:firstLineChars="200" w:firstLine="440"/>
              <w:jc w:val="left"/>
              <w:rPr>
                <w:rFonts w:ascii="宋体" w:eastAsia="宋体" w:hAnsi="宋体" w:cs="Times New Roman" w:hint="eastAsia"/>
                <w:sz w:val="22"/>
              </w:rPr>
            </w:pPr>
            <w:r w:rsidRPr="00FA2868">
              <w:rPr>
                <w:rFonts w:ascii="宋体" w:eastAsia="宋体" w:hAnsi="宋体" w:cs="Times New Roman" w:hint="eastAsia"/>
                <w:sz w:val="22"/>
              </w:rPr>
              <w:t>储能大容量液冷储能系统技术研究：2</w:t>
            </w:r>
            <w:r w:rsidRPr="00FA2868">
              <w:rPr>
                <w:rFonts w:ascii="宋体" w:eastAsia="宋体" w:hAnsi="宋体" w:cs="Times New Roman"/>
                <w:sz w:val="22"/>
              </w:rPr>
              <w:t>025</w:t>
            </w:r>
            <w:r w:rsidRPr="00FA2868">
              <w:rPr>
                <w:rFonts w:ascii="宋体" w:eastAsia="宋体" w:hAnsi="宋体" w:cs="Times New Roman" w:hint="eastAsia"/>
                <w:sz w:val="22"/>
              </w:rPr>
              <w:t>年6月，天合储能发布基于新一代大容量储能系统Elementa金刚3深度开发的7MWh＋交直协同解决方案。Elementa金刚3系统作为</w:t>
            </w:r>
            <w:r w:rsidRPr="00FA2868">
              <w:rPr>
                <w:rFonts w:ascii="宋体" w:eastAsia="宋体" w:hAnsi="宋体" w:cs="Times New Roman"/>
                <w:sz w:val="22"/>
              </w:rPr>
              <w:t>天合储能面向新型电力系统的旗舰产品</w:t>
            </w:r>
            <w:r w:rsidRPr="00FA2868">
              <w:rPr>
                <w:rFonts w:ascii="宋体" w:eastAsia="宋体" w:hAnsi="宋体" w:cs="Times New Roman" w:hint="eastAsia"/>
                <w:sz w:val="22"/>
              </w:rPr>
              <w:t>，以587Ah自研大容量电芯为压舱石，通过精准优化舱体空间利用率，实现整舱能量密度提升超40%，以百兆瓦级项目测算，可提升场站级能量密度近35%，降低土地租赁费用23.8%，Capex总成本降低超5%。同时通过整柜运输和厂内前置联调、一体化覆盖测试等程序优化，将并网前期准备时间缩短50%以上，显著提升了项目的交付效率。</w:t>
            </w:r>
          </w:p>
          <w:p w14:paraId="5C62082B" w14:textId="77777777" w:rsidR="00FA2868" w:rsidRPr="00FA2868" w:rsidRDefault="00FA2868" w:rsidP="00FA2868">
            <w:pPr>
              <w:tabs>
                <w:tab w:val="left" w:pos="5358"/>
              </w:tabs>
              <w:spacing w:line="360" w:lineRule="exact"/>
              <w:ind w:firstLineChars="200" w:firstLine="440"/>
              <w:jc w:val="left"/>
              <w:rPr>
                <w:rFonts w:ascii="宋体" w:eastAsia="宋体" w:hAnsi="宋体" w:cs="Times New Roman" w:hint="eastAsia"/>
                <w:sz w:val="22"/>
              </w:rPr>
            </w:pPr>
            <w:r w:rsidRPr="00FA2868">
              <w:rPr>
                <w:rFonts w:ascii="宋体" w:eastAsia="宋体" w:hAnsi="宋体" w:cs="Times New Roman" w:hint="eastAsia"/>
                <w:sz w:val="22"/>
              </w:rPr>
              <w:t>天合储能6月中荣获IEC62619国际标准认证和SGS NFPA 68&amp;NFPA 855认证报告，充分彰显天合储能产品与系统安全、可靠与卓越品质，进一步印证了天合储能在行业内的技术领先地位。此外，天合储能正式发布了“光储充”与“光储云”两大智慧平台，进一步优化能源管理效率和电力市场交易响应能力</w:t>
            </w:r>
          </w:p>
          <w:p w14:paraId="37E05182" w14:textId="77777777" w:rsidR="00FA2868" w:rsidRDefault="00FA2868" w:rsidP="00FA2868">
            <w:pPr>
              <w:tabs>
                <w:tab w:val="left" w:pos="5358"/>
              </w:tabs>
              <w:spacing w:line="360" w:lineRule="exact"/>
              <w:jc w:val="left"/>
              <w:rPr>
                <w:rFonts w:ascii="宋体" w:eastAsia="宋体" w:hAnsi="宋体" w:cs="Times New Roman" w:hint="eastAsia"/>
                <w:sz w:val="22"/>
              </w:rPr>
            </w:pPr>
          </w:p>
          <w:p w14:paraId="33A3B3AE" w14:textId="77777777" w:rsidR="00FA2868" w:rsidRPr="00FA2868" w:rsidRDefault="00FA2868" w:rsidP="00FA2868">
            <w:pPr>
              <w:tabs>
                <w:tab w:val="left" w:pos="5358"/>
              </w:tabs>
              <w:spacing w:line="360" w:lineRule="exact"/>
              <w:jc w:val="left"/>
              <w:rPr>
                <w:rFonts w:ascii="宋体" w:eastAsia="宋体" w:hAnsi="宋体" w:cs="Times New Roman" w:hint="eastAsia"/>
                <w:b/>
                <w:sz w:val="22"/>
              </w:rPr>
            </w:pPr>
            <w:r>
              <w:rPr>
                <w:rFonts w:ascii="宋体" w:eastAsia="宋体" w:hAnsi="宋体" w:cs="Times New Roman" w:hint="eastAsia"/>
                <w:b/>
                <w:sz w:val="22"/>
              </w:rPr>
              <w:t>6、</w:t>
            </w:r>
            <w:r w:rsidRPr="00FA2868">
              <w:rPr>
                <w:rFonts w:ascii="宋体" w:eastAsia="宋体" w:hAnsi="宋体" w:cs="Times New Roman" w:hint="eastAsia"/>
                <w:b/>
                <w:sz w:val="22"/>
              </w:rPr>
              <w:t>公司认为未来全球储能市场的核心竞争要素有哪些？</w:t>
            </w:r>
          </w:p>
          <w:p w14:paraId="2A30F0AE" w14:textId="77777777" w:rsidR="00FA2868" w:rsidRPr="00FA2868" w:rsidRDefault="00FA2868" w:rsidP="00FA2868">
            <w:pPr>
              <w:tabs>
                <w:tab w:val="left" w:pos="5358"/>
              </w:tabs>
              <w:spacing w:line="360" w:lineRule="exact"/>
              <w:jc w:val="left"/>
              <w:rPr>
                <w:rFonts w:ascii="宋体" w:eastAsia="宋体" w:hAnsi="宋体" w:cs="Times New Roman" w:hint="eastAsia"/>
                <w:sz w:val="22"/>
              </w:rPr>
            </w:pPr>
            <w:r w:rsidRPr="00FA2868">
              <w:rPr>
                <w:rFonts w:ascii="宋体" w:eastAsia="宋体" w:hAnsi="宋体" w:cs="Times New Roman" w:hint="eastAsia"/>
                <w:sz w:val="22"/>
              </w:rPr>
              <w:t>答：</w:t>
            </w:r>
            <w:r>
              <w:rPr>
                <w:rFonts w:ascii="宋体" w:eastAsia="宋体" w:hAnsi="宋体" w:cs="Times New Roman"/>
                <w:sz w:val="22"/>
              </w:rPr>
              <w:t>1</w:t>
            </w:r>
            <w:r>
              <w:rPr>
                <w:rFonts w:ascii="宋体" w:eastAsia="宋体" w:hAnsi="宋体" w:cs="Times New Roman" w:hint="eastAsia"/>
                <w:sz w:val="22"/>
              </w:rPr>
              <w:t>、</w:t>
            </w:r>
            <w:r w:rsidRPr="00FA2868">
              <w:rPr>
                <w:rFonts w:ascii="宋体" w:eastAsia="宋体" w:hAnsi="宋体" w:cs="Times New Roman"/>
                <w:sz w:val="22"/>
              </w:rPr>
              <w:t>技术迭代与产品性能：大容量电芯带来的更高系统能量密度（20尺集装箱超6MWh）、构网型技术等是竞争焦点。安全性和长寿命（25-26年）是客户关注的重点。</w:t>
            </w:r>
          </w:p>
          <w:p w14:paraId="328E0E37" w14:textId="77777777" w:rsidR="00FA2868" w:rsidRPr="00FA2868" w:rsidRDefault="00FA2868" w:rsidP="00FA2868">
            <w:pPr>
              <w:tabs>
                <w:tab w:val="left" w:pos="5358"/>
              </w:tabs>
              <w:spacing w:line="360" w:lineRule="exact"/>
              <w:jc w:val="left"/>
              <w:rPr>
                <w:rFonts w:ascii="宋体" w:eastAsia="宋体" w:hAnsi="宋体" w:cs="Times New Roman" w:hint="eastAsia"/>
                <w:sz w:val="22"/>
              </w:rPr>
            </w:pPr>
            <w:r>
              <w:rPr>
                <w:rFonts w:ascii="宋体" w:eastAsia="宋体" w:hAnsi="宋体" w:cs="Times New Roman"/>
                <w:sz w:val="22"/>
              </w:rPr>
              <w:lastRenderedPageBreak/>
              <w:t>2</w:t>
            </w:r>
            <w:r>
              <w:rPr>
                <w:rFonts w:ascii="宋体" w:eastAsia="宋体" w:hAnsi="宋体" w:cs="Times New Roman" w:hint="eastAsia"/>
                <w:sz w:val="22"/>
              </w:rPr>
              <w:t>、</w:t>
            </w:r>
            <w:r w:rsidRPr="00FA2868">
              <w:rPr>
                <w:rFonts w:ascii="宋体" w:eastAsia="宋体" w:hAnsi="宋体" w:cs="Times New Roman"/>
                <w:sz w:val="22"/>
              </w:rPr>
              <w:t>成本与规模化能力：一体化整合（电芯→BMS→EMS→系统集成）能力至关重要。规模化生产能有效摊薄成本，头部企业产能利用率高</w:t>
            </w:r>
            <w:r w:rsidR="00281D24">
              <w:rPr>
                <w:rFonts w:ascii="宋体" w:eastAsia="宋体" w:hAnsi="宋体" w:cs="Times New Roman" w:hint="eastAsia"/>
                <w:sz w:val="22"/>
              </w:rPr>
              <w:t>。</w:t>
            </w:r>
          </w:p>
          <w:p w14:paraId="0EC42701" w14:textId="77777777" w:rsidR="00FA2868" w:rsidRPr="00FA2868" w:rsidRDefault="00FA2868" w:rsidP="00FA2868">
            <w:pPr>
              <w:tabs>
                <w:tab w:val="left" w:pos="5358"/>
              </w:tabs>
              <w:spacing w:line="360" w:lineRule="exact"/>
              <w:jc w:val="left"/>
              <w:rPr>
                <w:rFonts w:ascii="宋体" w:eastAsia="宋体" w:hAnsi="宋体" w:cs="Times New Roman" w:hint="eastAsia"/>
                <w:sz w:val="22"/>
              </w:rPr>
            </w:pPr>
            <w:r>
              <w:rPr>
                <w:rFonts w:ascii="宋体" w:eastAsia="宋体" w:hAnsi="宋体" w:cs="Times New Roman"/>
                <w:sz w:val="22"/>
              </w:rPr>
              <w:t>3</w:t>
            </w:r>
            <w:r>
              <w:rPr>
                <w:rFonts w:ascii="宋体" w:eastAsia="宋体" w:hAnsi="宋体" w:cs="Times New Roman" w:hint="eastAsia"/>
                <w:sz w:val="22"/>
              </w:rPr>
              <w:t>、</w:t>
            </w:r>
            <w:r w:rsidRPr="00FA2868">
              <w:rPr>
                <w:rFonts w:ascii="宋体" w:eastAsia="宋体" w:hAnsi="宋体" w:cs="Times New Roman"/>
                <w:sz w:val="22"/>
              </w:rPr>
              <w:t>多元化商业模式与收益渠道：储能项目的盈利模式日益多元化，不再单一依赖“峰谷套利”。容量电价、现货市场价差、辅助服务（调频、调峰）、容量租赁等共同构成了项目的收益来源。商业模式的创新（如与基金、保险等资方合作）也对提升项目经济性至关重要</w:t>
            </w:r>
            <w:r w:rsidR="00E97653">
              <w:rPr>
                <w:rFonts w:ascii="宋体" w:eastAsia="宋体" w:hAnsi="宋体" w:cs="Times New Roman" w:hint="eastAsia"/>
                <w:sz w:val="22"/>
              </w:rPr>
              <w:t>。</w:t>
            </w:r>
          </w:p>
          <w:p w14:paraId="16190EBC" w14:textId="77777777" w:rsidR="00FA2868" w:rsidRPr="00FA2868" w:rsidRDefault="00FA2868" w:rsidP="00FA2868">
            <w:pPr>
              <w:tabs>
                <w:tab w:val="left" w:pos="5358"/>
              </w:tabs>
              <w:spacing w:line="360" w:lineRule="exact"/>
              <w:jc w:val="left"/>
              <w:rPr>
                <w:rFonts w:ascii="宋体" w:eastAsia="宋体" w:hAnsi="宋体" w:cs="Times New Roman" w:hint="eastAsia"/>
                <w:sz w:val="22"/>
              </w:rPr>
            </w:pPr>
            <w:r>
              <w:rPr>
                <w:rFonts w:ascii="宋体" w:eastAsia="宋体" w:hAnsi="宋体" w:cs="Times New Roman"/>
                <w:sz w:val="22"/>
              </w:rPr>
              <w:t>4</w:t>
            </w:r>
            <w:r>
              <w:rPr>
                <w:rFonts w:ascii="宋体" w:eastAsia="宋体" w:hAnsi="宋体" w:cs="Times New Roman" w:hint="eastAsia"/>
                <w:sz w:val="22"/>
              </w:rPr>
              <w:t>、</w:t>
            </w:r>
            <w:r w:rsidRPr="00FA2868">
              <w:rPr>
                <w:rFonts w:ascii="宋体" w:eastAsia="宋体" w:hAnsi="宋体" w:cs="Times New Roman"/>
                <w:sz w:val="22"/>
              </w:rPr>
              <w:t>全球化布局与渠道：早先在海外布局、拥有本地化渠道和服务网络的企业优势显著。在全球化服务方面，公司已全面运营全球工程技术中心，并在中国、北美、欧洲设立了三大调试中心，可为客户提供从方案设计、产品交付、施工建设到后期运维的全生命周期本地化服务。同时，我们持续完善全球售后运维网络，目前已在超10个国家布局了10余个服务中心，切实提升属地响应能力。</w:t>
            </w:r>
          </w:p>
          <w:p w14:paraId="5A56ECB4" w14:textId="77777777" w:rsidR="00FA2868" w:rsidRPr="00FA2868" w:rsidRDefault="00FA2868" w:rsidP="00FA2868">
            <w:pPr>
              <w:tabs>
                <w:tab w:val="left" w:pos="5358"/>
              </w:tabs>
              <w:spacing w:line="360" w:lineRule="exact"/>
              <w:jc w:val="left"/>
              <w:rPr>
                <w:rFonts w:ascii="宋体" w:eastAsia="宋体" w:hAnsi="宋体" w:cs="Times New Roman" w:hint="eastAsia"/>
                <w:sz w:val="22"/>
              </w:rPr>
            </w:pPr>
            <w:r>
              <w:rPr>
                <w:rFonts w:ascii="宋体" w:eastAsia="宋体" w:hAnsi="宋体" w:cs="Times New Roman"/>
                <w:sz w:val="22"/>
              </w:rPr>
              <w:t>5</w:t>
            </w:r>
            <w:r>
              <w:rPr>
                <w:rFonts w:ascii="宋体" w:eastAsia="宋体" w:hAnsi="宋体" w:cs="Times New Roman" w:hint="eastAsia"/>
                <w:sz w:val="22"/>
              </w:rPr>
              <w:t>、</w:t>
            </w:r>
            <w:r w:rsidRPr="00FA2868">
              <w:rPr>
                <w:rFonts w:ascii="宋体" w:eastAsia="宋体" w:hAnsi="宋体" w:cs="Times New Roman"/>
                <w:sz w:val="22"/>
              </w:rPr>
              <w:t>品牌与融资能力：海外大型项目青睐具备品牌影响力和融资能力的头部供应商</w:t>
            </w:r>
            <w:r w:rsidR="00A570EE">
              <w:rPr>
                <w:rFonts w:ascii="宋体" w:eastAsia="宋体" w:hAnsi="宋体" w:cs="Times New Roman"/>
                <w:sz w:val="22"/>
              </w:rPr>
              <w:t>—</w:t>
            </w:r>
            <w:r w:rsidRPr="00FA2868">
              <w:rPr>
                <w:rFonts w:ascii="宋体" w:eastAsia="宋体" w:hAnsi="宋体" w:cs="Times New Roman"/>
                <w:sz w:val="22"/>
              </w:rPr>
              <w:t>天合储能自2024年1月彭博新能源财经（BNEF）首次发布Tier1一级储能厂商榜单以来，至今已连续七季度蝉联该榜单，入选BNEF“全球储能产品及系统集成商可融资性”榜单。BNEF Tier1榜单长期以来是众多金融机构在商业信贷方面的重要参考依据，其评级需要从企业综合实力、项目竞标、银行融资支持等多维度进行评判。天合储能位列全球前列，意味着天合储能系统集成解决方案的领先实力和品牌价值获得资本市场的充分认可。</w:t>
            </w:r>
          </w:p>
          <w:p w14:paraId="53C3AE40" w14:textId="77777777" w:rsidR="00FA2868" w:rsidRPr="00FA2868" w:rsidRDefault="00FA2868" w:rsidP="00FA2868">
            <w:pPr>
              <w:tabs>
                <w:tab w:val="left" w:pos="5358"/>
              </w:tabs>
              <w:spacing w:line="360" w:lineRule="exact"/>
              <w:jc w:val="left"/>
              <w:rPr>
                <w:rFonts w:ascii="宋体" w:eastAsia="宋体" w:hAnsi="宋体" w:cs="Times New Roman" w:hint="eastAsia"/>
                <w:sz w:val="22"/>
              </w:rPr>
            </w:pPr>
          </w:p>
        </w:tc>
      </w:tr>
      <w:tr w:rsidR="00834C62" w14:paraId="711115E4" w14:textId="77777777">
        <w:trPr>
          <w:trHeight w:val="77"/>
          <w:jc w:val="center"/>
        </w:trPr>
        <w:tc>
          <w:tcPr>
            <w:tcW w:w="1838" w:type="dxa"/>
            <w:vAlign w:val="center"/>
          </w:tcPr>
          <w:p w14:paraId="5502CFEE" w14:textId="77777777" w:rsidR="00834C62" w:rsidRDefault="00561AF3">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lastRenderedPageBreak/>
              <w:t>附件</w:t>
            </w:r>
            <w:r>
              <w:rPr>
                <w:rFonts w:ascii="宋体" w:eastAsia="宋体" w:hAnsi="宋体" w:cs="Times New Roman"/>
                <w:b/>
                <w:bCs/>
                <w:sz w:val="22"/>
              </w:rPr>
              <w:t>清单</w:t>
            </w:r>
          </w:p>
          <w:p w14:paraId="67EFD3B2" w14:textId="77777777" w:rsidR="00834C62" w:rsidRDefault="00561AF3">
            <w:pPr>
              <w:spacing w:line="360" w:lineRule="exact"/>
              <w:jc w:val="center"/>
              <w:rPr>
                <w:rFonts w:ascii="宋体" w:eastAsia="宋体" w:hAnsi="宋体" w:cs="Times New Roman" w:hint="eastAsia"/>
                <w:sz w:val="22"/>
              </w:rPr>
            </w:pPr>
            <w:r>
              <w:rPr>
                <w:rFonts w:ascii="宋体" w:eastAsia="宋体" w:hAnsi="宋体" w:cs="Times New Roman" w:hint="eastAsia"/>
                <w:b/>
                <w:bCs/>
                <w:sz w:val="22"/>
              </w:rPr>
              <w:t>（</w:t>
            </w:r>
            <w:r>
              <w:rPr>
                <w:rFonts w:ascii="宋体" w:eastAsia="宋体" w:hAnsi="宋体" w:cs="Times New Roman"/>
                <w:b/>
                <w:bCs/>
                <w:sz w:val="22"/>
              </w:rPr>
              <w:t>如有）</w:t>
            </w:r>
          </w:p>
        </w:tc>
        <w:tc>
          <w:tcPr>
            <w:tcW w:w="6662" w:type="dxa"/>
            <w:vAlign w:val="center"/>
          </w:tcPr>
          <w:p w14:paraId="769945A1" w14:textId="77777777" w:rsidR="00834C62" w:rsidRDefault="00561AF3">
            <w:pPr>
              <w:spacing w:line="360" w:lineRule="exact"/>
              <w:rPr>
                <w:rFonts w:ascii="宋体" w:eastAsia="宋体" w:hAnsi="宋体" w:cs="Times New Roman" w:hint="eastAsia"/>
                <w:sz w:val="22"/>
              </w:rPr>
            </w:pPr>
            <w:r>
              <w:rPr>
                <w:rFonts w:ascii="宋体" w:eastAsia="宋体" w:hAnsi="宋体" w:cs="Times New Roman" w:hint="eastAsia"/>
                <w:sz w:val="22"/>
              </w:rPr>
              <w:t>无</w:t>
            </w:r>
          </w:p>
        </w:tc>
      </w:tr>
      <w:tr w:rsidR="00834C62" w14:paraId="73A320B3" w14:textId="77777777">
        <w:trPr>
          <w:trHeight w:val="77"/>
          <w:jc w:val="center"/>
        </w:trPr>
        <w:tc>
          <w:tcPr>
            <w:tcW w:w="1838" w:type="dxa"/>
            <w:vAlign w:val="center"/>
          </w:tcPr>
          <w:p w14:paraId="3781B4F4" w14:textId="77777777" w:rsidR="00834C62" w:rsidRDefault="00561AF3">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日期</w:t>
            </w:r>
          </w:p>
        </w:tc>
        <w:tc>
          <w:tcPr>
            <w:tcW w:w="6662" w:type="dxa"/>
            <w:vAlign w:val="center"/>
          </w:tcPr>
          <w:p w14:paraId="0607C87D" w14:textId="77777777" w:rsidR="00834C62" w:rsidRDefault="00561AF3" w:rsidP="009E607E">
            <w:pPr>
              <w:spacing w:line="360" w:lineRule="exact"/>
              <w:rPr>
                <w:rFonts w:ascii="宋体" w:eastAsia="宋体" w:hAnsi="宋体" w:cs="Times New Roman" w:hint="eastAsia"/>
                <w:sz w:val="22"/>
              </w:rPr>
            </w:pPr>
            <w:r>
              <w:rPr>
                <w:rFonts w:ascii="宋体" w:eastAsia="宋体" w:hAnsi="宋体" w:cs="Times New Roman"/>
                <w:sz w:val="22"/>
              </w:rPr>
              <w:t>202</w:t>
            </w:r>
            <w:r w:rsidR="009E607E">
              <w:rPr>
                <w:rFonts w:ascii="宋体" w:eastAsia="宋体" w:hAnsi="宋体" w:cs="Times New Roman"/>
                <w:sz w:val="22"/>
              </w:rPr>
              <w:t>5</w:t>
            </w:r>
            <w:r>
              <w:rPr>
                <w:rFonts w:ascii="宋体" w:eastAsia="宋体" w:hAnsi="宋体" w:cs="Times New Roman"/>
                <w:sz w:val="22"/>
              </w:rPr>
              <w:t>年</w:t>
            </w:r>
            <w:r w:rsidR="009E607E">
              <w:rPr>
                <w:rFonts w:ascii="宋体" w:eastAsia="宋体" w:hAnsi="宋体" w:cs="Times New Roman"/>
                <w:sz w:val="22"/>
              </w:rPr>
              <w:t>9</w:t>
            </w:r>
            <w:r>
              <w:rPr>
                <w:rFonts w:ascii="宋体" w:eastAsia="宋体" w:hAnsi="宋体" w:cs="Times New Roman"/>
                <w:sz w:val="22"/>
              </w:rPr>
              <w:t>月</w:t>
            </w:r>
            <w:r w:rsidR="0040034A">
              <w:rPr>
                <w:rFonts w:ascii="宋体" w:eastAsia="宋体" w:hAnsi="宋体" w:cs="Times New Roman" w:hint="eastAsia"/>
                <w:sz w:val="22"/>
              </w:rPr>
              <w:t>2</w:t>
            </w:r>
            <w:r w:rsidR="009E607E">
              <w:rPr>
                <w:rFonts w:ascii="宋体" w:eastAsia="宋体" w:hAnsi="宋体" w:cs="Times New Roman"/>
                <w:sz w:val="22"/>
              </w:rPr>
              <w:t>2</w:t>
            </w:r>
            <w:r>
              <w:rPr>
                <w:rFonts w:ascii="宋体" w:eastAsia="宋体" w:hAnsi="宋体" w:cs="Times New Roman"/>
                <w:sz w:val="22"/>
              </w:rPr>
              <w:t>日</w:t>
            </w:r>
          </w:p>
        </w:tc>
      </w:tr>
    </w:tbl>
    <w:p w14:paraId="542A6332" w14:textId="77777777" w:rsidR="00834C62" w:rsidRDefault="00834C62">
      <w:pPr>
        <w:rPr>
          <w:rFonts w:ascii="宋体" w:eastAsia="宋体" w:hAnsi="宋体" w:hint="eastAsia"/>
          <w:sz w:val="20"/>
        </w:rPr>
      </w:pPr>
    </w:p>
    <w:sectPr w:rsidR="00834C62">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F01A" w14:textId="77777777" w:rsidR="00383ADD" w:rsidRDefault="00383ADD">
      <w:pPr>
        <w:rPr>
          <w:rFonts w:hint="eastAsia"/>
        </w:rPr>
      </w:pPr>
      <w:r>
        <w:separator/>
      </w:r>
    </w:p>
  </w:endnote>
  <w:endnote w:type="continuationSeparator" w:id="0">
    <w:p w14:paraId="7F24DCDF" w14:textId="77777777" w:rsidR="00383ADD" w:rsidRDefault="00383A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oto Sans CJK JP Regular">
    <w:altName w:val="HarmonyOS Sans SC Light"/>
    <w:panose1 w:val="00000000000000000000"/>
    <w:charset w:val="86"/>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E799" w14:textId="77777777" w:rsidR="00383ADD" w:rsidRDefault="00383ADD">
      <w:pPr>
        <w:rPr>
          <w:rFonts w:hint="eastAsia"/>
        </w:rPr>
      </w:pPr>
      <w:r>
        <w:separator/>
      </w:r>
    </w:p>
  </w:footnote>
  <w:footnote w:type="continuationSeparator" w:id="0">
    <w:p w14:paraId="02C2DCBE" w14:textId="77777777" w:rsidR="00383ADD" w:rsidRDefault="00383AD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4DE6" w14:textId="77777777" w:rsidR="00834C62" w:rsidRDefault="00561AF3">
    <w:pPr>
      <w:pStyle w:val="a7"/>
      <w:rPr>
        <w:rFonts w:ascii="宋体" w:eastAsia="宋体" w:hAnsi="宋体" w:hint="eastAsia"/>
      </w:rPr>
    </w:pPr>
    <w:r>
      <w:rPr>
        <w:rFonts w:ascii="宋体" w:eastAsia="宋体" w:hAnsi="宋体" w:hint="eastAsia"/>
      </w:rPr>
      <w:t>证券代码：6</w:t>
    </w:r>
    <w:r>
      <w:rPr>
        <w:rFonts w:ascii="宋体" w:eastAsia="宋体" w:hAnsi="宋体"/>
      </w:rPr>
      <w:t>88599</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证券简称：天合光能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FECFE6"/>
    <w:multiLevelType w:val="singleLevel"/>
    <w:tmpl w:val="C7FECFE6"/>
    <w:lvl w:ilvl="0">
      <w:start w:val="3"/>
      <w:numFmt w:val="decimal"/>
      <w:suff w:val="nothing"/>
      <w:lvlText w:val="%1、"/>
      <w:lvlJc w:val="left"/>
    </w:lvl>
  </w:abstractNum>
  <w:abstractNum w:abstractNumId="1" w15:restartNumberingAfterBreak="0">
    <w:nsid w:val="09B5274C"/>
    <w:multiLevelType w:val="hybridMultilevel"/>
    <w:tmpl w:val="21BEFF2A"/>
    <w:lvl w:ilvl="0" w:tplc="FF063FC6">
      <w:start w:val="2"/>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1C7397"/>
    <w:multiLevelType w:val="hybridMultilevel"/>
    <w:tmpl w:val="C70CC662"/>
    <w:lvl w:ilvl="0" w:tplc="28BADD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AC75D1"/>
    <w:multiLevelType w:val="hybridMultilevel"/>
    <w:tmpl w:val="64E86C9E"/>
    <w:lvl w:ilvl="0" w:tplc="A9CC6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F16294"/>
    <w:multiLevelType w:val="hybridMultilevel"/>
    <w:tmpl w:val="167ABCCE"/>
    <w:lvl w:ilvl="0" w:tplc="ECF062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8E5081"/>
    <w:multiLevelType w:val="hybridMultilevel"/>
    <w:tmpl w:val="80407C16"/>
    <w:lvl w:ilvl="0" w:tplc="5CFEE5B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855C93"/>
    <w:multiLevelType w:val="hybridMultilevel"/>
    <w:tmpl w:val="D6DC66D4"/>
    <w:lvl w:ilvl="0" w:tplc="A132850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2B21BB0"/>
    <w:multiLevelType w:val="hybridMultilevel"/>
    <w:tmpl w:val="9536E3EC"/>
    <w:lvl w:ilvl="0" w:tplc="954859C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341207"/>
    <w:multiLevelType w:val="hybridMultilevel"/>
    <w:tmpl w:val="AA3C2E88"/>
    <w:lvl w:ilvl="0" w:tplc="FF063FC6">
      <w:start w:val="2"/>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37343C"/>
    <w:multiLevelType w:val="hybridMultilevel"/>
    <w:tmpl w:val="4F5CFC9A"/>
    <w:lvl w:ilvl="0" w:tplc="FFFFFFFF">
      <w:start w:val="1"/>
      <w:numFmt w:val="decimal"/>
      <w:lvlText w:val="%1、"/>
      <w:lvlJc w:val="left"/>
      <w:pPr>
        <w:ind w:left="1637"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79A46AFB"/>
    <w:multiLevelType w:val="hybridMultilevel"/>
    <w:tmpl w:val="4B2420B4"/>
    <w:lvl w:ilvl="0" w:tplc="5C720BA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31628252">
    <w:abstractNumId w:val="0"/>
  </w:num>
  <w:num w:numId="2" w16cid:durableId="1643191232">
    <w:abstractNumId w:val="6"/>
  </w:num>
  <w:num w:numId="3" w16cid:durableId="1684283998">
    <w:abstractNumId w:val="9"/>
  </w:num>
  <w:num w:numId="4" w16cid:durableId="2122066608">
    <w:abstractNumId w:val="4"/>
  </w:num>
  <w:num w:numId="5" w16cid:durableId="1726222112">
    <w:abstractNumId w:val="3"/>
  </w:num>
  <w:num w:numId="6" w16cid:durableId="707802910">
    <w:abstractNumId w:val="2"/>
  </w:num>
  <w:num w:numId="7" w16cid:durableId="2103522854">
    <w:abstractNumId w:val="5"/>
  </w:num>
  <w:num w:numId="8" w16cid:durableId="507909950">
    <w:abstractNumId w:val="10"/>
  </w:num>
  <w:num w:numId="9" w16cid:durableId="898130307">
    <w:abstractNumId w:val="7"/>
  </w:num>
  <w:num w:numId="10" w16cid:durableId="215554435">
    <w:abstractNumId w:val="1"/>
  </w:num>
  <w:num w:numId="11" w16cid:durableId="564533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F6"/>
    <w:rsid w:val="DEBF27CA"/>
    <w:rsid w:val="00003A40"/>
    <w:rsid w:val="00005054"/>
    <w:rsid w:val="0000539F"/>
    <w:rsid w:val="00011C93"/>
    <w:rsid w:val="00014FE2"/>
    <w:rsid w:val="00020DB7"/>
    <w:rsid w:val="00023145"/>
    <w:rsid w:val="00023DB7"/>
    <w:rsid w:val="00027983"/>
    <w:rsid w:val="00054610"/>
    <w:rsid w:val="00056D76"/>
    <w:rsid w:val="00065DB5"/>
    <w:rsid w:val="00071508"/>
    <w:rsid w:val="000752E6"/>
    <w:rsid w:val="00076DF2"/>
    <w:rsid w:val="00082E2E"/>
    <w:rsid w:val="00095562"/>
    <w:rsid w:val="000971E0"/>
    <w:rsid w:val="000B09D4"/>
    <w:rsid w:val="000B0FD6"/>
    <w:rsid w:val="000B1EFD"/>
    <w:rsid w:val="000B3F73"/>
    <w:rsid w:val="000D1531"/>
    <w:rsid w:val="000D1FD6"/>
    <w:rsid w:val="000D2076"/>
    <w:rsid w:val="000D4EA2"/>
    <w:rsid w:val="000E0203"/>
    <w:rsid w:val="000E04BC"/>
    <w:rsid w:val="000F224F"/>
    <w:rsid w:val="000F24F1"/>
    <w:rsid w:val="000F3AB6"/>
    <w:rsid w:val="000F465B"/>
    <w:rsid w:val="000F78F5"/>
    <w:rsid w:val="00114083"/>
    <w:rsid w:val="001217AD"/>
    <w:rsid w:val="001221B2"/>
    <w:rsid w:val="00124A62"/>
    <w:rsid w:val="00124B8E"/>
    <w:rsid w:val="001276AE"/>
    <w:rsid w:val="0013199C"/>
    <w:rsid w:val="00133E52"/>
    <w:rsid w:val="001348D4"/>
    <w:rsid w:val="00150740"/>
    <w:rsid w:val="0015485A"/>
    <w:rsid w:val="00162C87"/>
    <w:rsid w:val="001A04B4"/>
    <w:rsid w:val="001A3BD7"/>
    <w:rsid w:val="001A5D1B"/>
    <w:rsid w:val="001B019C"/>
    <w:rsid w:val="001B2F8E"/>
    <w:rsid w:val="001C1E0C"/>
    <w:rsid w:val="001C295B"/>
    <w:rsid w:val="001C59F3"/>
    <w:rsid w:val="001D1C80"/>
    <w:rsid w:val="001D71AA"/>
    <w:rsid w:val="001D7293"/>
    <w:rsid w:val="001E1DA0"/>
    <w:rsid w:val="001E4764"/>
    <w:rsid w:val="001E55CE"/>
    <w:rsid w:val="001E57BB"/>
    <w:rsid w:val="002015B6"/>
    <w:rsid w:val="00207917"/>
    <w:rsid w:val="00207D0F"/>
    <w:rsid w:val="00215213"/>
    <w:rsid w:val="00216477"/>
    <w:rsid w:val="002207FC"/>
    <w:rsid w:val="00223383"/>
    <w:rsid w:val="002378D8"/>
    <w:rsid w:val="00241334"/>
    <w:rsid w:val="0024771D"/>
    <w:rsid w:val="00251336"/>
    <w:rsid w:val="002603A6"/>
    <w:rsid w:val="00270E7E"/>
    <w:rsid w:val="00271C79"/>
    <w:rsid w:val="00277CB8"/>
    <w:rsid w:val="0028017B"/>
    <w:rsid w:val="00281D24"/>
    <w:rsid w:val="0029105D"/>
    <w:rsid w:val="002A025F"/>
    <w:rsid w:val="002A6AB3"/>
    <w:rsid w:val="002A6FBC"/>
    <w:rsid w:val="002B3E11"/>
    <w:rsid w:val="002B657B"/>
    <w:rsid w:val="002C02BE"/>
    <w:rsid w:val="002C7C4E"/>
    <w:rsid w:val="002D42FE"/>
    <w:rsid w:val="002E0EE2"/>
    <w:rsid w:val="002E56B0"/>
    <w:rsid w:val="002F49B6"/>
    <w:rsid w:val="002F726C"/>
    <w:rsid w:val="00305681"/>
    <w:rsid w:val="00306E8D"/>
    <w:rsid w:val="00311432"/>
    <w:rsid w:val="003126C1"/>
    <w:rsid w:val="00312DE4"/>
    <w:rsid w:val="00324618"/>
    <w:rsid w:val="00333EFB"/>
    <w:rsid w:val="00336F16"/>
    <w:rsid w:val="0034623D"/>
    <w:rsid w:val="003644C8"/>
    <w:rsid w:val="00364AB3"/>
    <w:rsid w:val="00367F53"/>
    <w:rsid w:val="0037158E"/>
    <w:rsid w:val="003716F9"/>
    <w:rsid w:val="00383ADD"/>
    <w:rsid w:val="003A01A7"/>
    <w:rsid w:val="003A4DDB"/>
    <w:rsid w:val="003A6232"/>
    <w:rsid w:val="003A6BA8"/>
    <w:rsid w:val="003B30F1"/>
    <w:rsid w:val="003B3B00"/>
    <w:rsid w:val="003C19F6"/>
    <w:rsid w:val="003C1DE2"/>
    <w:rsid w:val="003C7832"/>
    <w:rsid w:val="003D664C"/>
    <w:rsid w:val="003E5A1B"/>
    <w:rsid w:val="003F3981"/>
    <w:rsid w:val="0040034A"/>
    <w:rsid w:val="004104AE"/>
    <w:rsid w:val="00435AA8"/>
    <w:rsid w:val="0045022C"/>
    <w:rsid w:val="00451115"/>
    <w:rsid w:val="004523E5"/>
    <w:rsid w:val="0045484C"/>
    <w:rsid w:val="004561F6"/>
    <w:rsid w:val="0046353E"/>
    <w:rsid w:val="00471864"/>
    <w:rsid w:val="00473152"/>
    <w:rsid w:val="004848EF"/>
    <w:rsid w:val="00487545"/>
    <w:rsid w:val="004975D3"/>
    <w:rsid w:val="004A2D15"/>
    <w:rsid w:val="004A4107"/>
    <w:rsid w:val="004A6937"/>
    <w:rsid w:val="004A7F2C"/>
    <w:rsid w:val="004B05C3"/>
    <w:rsid w:val="004B73DB"/>
    <w:rsid w:val="004C29BA"/>
    <w:rsid w:val="004D11BB"/>
    <w:rsid w:val="004E40DE"/>
    <w:rsid w:val="004E4CDC"/>
    <w:rsid w:val="004E622A"/>
    <w:rsid w:val="004F084F"/>
    <w:rsid w:val="004F34A7"/>
    <w:rsid w:val="004F4A5D"/>
    <w:rsid w:val="00507F63"/>
    <w:rsid w:val="005114CD"/>
    <w:rsid w:val="0051268D"/>
    <w:rsid w:val="00513FBA"/>
    <w:rsid w:val="0052088E"/>
    <w:rsid w:val="0052664D"/>
    <w:rsid w:val="00534B4D"/>
    <w:rsid w:val="00534CD7"/>
    <w:rsid w:val="00537CF3"/>
    <w:rsid w:val="005445F5"/>
    <w:rsid w:val="00547A9A"/>
    <w:rsid w:val="0055050A"/>
    <w:rsid w:val="00555576"/>
    <w:rsid w:val="00561421"/>
    <w:rsid w:val="00561AF3"/>
    <w:rsid w:val="00564859"/>
    <w:rsid w:val="00565297"/>
    <w:rsid w:val="00571B42"/>
    <w:rsid w:val="00571F55"/>
    <w:rsid w:val="00572472"/>
    <w:rsid w:val="00582C10"/>
    <w:rsid w:val="005839F5"/>
    <w:rsid w:val="005841A3"/>
    <w:rsid w:val="00586AB0"/>
    <w:rsid w:val="00590094"/>
    <w:rsid w:val="00590208"/>
    <w:rsid w:val="005A1BCA"/>
    <w:rsid w:val="005A2A10"/>
    <w:rsid w:val="005B5122"/>
    <w:rsid w:val="005B6518"/>
    <w:rsid w:val="005B6A94"/>
    <w:rsid w:val="005C0D11"/>
    <w:rsid w:val="005C54E1"/>
    <w:rsid w:val="005D76D0"/>
    <w:rsid w:val="005E1706"/>
    <w:rsid w:val="005E5949"/>
    <w:rsid w:val="005F0409"/>
    <w:rsid w:val="005F5A17"/>
    <w:rsid w:val="006060D9"/>
    <w:rsid w:val="006110FD"/>
    <w:rsid w:val="0062025D"/>
    <w:rsid w:val="00627061"/>
    <w:rsid w:val="00627F94"/>
    <w:rsid w:val="006323C6"/>
    <w:rsid w:val="00633381"/>
    <w:rsid w:val="00635560"/>
    <w:rsid w:val="006364F2"/>
    <w:rsid w:val="00637038"/>
    <w:rsid w:val="00643938"/>
    <w:rsid w:val="00643A33"/>
    <w:rsid w:val="0065021A"/>
    <w:rsid w:val="00651F36"/>
    <w:rsid w:val="006579F2"/>
    <w:rsid w:val="0066615A"/>
    <w:rsid w:val="00666CFB"/>
    <w:rsid w:val="006726E0"/>
    <w:rsid w:val="0067599A"/>
    <w:rsid w:val="00675F9D"/>
    <w:rsid w:val="00676FD0"/>
    <w:rsid w:val="00677480"/>
    <w:rsid w:val="00690C7A"/>
    <w:rsid w:val="00694035"/>
    <w:rsid w:val="006B33C5"/>
    <w:rsid w:val="006B3BAB"/>
    <w:rsid w:val="006B415A"/>
    <w:rsid w:val="006B54E9"/>
    <w:rsid w:val="006C7148"/>
    <w:rsid w:val="006C7BB1"/>
    <w:rsid w:val="006D2A69"/>
    <w:rsid w:val="006D43AE"/>
    <w:rsid w:val="006E2BF0"/>
    <w:rsid w:val="006E3CB7"/>
    <w:rsid w:val="006F272F"/>
    <w:rsid w:val="006F29C4"/>
    <w:rsid w:val="006F3944"/>
    <w:rsid w:val="006F4BD1"/>
    <w:rsid w:val="007046AE"/>
    <w:rsid w:val="00705B63"/>
    <w:rsid w:val="00705CC4"/>
    <w:rsid w:val="00717970"/>
    <w:rsid w:val="007314F4"/>
    <w:rsid w:val="007328AA"/>
    <w:rsid w:val="00732C7D"/>
    <w:rsid w:val="00741447"/>
    <w:rsid w:val="00753202"/>
    <w:rsid w:val="0076459F"/>
    <w:rsid w:val="00765686"/>
    <w:rsid w:val="0077224B"/>
    <w:rsid w:val="007804CF"/>
    <w:rsid w:val="00780AB7"/>
    <w:rsid w:val="00782120"/>
    <w:rsid w:val="00784237"/>
    <w:rsid w:val="00784767"/>
    <w:rsid w:val="00790A89"/>
    <w:rsid w:val="00792EB3"/>
    <w:rsid w:val="00797EBE"/>
    <w:rsid w:val="007A0A62"/>
    <w:rsid w:val="007A76E3"/>
    <w:rsid w:val="007A7A89"/>
    <w:rsid w:val="007B204F"/>
    <w:rsid w:val="007B62E2"/>
    <w:rsid w:val="007C1ABE"/>
    <w:rsid w:val="007C2130"/>
    <w:rsid w:val="007C3789"/>
    <w:rsid w:val="007C5108"/>
    <w:rsid w:val="007C68C4"/>
    <w:rsid w:val="007D1B32"/>
    <w:rsid w:val="007D3BBD"/>
    <w:rsid w:val="007E0003"/>
    <w:rsid w:val="007E0A7A"/>
    <w:rsid w:val="007E556F"/>
    <w:rsid w:val="007E5BED"/>
    <w:rsid w:val="007E5C66"/>
    <w:rsid w:val="007E6702"/>
    <w:rsid w:val="007F7E89"/>
    <w:rsid w:val="00804BD5"/>
    <w:rsid w:val="00804DE4"/>
    <w:rsid w:val="00806B4F"/>
    <w:rsid w:val="008142A7"/>
    <w:rsid w:val="00815889"/>
    <w:rsid w:val="00815C1D"/>
    <w:rsid w:val="008168C1"/>
    <w:rsid w:val="008206D0"/>
    <w:rsid w:val="00823268"/>
    <w:rsid w:val="00823D01"/>
    <w:rsid w:val="008250DE"/>
    <w:rsid w:val="008260C7"/>
    <w:rsid w:val="0083189A"/>
    <w:rsid w:val="008324A0"/>
    <w:rsid w:val="008333DC"/>
    <w:rsid w:val="00834C62"/>
    <w:rsid w:val="00837168"/>
    <w:rsid w:val="008431D3"/>
    <w:rsid w:val="00846194"/>
    <w:rsid w:val="00863245"/>
    <w:rsid w:val="00864D7A"/>
    <w:rsid w:val="00865B93"/>
    <w:rsid w:val="00866924"/>
    <w:rsid w:val="00882EBD"/>
    <w:rsid w:val="00885B40"/>
    <w:rsid w:val="00887182"/>
    <w:rsid w:val="008920E0"/>
    <w:rsid w:val="0089250B"/>
    <w:rsid w:val="00897A9D"/>
    <w:rsid w:val="008A4EF8"/>
    <w:rsid w:val="008B27FB"/>
    <w:rsid w:val="008B741F"/>
    <w:rsid w:val="008C027A"/>
    <w:rsid w:val="008C46C8"/>
    <w:rsid w:val="008C67F4"/>
    <w:rsid w:val="008D2F49"/>
    <w:rsid w:val="008E3189"/>
    <w:rsid w:val="008E5197"/>
    <w:rsid w:val="008E5E41"/>
    <w:rsid w:val="008F0280"/>
    <w:rsid w:val="008F63AD"/>
    <w:rsid w:val="0090461C"/>
    <w:rsid w:val="0091217F"/>
    <w:rsid w:val="00912BED"/>
    <w:rsid w:val="00922EBD"/>
    <w:rsid w:val="009264D2"/>
    <w:rsid w:val="00936253"/>
    <w:rsid w:val="00936539"/>
    <w:rsid w:val="00940F7C"/>
    <w:rsid w:val="009413A3"/>
    <w:rsid w:val="00941E8D"/>
    <w:rsid w:val="00942B0D"/>
    <w:rsid w:val="00943CF7"/>
    <w:rsid w:val="00955FE2"/>
    <w:rsid w:val="00957632"/>
    <w:rsid w:val="00963367"/>
    <w:rsid w:val="0096508E"/>
    <w:rsid w:val="00965EAE"/>
    <w:rsid w:val="00967402"/>
    <w:rsid w:val="00970EF0"/>
    <w:rsid w:val="00971C6C"/>
    <w:rsid w:val="00972A6E"/>
    <w:rsid w:val="009955CA"/>
    <w:rsid w:val="009A7178"/>
    <w:rsid w:val="009B2462"/>
    <w:rsid w:val="009C1FEA"/>
    <w:rsid w:val="009C4810"/>
    <w:rsid w:val="009C5B72"/>
    <w:rsid w:val="009C6013"/>
    <w:rsid w:val="009C6389"/>
    <w:rsid w:val="009E2111"/>
    <w:rsid w:val="009E34EF"/>
    <w:rsid w:val="009E3C92"/>
    <w:rsid w:val="009E607E"/>
    <w:rsid w:val="00A06A5F"/>
    <w:rsid w:val="00A07BC9"/>
    <w:rsid w:val="00A136BA"/>
    <w:rsid w:val="00A21508"/>
    <w:rsid w:val="00A22FBE"/>
    <w:rsid w:val="00A23F30"/>
    <w:rsid w:val="00A24770"/>
    <w:rsid w:val="00A31DAD"/>
    <w:rsid w:val="00A4554D"/>
    <w:rsid w:val="00A50C10"/>
    <w:rsid w:val="00A5109B"/>
    <w:rsid w:val="00A5433B"/>
    <w:rsid w:val="00A565A3"/>
    <w:rsid w:val="00A570EE"/>
    <w:rsid w:val="00A57596"/>
    <w:rsid w:val="00A6169A"/>
    <w:rsid w:val="00A644A7"/>
    <w:rsid w:val="00A644DC"/>
    <w:rsid w:val="00A737D1"/>
    <w:rsid w:val="00A7391B"/>
    <w:rsid w:val="00A747DF"/>
    <w:rsid w:val="00A80CB0"/>
    <w:rsid w:val="00A812BC"/>
    <w:rsid w:val="00A81C51"/>
    <w:rsid w:val="00A83BE0"/>
    <w:rsid w:val="00A9134A"/>
    <w:rsid w:val="00A92C3A"/>
    <w:rsid w:val="00A97D70"/>
    <w:rsid w:val="00AA7160"/>
    <w:rsid w:val="00AB6492"/>
    <w:rsid w:val="00AD371E"/>
    <w:rsid w:val="00AD3B0B"/>
    <w:rsid w:val="00AD5206"/>
    <w:rsid w:val="00AE1E7A"/>
    <w:rsid w:val="00AE22C3"/>
    <w:rsid w:val="00AE3BEF"/>
    <w:rsid w:val="00AE5C21"/>
    <w:rsid w:val="00AE6A7B"/>
    <w:rsid w:val="00B05910"/>
    <w:rsid w:val="00B065DC"/>
    <w:rsid w:val="00B06730"/>
    <w:rsid w:val="00B10A42"/>
    <w:rsid w:val="00B10F9C"/>
    <w:rsid w:val="00B142CD"/>
    <w:rsid w:val="00B225B4"/>
    <w:rsid w:val="00B2287F"/>
    <w:rsid w:val="00B318EF"/>
    <w:rsid w:val="00B32B07"/>
    <w:rsid w:val="00B351C3"/>
    <w:rsid w:val="00B37096"/>
    <w:rsid w:val="00B42F3D"/>
    <w:rsid w:val="00B5027D"/>
    <w:rsid w:val="00B549FF"/>
    <w:rsid w:val="00B60CE2"/>
    <w:rsid w:val="00B60D72"/>
    <w:rsid w:val="00B61D03"/>
    <w:rsid w:val="00B63392"/>
    <w:rsid w:val="00B66124"/>
    <w:rsid w:val="00B66784"/>
    <w:rsid w:val="00B7176A"/>
    <w:rsid w:val="00B72083"/>
    <w:rsid w:val="00B76ECC"/>
    <w:rsid w:val="00B94BA8"/>
    <w:rsid w:val="00BA3D8F"/>
    <w:rsid w:val="00BA4F14"/>
    <w:rsid w:val="00BA6FE9"/>
    <w:rsid w:val="00BC0989"/>
    <w:rsid w:val="00BC1CFA"/>
    <w:rsid w:val="00BC28A0"/>
    <w:rsid w:val="00BC2BCD"/>
    <w:rsid w:val="00BD67D4"/>
    <w:rsid w:val="00BE00B1"/>
    <w:rsid w:val="00BE0EED"/>
    <w:rsid w:val="00BE6135"/>
    <w:rsid w:val="00BE63AA"/>
    <w:rsid w:val="00BF603E"/>
    <w:rsid w:val="00C01B19"/>
    <w:rsid w:val="00C01FED"/>
    <w:rsid w:val="00C036D6"/>
    <w:rsid w:val="00C0724F"/>
    <w:rsid w:val="00C15B17"/>
    <w:rsid w:val="00C211E8"/>
    <w:rsid w:val="00C24E88"/>
    <w:rsid w:val="00C253D9"/>
    <w:rsid w:val="00C3257E"/>
    <w:rsid w:val="00C45B29"/>
    <w:rsid w:val="00C500E8"/>
    <w:rsid w:val="00C51214"/>
    <w:rsid w:val="00C51B6F"/>
    <w:rsid w:val="00C53C8C"/>
    <w:rsid w:val="00C6009D"/>
    <w:rsid w:val="00C71E0C"/>
    <w:rsid w:val="00C73F21"/>
    <w:rsid w:val="00C77ED2"/>
    <w:rsid w:val="00C93874"/>
    <w:rsid w:val="00C95507"/>
    <w:rsid w:val="00C96F2D"/>
    <w:rsid w:val="00CA05E7"/>
    <w:rsid w:val="00CA2105"/>
    <w:rsid w:val="00CA4DB0"/>
    <w:rsid w:val="00CA56E5"/>
    <w:rsid w:val="00CA5C16"/>
    <w:rsid w:val="00CB7CF9"/>
    <w:rsid w:val="00CC28FB"/>
    <w:rsid w:val="00CD2473"/>
    <w:rsid w:val="00CD2B8A"/>
    <w:rsid w:val="00CD5CD1"/>
    <w:rsid w:val="00CD60CD"/>
    <w:rsid w:val="00CE2BF6"/>
    <w:rsid w:val="00D00D77"/>
    <w:rsid w:val="00D02C17"/>
    <w:rsid w:val="00D056D0"/>
    <w:rsid w:val="00D159F1"/>
    <w:rsid w:val="00D172E2"/>
    <w:rsid w:val="00D20A01"/>
    <w:rsid w:val="00D21B68"/>
    <w:rsid w:val="00D3780F"/>
    <w:rsid w:val="00D42A91"/>
    <w:rsid w:val="00D433F3"/>
    <w:rsid w:val="00D466AC"/>
    <w:rsid w:val="00D50D87"/>
    <w:rsid w:val="00D518A6"/>
    <w:rsid w:val="00D6476F"/>
    <w:rsid w:val="00D64AA8"/>
    <w:rsid w:val="00D6613A"/>
    <w:rsid w:val="00D674B0"/>
    <w:rsid w:val="00D7457D"/>
    <w:rsid w:val="00D81EAF"/>
    <w:rsid w:val="00D82D00"/>
    <w:rsid w:val="00D84BA2"/>
    <w:rsid w:val="00D90E2C"/>
    <w:rsid w:val="00D972CA"/>
    <w:rsid w:val="00DA1B06"/>
    <w:rsid w:val="00DB1C7A"/>
    <w:rsid w:val="00DB3A6C"/>
    <w:rsid w:val="00DC16A6"/>
    <w:rsid w:val="00DD2C7E"/>
    <w:rsid w:val="00DD4AC4"/>
    <w:rsid w:val="00DE2EDC"/>
    <w:rsid w:val="00DE764C"/>
    <w:rsid w:val="00DF6423"/>
    <w:rsid w:val="00E02226"/>
    <w:rsid w:val="00E11464"/>
    <w:rsid w:val="00E2485F"/>
    <w:rsid w:val="00E25588"/>
    <w:rsid w:val="00E30095"/>
    <w:rsid w:val="00E425A1"/>
    <w:rsid w:val="00E42829"/>
    <w:rsid w:val="00E47633"/>
    <w:rsid w:val="00E53A04"/>
    <w:rsid w:val="00E66922"/>
    <w:rsid w:val="00E7064C"/>
    <w:rsid w:val="00E806BC"/>
    <w:rsid w:val="00E845C9"/>
    <w:rsid w:val="00E90D0D"/>
    <w:rsid w:val="00E9693B"/>
    <w:rsid w:val="00E97653"/>
    <w:rsid w:val="00E97945"/>
    <w:rsid w:val="00EA23AC"/>
    <w:rsid w:val="00EB14B2"/>
    <w:rsid w:val="00EC000E"/>
    <w:rsid w:val="00EE3B1C"/>
    <w:rsid w:val="00EE6956"/>
    <w:rsid w:val="00EF4E62"/>
    <w:rsid w:val="00EF6AEF"/>
    <w:rsid w:val="00F0175E"/>
    <w:rsid w:val="00F0191E"/>
    <w:rsid w:val="00F06CD8"/>
    <w:rsid w:val="00F17897"/>
    <w:rsid w:val="00F179C2"/>
    <w:rsid w:val="00F22402"/>
    <w:rsid w:val="00F229D9"/>
    <w:rsid w:val="00F24871"/>
    <w:rsid w:val="00F25BFA"/>
    <w:rsid w:val="00F26865"/>
    <w:rsid w:val="00F302D5"/>
    <w:rsid w:val="00F31CB9"/>
    <w:rsid w:val="00F340D0"/>
    <w:rsid w:val="00F53DCE"/>
    <w:rsid w:val="00F55D02"/>
    <w:rsid w:val="00F56CF5"/>
    <w:rsid w:val="00F57369"/>
    <w:rsid w:val="00F57690"/>
    <w:rsid w:val="00F66830"/>
    <w:rsid w:val="00F70C7F"/>
    <w:rsid w:val="00F70CA7"/>
    <w:rsid w:val="00F71553"/>
    <w:rsid w:val="00F737F5"/>
    <w:rsid w:val="00F77CE2"/>
    <w:rsid w:val="00F80E47"/>
    <w:rsid w:val="00F817A1"/>
    <w:rsid w:val="00F85411"/>
    <w:rsid w:val="00F85FD6"/>
    <w:rsid w:val="00F87C48"/>
    <w:rsid w:val="00F934F6"/>
    <w:rsid w:val="00F93EE2"/>
    <w:rsid w:val="00F96A40"/>
    <w:rsid w:val="00FA2868"/>
    <w:rsid w:val="00FA3884"/>
    <w:rsid w:val="00FA432B"/>
    <w:rsid w:val="00FA73EB"/>
    <w:rsid w:val="00FB0864"/>
    <w:rsid w:val="00FB19DB"/>
    <w:rsid w:val="00FB2F66"/>
    <w:rsid w:val="00FB3E0E"/>
    <w:rsid w:val="00FB5338"/>
    <w:rsid w:val="00FC76F9"/>
    <w:rsid w:val="00FE3D97"/>
    <w:rsid w:val="00FF44A8"/>
    <w:rsid w:val="7FDD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38E71"/>
  <w15:docId w15:val="{E17F6A5F-4B07-4620-9DA5-A2F50E68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Pr>
      <w:i/>
      <w:iCs/>
    </w:rPr>
  </w:style>
  <w:style w:type="character" w:customStyle="1" w:styleId="a6">
    <w:name w:val="页脚 字符"/>
    <w:basedOn w:val="a0"/>
    <w:link w:val="a5"/>
    <w:uiPriority w:val="99"/>
    <w:rPr>
      <w:sz w:val="18"/>
      <w:szCs w:val="18"/>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table" w:customStyle="1" w:styleId="1">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 w:type="paragraph" w:styleId="ad">
    <w:name w:val="List Paragraph"/>
    <w:basedOn w:val="a"/>
    <w:uiPriority w:val="34"/>
    <w:qFormat/>
    <w:pPr>
      <w:ind w:firstLineChars="200" w:firstLine="420"/>
    </w:pPr>
  </w:style>
  <w:style w:type="character" w:customStyle="1" w:styleId="aa">
    <w:name w:val="标题 字符"/>
    <w:basedOn w:val="a0"/>
    <w:link w:val="a9"/>
    <w:uiPriority w:val="10"/>
    <w:rPr>
      <w:rFonts w:asciiTheme="majorHAnsi" w:hAnsiTheme="majorHAnsi" w:cstheme="majorBidi"/>
      <w:bCs/>
      <w:szCs w:val="32"/>
    </w:rPr>
  </w:style>
  <w:style w:type="character" w:styleId="ae">
    <w:name w:val="Strong"/>
    <w:basedOn w:val="a0"/>
    <w:uiPriority w:val="22"/>
    <w:qFormat/>
    <w:rsid w:val="00732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733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0607-AF8F-49D7-BE04-3D18FBE1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1592</Words>
  <Characters>1721</Characters>
  <Application>Microsoft Office Word</Application>
  <DocSecurity>0</DocSecurity>
  <Lines>86</Lines>
  <Paragraphs>61</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olivia</dc:creator>
  <cp:lastModifiedBy>421111803@qq.com</cp:lastModifiedBy>
  <cp:revision>5</cp:revision>
  <cp:lastPrinted>2020-06-19T17:05:00Z</cp:lastPrinted>
  <dcterms:created xsi:type="dcterms:W3CDTF">2025-09-22T07:03:00Z</dcterms:created>
  <dcterms:modified xsi:type="dcterms:W3CDTF">2025-09-22T07:05:00Z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273A8CD933671D6D0E97FB65AD282C85_42</vt:lpwstr>
  </property>
</Properties>
</file>