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93EB8">
      <w:pPr>
        <w:spacing w:before="31" w:beforeLines="10" w:line="360" w:lineRule="auto"/>
        <w:rPr>
          <w:rFonts w:ascii="楷体" w:hAnsi="楷体" w:eastAsia="楷体"/>
          <w:b/>
          <w:w w:val="95"/>
          <w:sz w:val="24"/>
        </w:rPr>
      </w:pPr>
      <w:r>
        <w:rPr>
          <w:rFonts w:hint="eastAsia" w:ascii="楷体" w:hAnsi="楷体" w:eastAsia="楷体" w:cs="宋体"/>
          <w:b/>
          <w:w w:val="95"/>
          <w:sz w:val="24"/>
        </w:rPr>
        <w:t xml:space="preserve">证券简称：华盛锂电 </w:t>
      </w:r>
      <w:r>
        <w:rPr>
          <w:rFonts w:ascii="楷体" w:hAnsi="楷体" w:eastAsia="楷体" w:cs="宋体"/>
          <w:b/>
          <w:w w:val="95"/>
          <w:sz w:val="24"/>
        </w:rPr>
        <w:t xml:space="preserve">                                         </w:t>
      </w:r>
      <w:r>
        <w:rPr>
          <w:rFonts w:hint="eastAsia" w:ascii="楷体" w:hAnsi="楷体" w:eastAsia="楷体" w:cs="宋体"/>
          <w:b/>
          <w:w w:val="95"/>
          <w:sz w:val="24"/>
        </w:rPr>
        <w:t>证券代码</w:t>
      </w:r>
      <w:r>
        <w:rPr>
          <w:rFonts w:ascii="楷体" w:hAnsi="楷体" w:eastAsia="楷体"/>
          <w:b/>
          <w:w w:val="95"/>
          <w:sz w:val="24"/>
        </w:rPr>
        <w:t>：</w:t>
      </w:r>
      <w:r>
        <w:rPr>
          <w:rFonts w:ascii="Times New Roman" w:hAnsi="Times New Roman" w:eastAsia="楷体"/>
          <w:b/>
          <w:w w:val="95"/>
          <w:sz w:val="24"/>
        </w:rPr>
        <w:t>688353</w:t>
      </w:r>
    </w:p>
    <w:p w14:paraId="7453DF0E">
      <w:pPr>
        <w:spacing w:before="31" w:beforeLines="10" w:line="360" w:lineRule="auto"/>
        <w:jc w:val="center"/>
        <w:rPr>
          <w:rFonts w:ascii="宋体" w:hAnsi="宋体" w:cs="宋体"/>
          <w:b/>
          <w:w w:val="95"/>
          <w:sz w:val="32"/>
          <w:szCs w:val="32"/>
        </w:rPr>
      </w:pPr>
    </w:p>
    <w:p w14:paraId="0A584C33">
      <w:pPr>
        <w:spacing w:before="31" w:beforeLines="10" w:line="360" w:lineRule="auto"/>
        <w:jc w:val="center"/>
        <w:rPr>
          <w:rFonts w:ascii="楷体" w:hAnsi="楷体" w:eastAsia="楷体" w:cs="宋体"/>
          <w:b/>
          <w:w w:val="95"/>
          <w:sz w:val="36"/>
          <w:szCs w:val="36"/>
        </w:rPr>
      </w:pPr>
      <w:r>
        <w:rPr>
          <w:rFonts w:hint="eastAsia" w:ascii="楷体" w:hAnsi="楷体" w:eastAsia="楷体" w:cs="宋体"/>
          <w:b/>
          <w:w w:val="95"/>
          <w:sz w:val="36"/>
          <w:szCs w:val="36"/>
        </w:rPr>
        <w:t>江苏华盛锂电材料股份有限公司</w:t>
      </w:r>
    </w:p>
    <w:p w14:paraId="7EF69B05">
      <w:pPr>
        <w:spacing w:line="360" w:lineRule="auto"/>
        <w:jc w:val="center"/>
        <w:rPr>
          <w:rFonts w:ascii="楷体" w:hAnsi="楷体" w:eastAsia="楷体" w:cs="宋体"/>
          <w:b/>
          <w:w w:val="95"/>
          <w:kern w:val="0"/>
          <w:sz w:val="36"/>
          <w:szCs w:val="36"/>
        </w:rPr>
      </w:pPr>
      <w:r>
        <w:rPr>
          <w:rFonts w:hint="eastAsia" w:ascii="楷体" w:hAnsi="楷体" w:eastAsia="楷体" w:cs="宋体"/>
          <w:b/>
          <w:w w:val="95"/>
          <w:kern w:val="0"/>
          <w:sz w:val="36"/>
          <w:szCs w:val="36"/>
        </w:rPr>
        <w:t>投资者关系活动记录表</w:t>
      </w:r>
    </w:p>
    <w:p w14:paraId="0D02F145">
      <w:pPr>
        <w:tabs>
          <w:tab w:val="left" w:pos="6106"/>
        </w:tabs>
        <w:spacing w:before="156" w:beforeLines="50" w:after="156" w:afterLines="50"/>
        <w:ind w:firstLine="240" w:firstLineChars="100"/>
        <w:jc w:val="right"/>
        <w:rPr>
          <w:rFonts w:ascii="宋体" w:hAnsi="宋体" w:cs="宋体"/>
          <w:sz w:val="24"/>
        </w:rPr>
      </w:pPr>
      <w:r>
        <w:rPr>
          <w:rFonts w:hint="eastAsia" w:ascii="楷体" w:hAnsi="楷体" w:eastAsia="楷体" w:cs="宋体"/>
          <w:sz w:val="24"/>
        </w:rPr>
        <w:t>编号</w:t>
      </w:r>
      <w:r>
        <w:rPr>
          <w:rFonts w:hint="eastAsia" w:ascii="宋体" w:hAnsi="宋体" w:cs="宋体"/>
          <w:sz w:val="24"/>
        </w:rPr>
        <w:t>：</w:t>
      </w:r>
      <w:r>
        <w:rPr>
          <w:rFonts w:ascii="Times New Roman" w:hAnsi="Times New Roman"/>
          <w:sz w:val="24"/>
        </w:rPr>
        <w:t>202</w:t>
      </w:r>
      <w:r>
        <w:rPr>
          <w:rFonts w:hint="eastAsia" w:ascii="Times New Roman" w:hAnsi="Times New Roman"/>
          <w:sz w:val="24"/>
        </w:rPr>
        <w:t>5</w:t>
      </w:r>
      <w:r>
        <w:rPr>
          <w:rFonts w:ascii="Times New Roman" w:hAnsi="Times New Roman"/>
          <w:sz w:val="24"/>
        </w:rPr>
        <w:t>-0</w:t>
      </w:r>
      <w:r>
        <w:rPr>
          <w:rFonts w:hint="eastAsia" w:ascii="Times New Roman" w:hAnsi="Times New Roman"/>
          <w:sz w:val="24"/>
        </w:rPr>
        <w:t>12</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55"/>
      </w:tblGrid>
      <w:tr w14:paraId="0F4DB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76675EDB">
            <w:pPr>
              <w:jc w:val="center"/>
              <w:rPr>
                <w:rFonts w:ascii="Times New Roman" w:hAnsi="Times New Roman" w:eastAsia="楷体"/>
                <w:bCs/>
                <w:sz w:val="24"/>
              </w:rPr>
            </w:pPr>
            <w:r>
              <w:rPr>
                <w:rFonts w:ascii="Times New Roman" w:hAnsi="Times New Roman" w:eastAsia="楷体"/>
                <w:b/>
                <w:bCs/>
                <w:sz w:val="24"/>
              </w:rPr>
              <w:t>投资者关系活动类别</w:t>
            </w:r>
          </w:p>
        </w:tc>
        <w:tc>
          <w:tcPr>
            <w:tcW w:w="6855" w:type="dxa"/>
            <w:tcBorders>
              <w:top w:val="single" w:color="auto" w:sz="12" w:space="0"/>
              <w:left w:val="single" w:color="auto" w:sz="4" w:space="0"/>
              <w:bottom w:val="single" w:color="auto" w:sz="4" w:space="0"/>
              <w:right w:val="single" w:color="auto" w:sz="12" w:space="0"/>
            </w:tcBorders>
            <w:vAlign w:val="center"/>
          </w:tcPr>
          <w:p w14:paraId="66CAE90A">
            <w:pPr>
              <w:widowControl/>
              <w:tabs>
                <w:tab w:val="left" w:pos="3480"/>
              </w:tabs>
              <w:spacing w:line="360" w:lineRule="auto"/>
              <w:rPr>
                <w:rFonts w:ascii="Times New Roman" w:hAnsi="Times New Roman" w:eastAsia="楷体"/>
                <w:bCs/>
                <w:sz w:val="24"/>
              </w:rPr>
            </w:pPr>
            <w:r>
              <w:rPr>
                <w:rFonts w:hint="eastAsia" w:ascii="Times New Roman" w:hAnsi="Times New Roman" w:eastAsia="楷体"/>
                <w:bCs/>
                <w:sz w:val="24"/>
              </w:rPr>
              <w:t>√特定对象调研</w:t>
            </w:r>
            <w:r>
              <w:rPr>
                <w:rFonts w:ascii="Times New Roman" w:hAnsi="Times New Roman" w:eastAsia="楷体"/>
                <w:bCs/>
                <w:sz w:val="24"/>
              </w:rPr>
              <w:t xml:space="preserve">   </w:t>
            </w:r>
            <w:r>
              <w:rPr>
                <w:rFonts w:hint="eastAsia" w:ascii="Times New Roman" w:hAnsi="Times New Roman" w:eastAsia="楷体"/>
                <w:bCs/>
                <w:sz w:val="24"/>
              </w:rPr>
              <w:t xml:space="preserve">□分析师会议 </w:t>
            </w:r>
            <w:r>
              <w:rPr>
                <w:rFonts w:ascii="Times New Roman" w:hAnsi="Times New Roman" w:eastAsia="楷体"/>
                <w:bCs/>
                <w:sz w:val="24"/>
              </w:rPr>
              <w:t xml:space="preserve">     </w:t>
            </w:r>
            <w:r>
              <w:rPr>
                <w:rFonts w:hint="eastAsia" w:ascii="Times New Roman" w:hAnsi="Times New Roman" w:eastAsia="楷体"/>
                <w:bCs/>
                <w:sz w:val="24"/>
              </w:rPr>
              <w:t>□媒体采访</w:t>
            </w:r>
          </w:p>
          <w:p w14:paraId="12B8739A">
            <w:pPr>
              <w:widowControl/>
              <w:tabs>
                <w:tab w:val="left" w:pos="2040"/>
                <w:tab w:val="left" w:pos="3480"/>
              </w:tabs>
              <w:spacing w:line="360" w:lineRule="auto"/>
              <w:rPr>
                <w:rFonts w:ascii="Times New Roman" w:hAnsi="Times New Roman" w:eastAsia="楷体"/>
                <w:bCs/>
                <w:sz w:val="24"/>
              </w:rPr>
            </w:pPr>
            <w:r>
              <w:rPr>
                <w:rFonts w:hint="eastAsia" w:ascii="Times New Roman" w:hAnsi="Times New Roman" w:eastAsia="楷体"/>
                <w:bCs/>
                <w:sz w:val="24"/>
              </w:rPr>
              <w:t>□业绩说明会</w:t>
            </w:r>
            <w:r>
              <w:rPr>
                <w:rFonts w:ascii="Times New Roman" w:hAnsi="Times New Roman" w:eastAsia="楷体"/>
                <w:bCs/>
                <w:sz w:val="24"/>
              </w:rPr>
              <w:t xml:space="preserve">     </w:t>
            </w:r>
            <w:r>
              <w:rPr>
                <w:rFonts w:hint="eastAsia" w:ascii="Times New Roman" w:hAnsi="Times New Roman" w:eastAsia="楷体"/>
                <w:bCs/>
                <w:sz w:val="24"/>
              </w:rPr>
              <w:t xml:space="preserve">□新闻发布会 </w:t>
            </w:r>
            <w:r>
              <w:rPr>
                <w:rFonts w:ascii="Times New Roman" w:hAnsi="Times New Roman" w:eastAsia="楷体"/>
                <w:bCs/>
                <w:sz w:val="24"/>
              </w:rPr>
              <w:t xml:space="preserve">     </w:t>
            </w:r>
            <w:r>
              <w:rPr>
                <w:rFonts w:hint="eastAsia" w:ascii="Times New Roman" w:hAnsi="Times New Roman" w:eastAsia="楷体"/>
                <w:bCs/>
                <w:sz w:val="24"/>
              </w:rPr>
              <w:t>□路演活动</w:t>
            </w:r>
          </w:p>
          <w:p w14:paraId="2AFC0FCA">
            <w:pPr>
              <w:spacing w:line="360" w:lineRule="auto"/>
              <w:rPr>
                <w:rFonts w:ascii="Times New Roman" w:hAnsi="Times New Roman" w:eastAsia="楷体"/>
                <w:bCs/>
                <w:sz w:val="24"/>
              </w:rPr>
            </w:pPr>
            <w:r>
              <w:rPr>
                <w:rFonts w:hint="eastAsia" w:ascii="Times New Roman" w:hAnsi="Times New Roman" w:eastAsia="楷体"/>
                <w:bCs/>
                <w:sz w:val="24"/>
              </w:rPr>
              <w:t>□现场参观</w:t>
            </w:r>
            <w:r>
              <w:rPr>
                <w:rFonts w:ascii="Times New Roman" w:hAnsi="Times New Roman" w:eastAsia="楷体"/>
                <w:bCs/>
                <w:sz w:val="24"/>
              </w:rPr>
              <w:t xml:space="preserve">       </w:t>
            </w:r>
            <w:r>
              <w:rPr>
                <w:rFonts w:hint="eastAsia" w:ascii="Times New Roman" w:hAnsi="Times New Roman" w:eastAsia="楷体"/>
                <w:bCs/>
                <w:sz w:val="24"/>
              </w:rPr>
              <w:t xml:space="preserve">□一对一沟通 </w:t>
            </w:r>
            <w:r>
              <w:rPr>
                <w:rFonts w:ascii="Times New Roman" w:hAnsi="Times New Roman" w:eastAsia="楷体"/>
                <w:bCs/>
                <w:sz w:val="24"/>
              </w:rPr>
              <w:t xml:space="preserve">     </w:t>
            </w:r>
            <w:r>
              <w:rPr>
                <w:rFonts w:hint="eastAsia" w:ascii="Times New Roman" w:hAnsi="Times New Roman" w:eastAsia="楷体"/>
                <w:bCs/>
                <w:sz w:val="24"/>
              </w:rPr>
              <w:t>□其他（电话会议）</w:t>
            </w:r>
          </w:p>
        </w:tc>
      </w:tr>
      <w:tr w14:paraId="48A85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2C69C5">
            <w:pPr>
              <w:jc w:val="center"/>
              <w:rPr>
                <w:rFonts w:ascii="Times New Roman" w:hAnsi="Times New Roman" w:eastAsia="楷体"/>
                <w:b/>
                <w:bCs/>
                <w:sz w:val="24"/>
              </w:rPr>
            </w:pPr>
            <w:r>
              <w:rPr>
                <w:rFonts w:ascii="Times New Roman" w:hAnsi="Times New Roman" w:eastAsia="楷体"/>
                <w:b/>
                <w:bCs/>
                <w:sz w:val="24"/>
              </w:rPr>
              <w:t>参与单位</w:t>
            </w:r>
          </w:p>
        </w:tc>
        <w:tc>
          <w:tcPr>
            <w:tcW w:w="6855" w:type="dxa"/>
            <w:tcBorders>
              <w:top w:val="single" w:color="auto" w:sz="4" w:space="0"/>
              <w:left w:val="single" w:color="auto" w:sz="4" w:space="0"/>
              <w:bottom w:val="single" w:color="auto" w:sz="4" w:space="0"/>
              <w:right w:val="single" w:color="auto" w:sz="12" w:space="0"/>
            </w:tcBorders>
            <w:vAlign w:val="center"/>
          </w:tcPr>
          <w:p w14:paraId="2C96FABB">
            <w:pPr>
              <w:spacing w:line="480" w:lineRule="exact"/>
              <w:rPr>
                <w:rFonts w:ascii="Times New Roman" w:hAnsi="Times New Roman" w:eastAsia="楷体"/>
                <w:sz w:val="24"/>
              </w:rPr>
            </w:pPr>
            <w:r>
              <w:rPr>
                <w:rFonts w:hint="eastAsia" w:ascii="Times New Roman" w:hAnsi="Times New Roman" w:eastAsia="楷体"/>
                <w:sz w:val="24"/>
              </w:rPr>
              <w:t>兴业基金、浙商证券、方正证券</w:t>
            </w:r>
          </w:p>
        </w:tc>
      </w:tr>
      <w:tr w14:paraId="13440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7321937">
            <w:pPr>
              <w:jc w:val="center"/>
              <w:rPr>
                <w:rFonts w:ascii="Times New Roman" w:hAnsi="Times New Roman" w:eastAsia="楷体"/>
                <w:b/>
                <w:bCs/>
                <w:sz w:val="24"/>
              </w:rPr>
            </w:pPr>
            <w:r>
              <w:rPr>
                <w:rFonts w:ascii="Times New Roman" w:hAnsi="Times New Roman" w:eastAsia="楷体"/>
                <w:b/>
                <w:bCs/>
                <w:sz w:val="24"/>
              </w:rPr>
              <w:t>时间</w:t>
            </w:r>
          </w:p>
        </w:tc>
        <w:tc>
          <w:tcPr>
            <w:tcW w:w="6855" w:type="dxa"/>
            <w:tcBorders>
              <w:top w:val="single" w:color="auto" w:sz="4" w:space="0"/>
              <w:left w:val="single" w:color="auto" w:sz="4" w:space="0"/>
              <w:bottom w:val="single" w:color="auto" w:sz="4" w:space="0"/>
              <w:right w:val="single" w:color="auto" w:sz="12" w:space="0"/>
            </w:tcBorders>
            <w:vAlign w:val="center"/>
          </w:tcPr>
          <w:p w14:paraId="73515B0B">
            <w:pPr>
              <w:rPr>
                <w:rFonts w:ascii="Times New Roman" w:hAnsi="Times New Roman" w:eastAsia="楷体"/>
                <w:sz w:val="24"/>
              </w:rPr>
            </w:pPr>
            <w:r>
              <w:rPr>
                <w:rFonts w:hint="eastAsia" w:ascii="Times New Roman" w:hAnsi="Times New Roman" w:eastAsia="楷体"/>
                <w:sz w:val="24"/>
              </w:rPr>
              <w:t>2025</w:t>
            </w:r>
            <w:r>
              <w:rPr>
                <w:rFonts w:ascii="Times New Roman" w:hAnsi="Times New Roman" w:eastAsia="楷体"/>
                <w:sz w:val="24"/>
              </w:rPr>
              <w:t>年</w:t>
            </w:r>
            <w:r>
              <w:rPr>
                <w:rFonts w:hint="eastAsia" w:ascii="Times New Roman" w:hAnsi="Times New Roman" w:eastAsia="楷体"/>
                <w:sz w:val="24"/>
              </w:rPr>
              <w:t>9</w:t>
            </w:r>
            <w:r>
              <w:rPr>
                <w:rFonts w:ascii="Times New Roman" w:hAnsi="Times New Roman" w:eastAsia="楷体"/>
                <w:sz w:val="24"/>
              </w:rPr>
              <w:t>月</w:t>
            </w:r>
            <w:r>
              <w:rPr>
                <w:rFonts w:hint="eastAsia" w:ascii="Times New Roman" w:hAnsi="Times New Roman" w:eastAsia="楷体"/>
                <w:sz w:val="24"/>
              </w:rPr>
              <w:t>19日</w:t>
            </w:r>
          </w:p>
        </w:tc>
      </w:tr>
      <w:tr w14:paraId="60CB6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B3DBCA7">
            <w:pPr>
              <w:jc w:val="center"/>
              <w:rPr>
                <w:rFonts w:ascii="Times New Roman" w:hAnsi="Times New Roman" w:eastAsia="楷体"/>
                <w:b/>
                <w:bCs/>
                <w:sz w:val="24"/>
              </w:rPr>
            </w:pPr>
            <w:r>
              <w:rPr>
                <w:rFonts w:ascii="Times New Roman" w:hAnsi="Times New Roman" w:eastAsia="楷体"/>
                <w:b/>
                <w:bCs/>
                <w:sz w:val="24"/>
              </w:rPr>
              <w:t>地点</w:t>
            </w:r>
          </w:p>
        </w:tc>
        <w:tc>
          <w:tcPr>
            <w:tcW w:w="6855" w:type="dxa"/>
            <w:tcBorders>
              <w:top w:val="single" w:color="auto" w:sz="4" w:space="0"/>
              <w:left w:val="single" w:color="auto" w:sz="4" w:space="0"/>
              <w:bottom w:val="single" w:color="auto" w:sz="4" w:space="0"/>
              <w:right w:val="single" w:color="auto" w:sz="12" w:space="0"/>
            </w:tcBorders>
            <w:vAlign w:val="center"/>
          </w:tcPr>
          <w:p w14:paraId="71BFFF30">
            <w:pPr>
              <w:rPr>
                <w:rFonts w:ascii="Times New Roman" w:hAnsi="Times New Roman" w:eastAsia="楷体"/>
                <w:sz w:val="24"/>
              </w:rPr>
            </w:pPr>
            <w:r>
              <w:rPr>
                <w:rFonts w:ascii="Times New Roman" w:hAnsi="Times New Roman" w:eastAsia="楷体"/>
                <w:sz w:val="24"/>
              </w:rPr>
              <w:t>江苏华盛锂电材料股份有限公司</w:t>
            </w:r>
            <w:r>
              <w:rPr>
                <w:rFonts w:hint="eastAsia" w:ascii="Times New Roman" w:hAnsi="Times New Roman" w:eastAsia="楷体"/>
                <w:sz w:val="24"/>
              </w:rPr>
              <w:t>三期会议室</w:t>
            </w:r>
          </w:p>
        </w:tc>
      </w:tr>
      <w:tr w14:paraId="7A75A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55F9CED">
            <w:pPr>
              <w:jc w:val="center"/>
              <w:rPr>
                <w:rFonts w:ascii="Times New Roman" w:hAnsi="Times New Roman" w:eastAsia="楷体"/>
                <w:b/>
                <w:bCs/>
                <w:sz w:val="24"/>
              </w:rPr>
            </w:pPr>
            <w:r>
              <w:rPr>
                <w:rFonts w:ascii="Times New Roman" w:hAnsi="Times New Roman" w:eastAsia="楷体"/>
                <w:b/>
                <w:bCs/>
                <w:sz w:val="24"/>
              </w:rPr>
              <w:t>公司接待人员姓名</w:t>
            </w:r>
          </w:p>
        </w:tc>
        <w:tc>
          <w:tcPr>
            <w:tcW w:w="6855" w:type="dxa"/>
            <w:tcBorders>
              <w:top w:val="single" w:color="auto" w:sz="4" w:space="0"/>
              <w:left w:val="single" w:color="auto" w:sz="4" w:space="0"/>
              <w:bottom w:val="single" w:color="auto" w:sz="4" w:space="0"/>
              <w:right w:val="single" w:color="auto" w:sz="12" w:space="0"/>
            </w:tcBorders>
            <w:vAlign w:val="center"/>
          </w:tcPr>
          <w:p w14:paraId="14634729">
            <w:pPr>
              <w:spacing w:before="156" w:beforeLines="50" w:after="156" w:afterLines="50"/>
              <w:rPr>
                <w:rFonts w:ascii="Times New Roman" w:hAnsi="Times New Roman" w:eastAsia="楷体"/>
                <w:sz w:val="24"/>
              </w:rPr>
            </w:pPr>
            <w:r>
              <w:rPr>
                <w:rFonts w:hint="eastAsia" w:ascii="Times New Roman" w:hAnsi="Times New Roman" w:eastAsia="楷体"/>
                <w:sz w:val="24"/>
              </w:rPr>
              <w:t>副总经理、董事会秘书：黄振东</w:t>
            </w:r>
          </w:p>
        </w:tc>
      </w:tr>
      <w:tr w14:paraId="05ED1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55FCACE">
            <w:pPr>
              <w:jc w:val="center"/>
              <w:rPr>
                <w:rFonts w:ascii="Times New Roman" w:hAnsi="Times New Roman" w:eastAsia="楷体"/>
                <w:b/>
                <w:bCs/>
                <w:sz w:val="24"/>
              </w:rPr>
            </w:pPr>
            <w:r>
              <w:rPr>
                <w:rFonts w:ascii="Times New Roman" w:hAnsi="Times New Roman" w:eastAsia="楷体"/>
                <w:b/>
                <w:bCs/>
                <w:sz w:val="24"/>
              </w:rPr>
              <w:t>投资者关系活动主要内容介绍</w:t>
            </w:r>
          </w:p>
        </w:tc>
        <w:tc>
          <w:tcPr>
            <w:tcW w:w="6855" w:type="dxa"/>
            <w:tcBorders>
              <w:top w:val="single" w:color="auto" w:sz="4" w:space="0"/>
              <w:left w:val="single" w:color="auto" w:sz="4" w:space="0"/>
              <w:bottom w:val="single" w:color="auto" w:sz="4" w:space="0"/>
              <w:right w:val="single" w:color="auto" w:sz="12" w:space="0"/>
            </w:tcBorders>
            <w:vAlign w:val="center"/>
          </w:tcPr>
          <w:p w14:paraId="4832B5EF">
            <w:pPr>
              <w:adjustRightInd w:val="0"/>
              <w:snapToGrid w:val="0"/>
              <w:spacing w:line="360" w:lineRule="auto"/>
              <w:ind w:firstLine="480" w:firstLineChars="200"/>
              <w:rPr>
                <w:rFonts w:ascii="Times New Roman" w:hAnsi="Times New Roman" w:eastAsia="楷体"/>
                <w:sz w:val="24"/>
                <w:shd w:val="clear" w:color="auto" w:fill="FFFFFF"/>
              </w:rPr>
            </w:pPr>
            <w:r>
              <w:rPr>
                <w:rFonts w:ascii="Times New Roman" w:hAnsi="Times New Roman" w:eastAsia="楷体"/>
                <w:sz w:val="24"/>
                <w:shd w:val="clear" w:color="auto" w:fill="FFFFFF"/>
              </w:rPr>
              <w:t>本次投资者交流会中，投资者重点关注的问题及公司的回复要点如下：</w:t>
            </w:r>
          </w:p>
          <w:p w14:paraId="6AB6F528">
            <w:pPr>
              <w:adjustRightInd w:val="0"/>
              <w:snapToGrid w:val="0"/>
              <w:spacing w:line="360" w:lineRule="auto"/>
              <w:ind w:firstLine="480" w:firstLineChars="200"/>
              <w:rPr>
                <w:rFonts w:ascii="Times New Roman" w:hAnsi="Times New Roman" w:eastAsia="楷体"/>
                <w:sz w:val="24"/>
                <w:shd w:val="clear" w:color="auto" w:fill="FFFFFF"/>
              </w:rPr>
            </w:pPr>
            <w:r>
              <w:rPr>
                <w:rFonts w:hint="eastAsia" w:ascii="Times New Roman" w:hAnsi="Times New Roman" w:eastAsia="楷体"/>
                <w:sz w:val="24"/>
                <w:shd w:val="clear" w:color="auto" w:fill="FFFFFF"/>
              </w:rPr>
              <w:t>1、目前VC、FEC价格如何，添加剂产品在电解液中添加的质量比是多少？</w:t>
            </w:r>
          </w:p>
          <w:p w14:paraId="78950B4C">
            <w:pPr>
              <w:adjustRightInd w:val="0"/>
              <w:snapToGrid w:val="0"/>
              <w:spacing w:line="360" w:lineRule="auto"/>
              <w:ind w:firstLine="480" w:firstLineChars="200"/>
              <w:rPr>
                <w:rFonts w:ascii="Times New Roman" w:hAnsi="Times New Roman" w:eastAsia="楷体"/>
                <w:sz w:val="24"/>
                <w:shd w:val="clear" w:color="auto" w:fill="FFFFFF"/>
              </w:rPr>
            </w:pPr>
            <w:r>
              <w:rPr>
                <w:rFonts w:hint="eastAsia" w:ascii="Times New Roman" w:hAnsi="Times New Roman" w:eastAsia="楷体"/>
                <w:sz w:val="24"/>
                <w:shd w:val="clear" w:color="auto" w:fill="FFFFFF"/>
              </w:rPr>
              <w:t>答：2021年开始添加剂产品处于供不应求的状态，产品销售价格较高，这吸引了相当数量的企业开始布局电解液添加剂业务且扩产规模较大，随着行业内电解液添加剂新增产能的逐步释放，市场逐步出现供大于求的状况，VC、FEC销售价格下降较多，公司产品价格受供需关系，原材料价格和宏观经济等因素影响，公司添加剂产品销售定价会按照随行就市原则动态调整。各电解液厂商对公司添加剂的需求量主要根据电池厂商或其自身设计的不同类型电解液的配方决定，不同电解液配方在添加剂种类和添加比例方面存在差异。电解液中添加剂的质量占比一般在2%-10%。</w:t>
            </w:r>
          </w:p>
          <w:p w14:paraId="7D4C9775">
            <w:pPr>
              <w:adjustRightInd w:val="0"/>
              <w:snapToGrid w:val="0"/>
              <w:spacing w:line="360" w:lineRule="auto"/>
              <w:ind w:firstLine="480" w:firstLineChars="200"/>
              <w:rPr>
                <w:rFonts w:ascii="Times New Roman" w:hAnsi="Times New Roman" w:eastAsia="楷体"/>
                <w:sz w:val="24"/>
                <w:shd w:val="clear" w:color="auto" w:fill="FFFFFF"/>
              </w:rPr>
            </w:pPr>
            <w:r>
              <w:rPr>
                <w:rFonts w:hint="eastAsia" w:ascii="Times New Roman" w:hAnsi="Times New Roman" w:eastAsia="楷体"/>
                <w:sz w:val="24"/>
                <w:shd w:val="clear" w:color="auto" w:fill="FFFFFF"/>
              </w:rPr>
              <w:t>2、公司在固态电池领域有哪些技术储备，硫化锂项目进展如何？</w:t>
            </w:r>
          </w:p>
          <w:p w14:paraId="704BDBD9">
            <w:pPr>
              <w:adjustRightInd w:val="0"/>
              <w:snapToGrid w:val="0"/>
              <w:spacing w:line="360" w:lineRule="auto"/>
              <w:ind w:firstLine="480" w:firstLineChars="200"/>
              <w:rPr>
                <w:rFonts w:hint="eastAsia" w:ascii="Times New Roman" w:hAnsi="Times New Roman" w:eastAsia="楷体"/>
                <w:sz w:val="24"/>
                <w:shd w:val="clear" w:color="auto" w:fill="FFFFFF"/>
              </w:rPr>
            </w:pPr>
            <w:r>
              <w:rPr>
                <w:rFonts w:hint="eastAsia" w:ascii="Times New Roman" w:hAnsi="Times New Roman" w:eastAsia="楷体"/>
                <w:sz w:val="24"/>
                <w:shd w:val="clear" w:color="auto" w:fill="FFFFFF"/>
              </w:rPr>
              <w:t>答：固态电池凭借其高能量密度、高安全性等优势，应用前景十分广阔，公司近年持续关注固态电池材料的研发，目前已完成了多种固态/半固态电池适配材料的实验室试制，比如半固态电解质添加剂双三氟甲磺酰亚胺锂、高纯硫化锂、新型硅碳负极、单壁纳米管导电剂等。针对市场上流行的硫化物固态电解质关键材料硫化锂的制备工艺，公司已掌握固相法和液相法等多种制备路线。通过自主研发并与下游头部电池厂商密切合作后，公司已确定在硫化锂制备工艺上采用一种较为独特的液相法工艺，该工艺具有纯度高、收率高、后续加工性能好等优势。目前该工艺已初步完成小试验证工作，正在筹建2吨/年的中试试产线，为后续大规模产业化进一步验证各项工艺和技术参数，为公司在下一代电池材料领域的布局奠定坚实基础。</w:t>
            </w:r>
            <w:bookmarkStart w:id="0" w:name="_GoBack"/>
            <w:bookmarkEnd w:id="0"/>
          </w:p>
          <w:p w14:paraId="620AD97D">
            <w:pPr>
              <w:adjustRightInd w:val="0"/>
              <w:snapToGrid w:val="0"/>
              <w:spacing w:line="360" w:lineRule="auto"/>
              <w:ind w:firstLine="480" w:firstLineChars="200"/>
              <w:rPr>
                <w:rFonts w:hint="eastAsia" w:ascii="Times New Roman" w:hAnsi="Times New Roman" w:eastAsia="楷体"/>
                <w:sz w:val="24"/>
                <w:shd w:val="clear" w:color="auto" w:fill="FFFFFF"/>
              </w:rPr>
            </w:pPr>
            <w:r>
              <w:rPr>
                <w:rFonts w:hint="eastAsia" w:ascii="Times New Roman" w:hAnsi="Times New Roman" w:eastAsia="楷体"/>
                <w:sz w:val="24"/>
                <w:shd w:val="clear" w:color="auto" w:fill="FFFFFF"/>
              </w:rPr>
              <w:t>3、公司在建的项目有哪些，未来的盈利增长点在哪里？</w:t>
            </w:r>
          </w:p>
          <w:p w14:paraId="0052D810">
            <w:pPr>
              <w:adjustRightInd w:val="0"/>
              <w:snapToGrid w:val="0"/>
              <w:spacing w:line="360" w:lineRule="auto"/>
              <w:ind w:firstLine="480" w:firstLineChars="200"/>
              <w:rPr>
                <w:rFonts w:ascii="Times New Roman" w:hAnsi="Times New Roman" w:eastAsia="楷体"/>
                <w:sz w:val="24"/>
                <w:shd w:val="clear" w:color="auto" w:fill="FFFFFF"/>
              </w:rPr>
            </w:pPr>
            <w:r>
              <w:rPr>
                <w:rFonts w:hint="eastAsia" w:ascii="Times New Roman" w:hAnsi="Times New Roman" w:eastAsia="楷体"/>
                <w:sz w:val="24"/>
                <w:shd w:val="clear" w:color="auto" w:fill="FFFFFF"/>
              </w:rPr>
              <w:t>答：目前公司正在积极推进“年产20万吨低能耗高性能锂电池负极材料项目（其中第一期5万吨）”、“新建年产500吨LiDFOB、2000吨MMDS项目”、“年产3000吨双氟代磺酰亚胺锂项目”，“年产6万吨碳酸亚乙烯酯项目（一期3万吨）”、“年处理144,000吨/年固液气综合危废焚烧处置&amp;资源化循环利用中心项目”的建设。力求上述项目早日完工并释放产能，为公司的持续发展和业绩提升提供坚实支撑。以上项目中“新建年产500吨LiDFOB、2000吨MMDS项目”已于2025年8月开始试生产，为公司在电解液添加剂领域进一步扩大市场份额、巩固技术领先地位注入了新的动力，也为后续项目的顺利推进积累了宝贵经验。LiDFOB和MMDS作为高性能电解液添加剂，对于提升锂电池的能量密度、循环寿命和安全性具有关键作用。项目的顺利试产，不仅验证了公司技术的成熟度和生产能力的可靠性，也预示着未来将能够更好地满足市场对高性能锂电池材料日益增长的需求，为公司未来的业绩增长开辟新的增长点。</w:t>
            </w:r>
          </w:p>
        </w:tc>
      </w:tr>
      <w:tr w14:paraId="0A35D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D718C04">
            <w:pPr>
              <w:jc w:val="center"/>
              <w:rPr>
                <w:rFonts w:ascii="Times New Roman" w:hAnsi="Times New Roman" w:eastAsia="楷体"/>
                <w:b/>
                <w:bCs/>
                <w:sz w:val="24"/>
              </w:rPr>
            </w:pPr>
            <w:r>
              <w:rPr>
                <w:rFonts w:hint="eastAsia" w:ascii="Times New Roman" w:hAnsi="Times New Roman" w:eastAsia="楷体"/>
                <w:b/>
                <w:bCs/>
                <w:sz w:val="24"/>
              </w:rPr>
              <w:t>附件清单（如有）</w:t>
            </w:r>
          </w:p>
        </w:tc>
        <w:tc>
          <w:tcPr>
            <w:tcW w:w="6855" w:type="dxa"/>
            <w:tcBorders>
              <w:top w:val="single" w:color="auto" w:sz="4" w:space="0"/>
              <w:left w:val="single" w:color="auto" w:sz="4" w:space="0"/>
              <w:bottom w:val="single" w:color="auto" w:sz="4" w:space="0"/>
              <w:right w:val="single" w:color="auto" w:sz="12" w:space="0"/>
            </w:tcBorders>
            <w:vAlign w:val="center"/>
          </w:tcPr>
          <w:p w14:paraId="76A5BCDA">
            <w:pPr>
              <w:rPr>
                <w:rFonts w:ascii="Times New Roman" w:hAnsi="Times New Roman" w:eastAsia="楷体"/>
                <w:sz w:val="24"/>
              </w:rPr>
            </w:pPr>
            <w:r>
              <w:rPr>
                <w:rFonts w:ascii="Times New Roman" w:hAnsi="Times New Roman" w:eastAsia="楷体"/>
                <w:sz w:val="24"/>
              </w:rPr>
              <w:t>无</w:t>
            </w:r>
          </w:p>
        </w:tc>
      </w:tr>
      <w:tr w14:paraId="43267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17" w:type="dxa"/>
            <w:tcBorders>
              <w:top w:val="single" w:color="auto" w:sz="4" w:space="0"/>
              <w:left w:val="single" w:color="auto" w:sz="12" w:space="0"/>
              <w:bottom w:val="single" w:color="auto" w:sz="12" w:space="0"/>
              <w:right w:val="single" w:color="auto" w:sz="4" w:space="0"/>
            </w:tcBorders>
            <w:vAlign w:val="center"/>
          </w:tcPr>
          <w:p w14:paraId="33F0F200">
            <w:pPr>
              <w:jc w:val="center"/>
              <w:rPr>
                <w:rFonts w:ascii="Times New Roman" w:hAnsi="Times New Roman" w:eastAsia="楷体"/>
                <w:b/>
                <w:bCs/>
                <w:sz w:val="24"/>
              </w:rPr>
            </w:pPr>
            <w:r>
              <w:rPr>
                <w:rFonts w:hint="eastAsia" w:ascii="Times New Roman" w:hAnsi="Times New Roman" w:eastAsia="楷体"/>
                <w:b/>
                <w:bCs/>
                <w:sz w:val="24"/>
              </w:rPr>
              <w:t>日期</w:t>
            </w:r>
          </w:p>
        </w:tc>
        <w:tc>
          <w:tcPr>
            <w:tcW w:w="6855" w:type="dxa"/>
            <w:tcBorders>
              <w:top w:val="single" w:color="auto" w:sz="4" w:space="0"/>
              <w:left w:val="single" w:color="auto" w:sz="4" w:space="0"/>
              <w:bottom w:val="single" w:color="auto" w:sz="12" w:space="0"/>
              <w:right w:val="single" w:color="auto" w:sz="12" w:space="0"/>
            </w:tcBorders>
            <w:vAlign w:val="center"/>
          </w:tcPr>
          <w:p w14:paraId="4BE572A9">
            <w:pPr>
              <w:rPr>
                <w:rFonts w:ascii="Times New Roman" w:hAnsi="Times New Roman" w:eastAsia="楷体"/>
                <w:sz w:val="24"/>
              </w:rPr>
            </w:pPr>
            <w:r>
              <w:rPr>
                <w:rFonts w:hint="eastAsia" w:ascii="Times New Roman" w:hAnsi="Times New Roman" w:eastAsia="楷体"/>
                <w:sz w:val="24"/>
              </w:rPr>
              <w:t>2025</w:t>
            </w:r>
            <w:r>
              <w:rPr>
                <w:rFonts w:ascii="Times New Roman" w:hAnsi="Times New Roman" w:eastAsia="楷体"/>
                <w:sz w:val="24"/>
              </w:rPr>
              <w:t>年</w:t>
            </w:r>
            <w:r>
              <w:rPr>
                <w:rFonts w:hint="eastAsia" w:ascii="Times New Roman" w:hAnsi="Times New Roman" w:eastAsia="楷体"/>
                <w:sz w:val="24"/>
              </w:rPr>
              <w:t>9</w:t>
            </w:r>
            <w:r>
              <w:rPr>
                <w:rFonts w:ascii="Times New Roman" w:hAnsi="Times New Roman" w:eastAsia="楷体"/>
                <w:sz w:val="24"/>
              </w:rPr>
              <w:t>月</w:t>
            </w:r>
            <w:r>
              <w:rPr>
                <w:rFonts w:hint="eastAsia" w:ascii="Times New Roman" w:hAnsi="Times New Roman" w:eastAsia="楷体"/>
                <w:sz w:val="24"/>
              </w:rPr>
              <w:t>19日</w:t>
            </w:r>
          </w:p>
        </w:tc>
      </w:tr>
    </w:tbl>
    <w:p w14:paraId="15C2A2C1">
      <w:pPr>
        <w:widowControl/>
        <w:spacing w:line="20" w:lineRule="exact"/>
        <w:jc w:val="left"/>
      </w:pPr>
    </w:p>
    <w:sectPr>
      <w:head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1388">
    <w:pPr>
      <w:pStyle w:val="5"/>
      <w:rPr>
        <w:rFonts w:ascii="楷体" w:hAnsi="楷体" w:eastAsia="楷体"/>
      </w:rPr>
    </w:pPr>
    <w:r>
      <w:rPr>
        <w:rFonts w:hint="eastAsia" w:ascii="楷体" w:hAnsi="楷体" w:eastAsia="楷体"/>
      </w:rPr>
      <w:t xml:space="preserve">江苏华盛锂电材料股份有限公司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01488"/>
    <w:rsid w:val="000076A8"/>
    <w:rsid w:val="0001014A"/>
    <w:rsid w:val="0001396B"/>
    <w:rsid w:val="00013B2C"/>
    <w:rsid w:val="000251BC"/>
    <w:rsid w:val="0002600A"/>
    <w:rsid w:val="00031EDC"/>
    <w:rsid w:val="00032FBF"/>
    <w:rsid w:val="0004190F"/>
    <w:rsid w:val="0006665D"/>
    <w:rsid w:val="00075208"/>
    <w:rsid w:val="000752AD"/>
    <w:rsid w:val="000A0D5D"/>
    <w:rsid w:val="000B7145"/>
    <w:rsid w:val="000C0917"/>
    <w:rsid w:val="000D1EEA"/>
    <w:rsid w:val="000E0A29"/>
    <w:rsid w:val="000E4A02"/>
    <w:rsid w:val="000F7A15"/>
    <w:rsid w:val="00106CE5"/>
    <w:rsid w:val="00110AC1"/>
    <w:rsid w:val="00110FC0"/>
    <w:rsid w:val="00114A39"/>
    <w:rsid w:val="00114B26"/>
    <w:rsid w:val="00121DE3"/>
    <w:rsid w:val="00127A0C"/>
    <w:rsid w:val="0013291D"/>
    <w:rsid w:val="001356DC"/>
    <w:rsid w:val="00135DE9"/>
    <w:rsid w:val="00136571"/>
    <w:rsid w:val="0014063C"/>
    <w:rsid w:val="001716C9"/>
    <w:rsid w:val="00172A27"/>
    <w:rsid w:val="001764CF"/>
    <w:rsid w:val="00177FA6"/>
    <w:rsid w:val="00180E8C"/>
    <w:rsid w:val="00197C88"/>
    <w:rsid w:val="001C3E04"/>
    <w:rsid w:val="001C65A5"/>
    <w:rsid w:val="001D107B"/>
    <w:rsid w:val="001D76A0"/>
    <w:rsid w:val="002051B0"/>
    <w:rsid w:val="00214F3F"/>
    <w:rsid w:val="0021568D"/>
    <w:rsid w:val="00231045"/>
    <w:rsid w:val="002421F3"/>
    <w:rsid w:val="0025795E"/>
    <w:rsid w:val="002707AC"/>
    <w:rsid w:val="002824F1"/>
    <w:rsid w:val="00295938"/>
    <w:rsid w:val="002A5DDA"/>
    <w:rsid w:val="002B1EA1"/>
    <w:rsid w:val="002B2792"/>
    <w:rsid w:val="002B5738"/>
    <w:rsid w:val="002E7DD1"/>
    <w:rsid w:val="003046C0"/>
    <w:rsid w:val="003146EB"/>
    <w:rsid w:val="003168B2"/>
    <w:rsid w:val="00342805"/>
    <w:rsid w:val="00356C12"/>
    <w:rsid w:val="0036096D"/>
    <w:rsid w:val="00362CEE"/>
    <w:rsid w:val="003712F0"/>
    <w:rsid w:val="00372B7B"/>
    <w:rsid w:val="00382BB7"/>
    <w:rsid w:val="00384A01"/>
    <w:rsid w:val="00385F42"/>
    <w:rsid w:val="003864BC"/>
    <w:rsid w:val="00391142"/>
    <w:rsid w:val="00394720"/>
    <w:rsid w:val="003A22AA"/>
    <w:rsid w:val="003A4773"/>
    <w:rsid w:val="003C56D1"/>
    <w:rsid w:val="003D2184"/>
    <w:rsid w:val="003D561B"/>
    <w:rsid w:val="003E6473"/>
    <w:rsid w:val="003F6DC0"/>
    <w:rsid w:val="00402082"/>
    <w:rsid w:val="00415566"/>
    <w:rsid w:val="0042296F"/>
    <w:rsid w:val="00422A0C"/>
    <w:rsid w:val="00426B09"/>
    <w:rsid w:val="00432FC9"/>
    <w:rsid w:val="004413F5"/>
    <w:rsid w:val="00452094"/>
    <w:rsid w:val="00453D13"/>
    <w:rsid w:val="00456D35"/>
    <w:rsid w:val="00461E20"/>
    <w:rsid w:val="004646BB"/>
    <w:rsid w:val="00464AC6"/>
    <w:rsid w:val="004672FD"/>
    <w:rsid w:val="00476C84"/>
    <w:rsid w:val="004853F9"/>
    <w:rsid w:val="0049067C"/>
    <w:rsid w:val="00496215"/>
    <w:rsid w:val="00496ED9"/>
    <w:rsid w:val="004A033B"/>
    <w:rsid w:val="004A215B"/>
    <w:rsid w:val="004A227A"/>
    <w:rsid w:val="004B35E2"/>
    <w:rsid w:val="004B42FE"/>
    <w:rsid w:val="004C7EAD"/>
    <w:rsid w:val="004D001F"/>
    <w:rsid w:val="004D3F22"/>
    <w:rsid w:val="004D45FF"/>
    <w:rsid w:val="004E3115"/>
    <w:rsid w:val="004F3029"/>
    <w:rsid w:val="0050067C"/>
    <w:rsid w:val="005026B6"/>
    <w:rsid w:val="00502E9C"/>
    <w:rsid w:val="00520FE3"/>
    <w:rsid w:val="005211EF"/>
    <w:rsid w:val="0052527D"/>
    <w:rsid w:val="00530F80"/>
    <w:rsid w:val="00532959"/>
    <w:rsid w:val="005515C2"/>
    <w:rsid w:val="00556BB3"/>
    <w:rsid w:val="0056159D"/>
    <w:rsid w:val="00563FA2"/>
    <w:rsid w:val="005703A5"/>
    <w:rsid w:val="005761E2"/>
    <w:rsid w:val="005858D9"/>
    <w:rsid w:val="0059023D"/>
    <w:rsid w:val="00593A35"/>
    <w:rsid w:val="005B02EB"/>
    <w:rsid w:val="005C7A1B"/>
    <w:rsid w:val="005D4B0E"/>
    <w:rsid w:val="005F4618"/>
    <w:rsid w:val="0060293E"/>
    <w:rsid w:val="00605E6F"/>
    <w:rsid w:val="00612D1C"/>
    <w:rsid w:val="00613EDC"/>
    <w:rsid w:val="0062262A"/>
    <w:rsid w:val="006264DF"/>
    <w:rsid w:val="00627ADB"/>
    <w:rsid w:val="006439B3"/>
    <w:rsid w:val="00646058"/>
    <w:rsid w:val="006469A4"/>
    <w:rsid w:val="00653097"/>
    <w:rsid w:val="00661F6B"/>
    <w:rsid w:val="00664FF6"/>
    <w:rsid w:val="006655B9"/>
    <w:rsid w:val="006672F6"/>
    <w:rsid w:val="006863A5"/>
    <w:rsid w:val="006B0D03"/>
    <w:rsid w:val="006B22F5"/>
    <w:rsid w:val="006C7C57"/>
    <w:rsid w:val="006D217D"/>
    <w:rsid w:val="006D2E8D"/>
    <w:rsid w:val="006D389E"/>
    <w:rsid w:val="0071100A"/>
    <w:rsid w:val="00711238"/>
    <w:rsid w:val="0071206F"/>
    <w:rsid w:val="00712771"/>
    <w:rsid w:val="00714B40"/>
    <w:rsid w:val="00720F84"/>
    <w:rsid w:val="0073320D"/>
    <w:rsid w:val="00736A80"/>
    <w:rsid w:val="00742D08"/>
    <w:rsid w:val="00744CAC"/>
    <w:rsid w:val="007460EB"/>
    <w:rsid w:val="00746C2A"/>
    <w:rsid w:val="007477DF"/>
    <w:rsid w:val="007713DA"/>
    <w:rsid w:val="00792EEF"/>
    <w:rsid w:val="007A4530"/>
    <w:rsid w:val="007A6F30"/>
    <w:rsid w:val="007A7D7C"/>
    <w:rsid w:val="007B371D"/>
    <w:rsid w:val="007B4CF9"/>
    <w:rsid w:val="007C1B43"/>
    <w:rsid w:val="007D738A"/>
    <w:rsid w:val="007E1D4D"/>
    <w:rsid w:val="007E6A6F"/>
    <w:rsid w:val="007F2858"/>
    <w:rsid w:val="007F717B"/>
    <w:rsid w:val="007F74C6"/>
    <w:rsid w:val="007F7552"/>
    <w:rsid w:val="00800D77"/>
    <w:rsid w:val="00804834"/>
    <w:rsid w:val="00804B8F"/>
    <w:rsid w:val="00804DE1"/>
    <w:rsid w:val="008057B4"/>
    <w:rsid w:val="00805B1D"/>
    <w:rsid w:val="008414A2"/>
    <w:rsid w:val="0085027B"/>
    <w:rsid w:val="00854B7A"/>
    <w:rsid w:val="0086299F"/>
    <w:rsid w:val="00870B23"/>
    <w:rsid w:val="00891E31"/>
    <w:rsid w:val="008A10B2"/>
    <w:rsid w:val="008B1C28"/>
    <w:rsid w:val="008B1EEB"/>
    <w:rsid w:val="008B5547"/>
    <w:rsid w:val="008C24CC"/>
    <w:rsid w:val="008C7A2E"/>
    <w:rsid w:val="008C7E7C"/>
    <w:rsid w:val="008D1D7F"/>
    <w:rsid w:val="008F010B"/>
    <w:rsid w:val="008F64E9"/>
    <w:rsid w:val="008F77EE"/>
    <w:rsid w:val="00904EA2"/>
    <w:rsid w:val="00940831"/>
    <w:rsid w:val="00950339"/>
    <w:rsid w:val="00960FAA"/>
    <w:rsid w:val="009626AA"/>
    <w:rsid w:val="0097726C"/>
    <w:rsid w:val="0098145D"/>
    <w:rsid w:val="00981912"/>
    <w:rsid w:val="009830FD"/>
    <w:rsid w:val="009918C4"/>
    <w:rsid w:val="009A084D"/>
    <w:rsid w:val="009B005C"/>
    <w:rsid w:val="009B0125"/>
    <w:rsid w:val="009B58AF"/>
    <w:rsid w:val="009C379C"/>
    <w:rsid w:val="009D40D8"/>
    <w:rsid w:val="009D718A"/>
    <w:rsid w:val="009E1B35"/>
    <w:rsid w:val="009E4B75"/>
    <w:rsid w:val="009E74AD"/>
    <w:rsid w:val="009F29D5"/>
    <w:rsid w:val="009F3DC7"/>
    <w:rsid w:val="009F3F06"/>
    <w:rsid w:val="00A02568"/>
    <w:rsid w:val="00A04DD5"/>
    <w:rsid w:val="00A05634"/>
    <w:rsid w:val="00A127DE"/>
    <w:rsid w:val="00A24A6E"/>
    <w:rsid w:val="00A55870"/>
    <w:rsid w:val="00A62859"/>
    <w:rsid w:val="00A6428F"/>
    <w:rsid w:val="00A73B46"/>
    <w:rsid w:val="00A75413"/>
    <w:rsid w:val="00A82D19"/>
    <w:rsid w:val="00A87B8F"/>
    <w:rsid w:val="00A9103F"/>
    <w:rsid w:val="00A93B61"/>
    <w:rsid w:val="00A950CC"/>
    <w:rsid w:val="00A96029"/>
    <w:rsid w:val="00AA1054"/>
    <w:rsid w:val="00AB3F05"/>
    <w:rsid w:val="00AC1815"/>
    <w:rsid w:val="00AC36A7"/>
    <w:rsid w:val="00AE1D23"/>
    <w:rsid w:val="00AF121D"/>
    <w:rsid w:val="00B029F9"/>
    <w:rsid w:val="00B0524B"/>
    <w:rsid w:val="00B16C30"/>
    <w:rsid w:val="00B273B0"/>
    <w:rsid w:val="00B3691B"/>
    <w:rsid w:val="00B418A3"/>
    <w:rsid w:val="00B4214A"/>
    <w:rsid w:val="00B533A2"/>
    <w:rsid w:val="00B54991"/>
    <w:rsid w:val="00B5658A"/>
    <w:rsid w:val="00B62C32"/>
    <w:rsid w:val="00B64DFA"/>
    <w:rsid w:val="00B667E4"/>
    <w:rsid w:val="00B85A0D"/>
    <w:rsid w:val="00B90446"/>
    <w:rsid w:val="00B94B98"/>
    <w:rsid w:val="00BA14F2"/>
    <w:rsid w:val="00BA5BFE"/>
    <w:rsid w:val="00BA7DD1"/>
    <w:rsid w:val="00BB4944"/>
    <w:rsid w:val="00BC37C2"/>
    <w:rsid w:val="00BC3D46"/>
    <w:rsid w:val="00BD0C60"/>
    <w:rsid w:val="00BE08B7"/>
    <w:rsid w:val="00BE2645"/>
    <w:rsid w:val="00BE67F0"/>
    <w:rsid w:val="00C02DB7"/>
    <w:rsid w:val="00C064EA"/>
    <w:rsid w:val="00C3372B"/>
    <w:rsid w:val="00C358B5"/>
    <w:rsid w:val="00C42CBD"/>
    <w:rsid w:val="00C4451C"/>
    <w:rsid w:val="00C510B0"/>
    <w:rsid w:val="00C51B18"/>
    <w:rsid w:val="00C5461F"/>
    <w:rsid w:val="00C61A3F"/>
    <w:rsid w:val="00C63FD3"/>
    <w:rsid w:val="00C70626"/>
    <w:rsid w:val="00C80A5E"/>
    <w:rsid w:val="00C80BEC"/>
    <w:rsid w:val="00C947D4"/>
    <w:rsid w:val="00C95434"/>
    <w:rsid w:val="00CA27D4"/>
    <w:rsid w:val="00CA6F63"/>
    <w:rsid w:val="00CC62F4"/>
    <w:rsid w:val="00CC75B4"/>
    <w:rsid w:val="00CD0BE4"/>
    <w:rsid w:val="00CE3455"/>
    <w:rsid w:val="00CF0E73"/>
    <w:rsid w:val="00CF47E1"/>
    <w:rsid w:val="00CF6E94"/>
    <w:rsid w:val="00D0634E"/>
    <w:rsid w:val="00D1386F"/>
    <w:rsid w:val="00D156EC"/>
    <w:rsid w:val="00D320C3"/>
    <w:rsid w:val="00D57B48"/>
    <w:rsid w:val="00D80139"/>
    <w:rsid w:val="00D83A19"/>
    <w:rsid w:val="00DA0D89"/>
    <w:rsid w:val="00DA3C8F"/>
    <w:rsid w:val="00DB2152"/>
    <w:rsid w:val="00DB35E3"/>
    <w:rsid w:val="00DB738F"/>
    <w:rsid w:val="00DC1C2D"/>
    <w:rsid w:val="00DC6FE4"/>
    <w:rsid w:val="00DD0014"/>
    <w:rsid w:val="00DD1BCC"/>
    <w:rsid w:val="00DD5690"/>
    <w:rsid w:val="00DD5E20"/>
    <w:rsid w:val="00DE1B2B"/>
    <w:rsid w:val="00DE29D7"/>
    <w:rsid w:val="00DE7187"/>
    <w:rsid w:val="00DF0E83"/>
    <w:rsid w:val="00DF2823"/>
    <w:rsid w:val="00DF3D1C"/>
    <w:rsid w:val="00E01EEA"/>
    <w:rsid w:val="00E04B86"/>
    <w:rsid w:val="00E055F9"/>
    <w:rsid w:val="00E11158"/>
    <w:rsid w:val="00E23166"/>
    <w:rsid w:val="00E27593"/>
    <w:rsid w:val="00E33B82"/>
    <w:rsid w:val="00E37D7D"/>
    <w:rsid w:val="00E42839"/>
    <w:rsid w:val="00E43D1B"/>
    <w:rsid w:val="00E43E56"/>
    <w:rsid w:val="00E46E07"/>
    <w:rsid w:val="00E509DB"/>
    <w:rsid w:val="00E51087"/>
    <w:rsid w:val="00E5460E"/>
    <w:rsid w:val="00E751D8"/>
    <w:rsid w:val="00E90C93"/>
    <w:rsid w:val="00E91FB3"/>
    <w:rsid w:val="00E9483C"/>
    <w:rsid w:val="00E95915"/>
    <w:rsid w:val="00EA151C"/>
    <w:rsid w:val="00EA7263"/>
    <w:rsid w:val="00EC7D20"/>
    <w:rsid w:val="00ED7D60"/>
    <w:rsid w:val="00EE0078"/>
    <w:rsid w:val="00EE1486"/>
    <w:rsid w:val="00EE5C90"/>
    <w:rsid w:val="00EE7267"/>
    <w:rsid w:val="00EF18FB"/>
    <w:rsid w:val="00F05D98"/>
    <w:rsid w:val="00F3084E"/>
    <w:rsid w:val="00F347DB"/>
    <w:rsid w:val="00F3591D"/>
    <w:rsid w:val="00F572D6"/>
    <w:rsid w:val="00F6067C"/>
    <w:rsid w:val="00F6299C"/>
    <w:rsid w:val="00F65DD0"/>
    <w:rsid w:val="00F66F44"/>
    <w:rsid w:val="00F67637"/>
    <w:rsid w:val="00F739E9"/>
    <w:rsid w:val="00F7709D"/>
    <w:rsid w:val="00F838D5"/>
    <w:rsid w:val="00FA5733"/>
    <w:rsid w:val="00FA5D36"/>
    <w:rsid w:val="00FB0456"/>
    <w:rsid w:val="00FD02B3"/>
    <w:rsid w:val="00FD33E7"/>
    <w:rsid w:val="00FE2E5A"/>
    <w:rsid w:val="00FF4AE9"/>
    <w:rsid w:val="00FF5BE3"/>
    <w:rsid w:val="23DB3F63"/>
    <w:rsid w:val="24465EFD"/>
    <w:rsid w:val="2E7712D2"/>
    <w:rsid w:val="2EF861C1"/>
    <w:rsid w:val="38861957"/>
    <w:rsid w:val="38EF7122"/>
    <w:rsid w:val="3F855194"/>
    <w:rsid w:val="64421FF9"/>
    <w:rsid w:val="67E5006B"/>
    <w:rsid w:val="7143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0"/>
    <w:pPr>
      <w:jc w:val="left"/>
    </w:pPr>
  </w:style>
  <w:style w:type="paragraph" w:styleId="3">
    <w:name w:val="Balloon Text"/>
    <w:basedOn w:val="1"/>
    <w:link w:val="20"/>
    <w:semiHidden/>
    <w:unhideWhenUsed/>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top w:w="0" w:type="dxa"/>
        <w:left w:w="0" w:type="dxa"/>
        <w:bottom w:w="0" w:type="dxa"/>
        <w:right w:w="0" w:type="dxa"/>
      </w:tblCellMar>
    </w:tblPr>
  </w:style>
  <w:style w:type="character" w:customStyle="1" w:styleId="13">
    <w:name w:val="页眉 Char"/>
    <w:link w:val="5"/>
    <w:qFormat/>
    <w:uiPriority w:val="0"/>
    <w:rPr>
      <w:rFonts w:cs="Times New Roman"/>
      <w:kern w:val="2"/>
      <w:sz w:val="18"/>
      <w:szCs w:val="18"/>
    </w:rPr>
  </w:style>
  <w:style w:type="character" w:customStyle="1" w:styleId="14">
    <w:name w:val="页脚 Char"/>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34"/>
    <w:pPr>
      <w:ind w:firstLine="420" w:firstLineChars="200"/>
    </w:pPr>
  </w:style>
  <w:style w:type="character" w:customStyle="1" w:styleId="18">
    <w:name w:val="批注文字 Char"/>
    <w:basedOn w:val="9"/>
    <w:link w:val="2"/>
    <w:semiHidden/>
    <w:qFormat/>
    <w:uiPriority w:val="0"/>
    <w:rPr>
      <w:rFonts w:cs="Times New Roman"/>
      <w:kern w:val="2"/>
      <w:sz w:val="21"/>
      <w:szCs w:val="24"/>
    </w:rPr>
  </w:style>
  <w:style w:type="character" w:customStyle="1" w:styleId="19">
    <w:name w:val="批注主题 Char"/>
    <w:basedOn w:val="18"/>
    <w:link w:val="6"/>
    <w:semiHidden/>
    <w:qFormat/>
    <w:uiPriority w:val="0"/>
    <w:rPr>
      <w:rFonts w:cs="Times New Roman"/>
      <w:b/>
      <w:bCs/>
      <w:kern w:val="2"/>
      <w:sz w:val="21"/>
      <w:szCs w:val="24"/>
    </w:rPr>
  </w:style>
  <w:style w:type="character" w:customStyle="1" w:styleId="20">
    <w:name w:val="批注框文本 Char"/>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950A7-9299-47FA-91CD-9995CBBFF863}">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Pages>
  <Words>1297</Words>
  <Characters>1378</Characters>
  <Lines>10</Lines>
  <Paragraphs>2</Paragraphs>
  <TotalTime>0</TotalTime>
  <ScaleCrop>false</ScaleCrop>
  <LinksUpToDate>false</LinksUpToDate>
  <CharactersWithSpaces>1453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2022-11-25T07:23:00Z</dcterms:created>
  <dc:creator>86186</dc:creator>
  <cp:lastModifiedBy>朱凯</cp:lastModifiedBy>
  <cp:lastPrinted>2022-03-16T07:42:00Z</cp:lastPrinted>
  <dcterms:modified xsi:type="dcterms:W3CDTF">2025-09-22T08:14:55Z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eyJoZGlkIjoiMzJiNTAyNjNlNjExZTE1ZWNkNTRlNTMyM2Y4Yzk5NjMiLCJ1c2VySWQiOiIyNDc2OTg4OTYifQ==</vt:lpwstr>
  </property>
  <property fmtid="{D5CDD505-2E9C-101B-9397-08002B2CF9AE}" pid="4" name="ICV">
    <vt:lpwstr>D38BA194268740C5BF25FF8619D807EB_12</vt:lpwstr>
  </property>
</Properties>
</file>