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2BF6">
      <w:pP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证券代码：688669                                   证券简称：聚石化学</w:t>
      </w:r>
    </w:p>
    <w:p w14:paraId="2C28BD5E">
      <w:pPr>
        <w:spacing w:before="240" w:beforeLines="100" w:line="36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广东聚石化学股份有限公司</w:t>
      </w:r>
    </w:p>
    <w:p w14:paraId="45806574">
      <w:pPr>
        <w:spacing w:line="360" w:lineRule="auto"/>
        <w:jc w:val="center"/>
        <w:rPr>
          <w:rFonts w:hint="default" w:ascii="Times New Roman" w:hAnsi="Times New Roman" w:eastAsia="宋体" w:cs="Times New Roman"/>
          <w:sz w:val="44"/>
          <w:szCs w:val="44"/>
        </w:rPr>
      </w:pPr>
      <w:r>
        <w:rPr>
          <w:rFonts w:hint="default" w:ascii="Times New Roman" w:hAnsi="Times New Roman" w:eastAsia="黑体" w:cs="Times New Roman"/>
          <w:b/>
          <w:bCs/>
          <w:sz w:val="36"/>
          <w:szCs w:val="36"/>
        </w:rPr>
        <w:t>投资者关系活动记录表</w:t>
      </w:r>
    </w:p>
    <w:p w14:paraId="69C1C546">
      <w:pPr>
        <w:spacing w:before="51" w:after="32"/>
        <w:ind w:right="619"/>
        <w:jc w:val="righ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w:t>
      </w:r>
      <w:r>
        <w:rPr>
          <w:rFonts w:hint="eastAsia" w:ascii="Times New Roman" w:hAnsi="Times New Roman" w:eastAsia="宋体" w:cs="Times New Roman"/>
          <w:sz w:val="24"/>
          <w:szCs w:val="24"/>
          <w:lang w:val="en-US" w:eastAsia="zh-CN"/>
        </w:rPr>
        <w:t>3</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BA7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0145BAE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5945" w:type="dxa"/>
          </w:tcPr>
          <w:p w14:paraId="69B76019">
            <w:pPr>
              <w:pStyle w:val="12"/>
              <w:rPr>
                <w:rFonts w:hint="default" w:ascii="Times New Roman" w:hAnsi="Times New Roman" w:eastAsia="宋体" w:cs="Times New Roman"/>
                <w:sz w:val="24"/>
                <w:szCs w:val="24"/>
              </w:rPr>
            </w:pPr>
          </w:p>
          <w:p w14:paraId="32C5ABBA">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4A064242">
            <w:pPr>
              <w:pStyle w:val="12"/>
              <w:rPr>
                <w:rFonts w:hint="default" w:ascii="Times New Roman" w:hAnsi="Times New Roman" w:eastAsia="宋体" w:cs="Times New Roman"/>
                <w:sz w:val="24"/>
                <w:szCs w:val="24"/>
              </w:rPr>
            </w:pPr>
          </w:p>
          <w:p w14:paraId="15355730">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626A4D70">
            <w:pPr>
              <w:pStyle w:val="12"/>
              <w:rPr>
                <w:rFonts w:hint="default" w:ascii="Times New Roman" w:hAnsi="Times New Roman" w:eastAsia="宋体" w:cs="Times New Roman"/>
                <w:sz w:val="24"/>
                <w:szCs w:val="24"/>
              </w:rPr>
            </w:pPr>
          </w:p>
          <w:p w14:paraId="5BB16905">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24D56052">
            <w:pPr>
              <w:pStyle w:val="12"/>
              <w:rPr>
                <w:rFonts w:hint="default" w:ascii="Times New Roman" w:hAnsi="Times New Roman" w:eastAsia="宋体" w:cs="Times New Roman"/>
                <w:sz w:val="24"/>
                <w:szCs w:val="24"/>
              </w:rPr>
            </w:pPr>
          </w:p>
          <w:p w14:paraId="5F6AF48D">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00B15EEC">
            <w:pPr>
              <w:pStyle w:val="12"/>
              <w:rPr>
                <w:rFonts w:hint="default" w:ascii="Times New Roman" w:hAnsi="Times New Roman" w:eastAsia="宋体" w:cs="Times New Roman"/>
                <w:sz w:val="24"/>
                <w:szCs w:val="24"/>
              </w:rPr>
            </w:pPr>
          </w:p>
          <w:p w14:paraId="5CB0E6C3">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356D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43FDD5E">
            <w:pPr>
              <w:pStyle w:val="12"/>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5945" w:type="dxa"/>
            <w:vAlign w:val="center"/>
          </w:tcPr>
          <w:p w14:paraId="3E49AC58">
            <w:pPr>
              <w:pStyle w:val="12"/>
              <w:rPr>
                <w:rFonts w:hint="default" w:ascii="Times New Roman" w:hAnsi="Times New Roman" w:eastAsia="宋体" w:cs="Times New Roman"/>
                <w:sz w:val="24"/>
                <w:szCs w:val="24"/>
                <w:highlight w:val="none"/>
                <w:lang w:val="en-US"/>
              </w:rPr>
            </w:pPr>
            <w:r>
              <w:rPr>
                <w:rFonts w:hint="eastAsia" w:ascii="Times New Roman" w:hAnsi="Times New Roman" w:eastAsia="宋体" w:cs="Times New Roman"/>
                <w:sz w:val="24"/>
                <w:szCs w:val="24"/>
                <w:highlight w:val="none"/>
                <w:lang w:val="en-US" w:eastAsia="zh-CN"/>
              </w:rPr>
              <w:t>投资者网上提问</w:t>
            </w:r>
          </w:p>
        </w:tc>
      </w:tr>
      <w:tr w14:paraId="212D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7DF22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5945" w:type="dxa"/>
            <w:vAlign w:val="center"/>
          </w:tcPr>
          <w:p w14:paraId="25510478">
            <w:pP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2025年9月19日</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周五</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下午</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14:00~17:00</w:t>
            </w:r>
          </w:p>
        </w:tc>
      </w:tr>
      <w:tr w14:paraId="65AC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00" w:hRule="atLeast"/>
          <w:jc w:val="center"/>
        </w:trPr>
        <w:tc>
          <w:tcPr>
            <w:tcW w:w="2580" w:type="dxa"/>
            <w:vAlign w:val="center"/>
          </w:tcPr>
          <w:p w14:paraId="1B099E03">
            <w:pPr>
              <w:pStyle w:val="12"/>
              <w:ind w:left="107"/>
              <w:jc w:val="both"/>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b/>
                <w:bCs/>
                <w:sz w:val="24"/>
                <w:szCs w:val="24"/>
                <w:lang w:val="zh-CN" w:eastAsia="zh-CN" w:bidi="zh-CN"/>
              </w:rPr>
              <w:t>地点</w:t>
            </w:r>
          </w:p>
        </w:tc>
        <w:tc>
          <w:tcPr>
            <w:tcW w:w="5945" w:type="dxa"/>
            <w:vAlign w:val="center"/>
          </w:tcPr>
          <w:p w14:paraId="5266D32C">
            <w:pPr>
              <w:pStyle w:val="12"/>
              <w:rPr>
                <w:rFonts w:hint="default" w:ascii="Times New Roman" w:hAnsi="Times New Roman" w:eastAsia="宋体" w:cs="Times New Roman"/>
                <w:sz w:val="24"/>
                <w:szCs w:val="24"/>
                <w:highlight w:val="none"/>
                <w:lang w:val="zh-CN" w:eastAsia="zh-CN" w:bidi="zh-CN"/>
              </w:rPr>
            </w:pPr>
            <w:r>
              <w:rPr>
                <w:rFonts w:hint="default" w:ascii="Times New Roman" w:hAnsi="Times New Roman" w:eastAsia="宋体" w:cs="Times New Roman"/>
                <w:sz w:val="24"/>
                <w:szCs w:val="24"/>
                <w:highlight w:val="none"/>
                <w:lang w:val="zh-CN" w:eastAsia="zh-CN" w:bidi="zh-CN"/>
              </w:rPr>
              <w:t>公司通过全景网“投资者关系互动平台”（https://ir.p5w.net）采用网络远程的方式召开业绩说明会</w:t>
            </w:r>
          </w:p>
        </w:tc>
      </w:tr>
      <w:tr w14:paraId="4D8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F5A1EE9">
            <w:pPr>
              <w:pStyle w:val="12"/>
              <w:spacing w:line="360" w:lineRule="auto"/>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5945" w:type="dxa"/>
            <w:vAlign w:val="center"/>
          </w:tcPr>
          <w:p w14:paraId="2B57B566">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董事长：陈钢</w:t>
            </w:r>
          </w:p>
          <w:p w14:paraId="6AECF4F5">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董事、总经理：杨衷核</w:t>
            </w:r>
          </w:p>
          <w:p w14:paraId="7998C39B">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独立董事：陈桂林</w:t>
            </w:r>
          </w:p>
          <w:p w14:paraId="39E0FA2B">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财务总监：伍洋</w:t>
            </w:r>
          </w:p>
          <w:p w14:paraId="51FD7C54">
            <w:pPr>
              <w:pStyle w:val="12"/>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董事会秘书：包伟</w:t>
            </w:r>
          </w:p>
        </w:tc>
      </w:tr>
      <w:tr w14:paraId="440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62" w:hRule="atLeast"/>
          <w:jc w:val="center"/>
        </w:trPr>
        <w:tc>
          <w:tcPr>
            <w:tcW w:w="2580" w:type="dxa"/>
            <w:vAlign w:val="center"/>
          </w:tcPr>
          <w:p w14:paraId="1E8C4793">
            <w:pPr>
              <w:pStyle w:val="12"/>
              <w:spacing w:line="360" w:lineRule="auto"/>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投资者关系活动主要内容介绍</w:t>
            </w:r>
          </w:p>
        </w:tc>
        <w:tc>
          <w:tcPr>
            <w:tcW w:w="5945" w:type="dxa"/>
          </w:tcPr>
          <w:p w14:paraId="5D50157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bidi="zh-CN"/>
              </w:rPr>
            </w:pPr>
            <w:r>
              <w:rPr>
                <w:rFonts w:hint="default" w:ascii="Times New Roman" w:hAnsi="Times New Roman" w:eastAsia="宋体" w:cs="Times New Roman"/>
                <w:b/>
                <w:bCs/>
                <w:sz w:val="24"/>
                <w:szCs w:val="24"/>
                <w:lang w:val="en-US" w:eastAsia="zh-CN" w:bidi="zh-CN"/>
              </w:rPr>
              <w:t>投资者提出的问题及公司回复情况</w:t>
            </w:r>
          </w:p>
          <w:p w14:paraId="77EC172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bidi="zh-CN"/>
              </w:rPr>
            </w:pPr>
            <w:r>
              <w:rPr>
                <w:rFonts w:hint="default" w:ascii="Times New Roman" w:hAnsi="Times New Roman" w:eastAsia="宋体" w:cs="Times New Roman"/>
                <w:b w:val="0"/>
                <w:bCs w:val="0"/>
                <w:sz w:val="24"/>
                <w:szCs w:val="24"/>
                <w:lang w:val="en-US" w:eastAsia="zh-CN" w:bidi="zh-CN"/>
              </w:rPr>
              <w:t>公司就投资者在本次说明会中提出的问题进行了回复：</w:t>
            </w:r>
          </w:p>
          <w:p w14:paraId="1CBC5F0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bidi="zh-CN"/>
              </w:rPr>
              <w:t>1、</w:t>
            </w:r>
            <w:r>
              <w:rPr>
                <w:rFonts w:hint="default" w:ascii="Times New Roman" w:hAnsi="Times New Roman" w:eastAsia="宋体" w:cs="Times New Roman"/>
                <w:b/>
                <w:bCs/>
                <w:sz w:val="24"/>
                <w:szCs w:val="24"/>
                <w:lang w:val="en-US" w:eastAsia="zh-CN"/>
              </w:rPr>
              <w:t>贵司财务报表中，成本和费用类有无无发票的预提费用，如有请提供预提费用类目和金额。</w:t>
            </w:r>
          </w:p>
          <w:p w14:paraId="7E32C9D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lang w:val="en-US" w:eastAsia="zh-CN"/>
              </w:rPr>
            </w:pPr>
            <w:r>
              <w:rPr>
                <w:rFonts w:hint="default" w:ascii="Times New Roman" w:hAnsi="Times New Roman" w:eastAsia="宋体" w:cs="Times New Roman"/>
                <w:b w:val="0"/>
                <w:sz w:val="24"/>
                <w:szCs w:val="24"/>
                <w:lang w:val="en-US" w:eastAsia="zh-CN"/>
              </w:rPr>
              <w:t>答：尊敬的投资者您好。公司不存在预提费用无票的情况，谢谢您的关注。</w:t>
            </w:r>
          </w:p>
          <w:p w14:paraId="07D4444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2、贵司2024年年报，销售费用中销售服务费增加一千一百多万，同比增加一倍多，主要是增加的什么费用？是否在24年当期都取得了合法合规的发票？</w:t>
            </w:r>
          </w:p>
          <w:p w14:paraId="597B7D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尊敬的投资者您好。公司2024年度销售服务费较上一年度大幅增长主要系公司子公司奥智股份与客户韩国LGE的销售模式由经销变更为直销导致的，详见公司2025年6月24日披露于上海证券交易所网站（www.sse.com.cn）的《关于上海证券交易所对公司2024年年度报告的信息披露监管问询函的回复公告》（公告编号：2025-037）之“九、关于期间费用”。谢谢您的关注。</w:t>
            </w:r>
          </w:p>
        </w:tc>
      </w:tr>
      <w:tr w14:paraId="4A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C939646">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附件清单（如有）</w:t>
            </w:r>
          </w:p>
        </w:tc>
        <w:tc>
          <w:tcPr>
            <w:tcW w:w="5945" w:type="dxa"/>
            <w:vAlign w:val="center"/>
          </w:tcPr>
          <w:p w14:paraId="3746591E">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tc>
      </w:tr>
      <w:tr w14:paraId="6A55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EC828FD">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日期</w:t>
            </w:r>
          </w:p>
        </w:tc>
        <w:tc>
          <w:tcPr>
            <w:tcW w:w="5945" w:type="dxa"/>
            <w:vAlign w:val="center"/>
          </w:tcPr>
          <w:p w14:paraId="053D289B">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19</w:t>
            </w:r>
            <w:r>
              <w:rPr>
                <w:rFonts w:hint="default" w:ascii="Times New Roman" w:hAnsi="Times New Roman" w:eastAsia="宋体" w:cs="Times New Roman"/>
                <w:sz w:val="24"/>
                <w:szCs w:val="24"/>
              </w:rPr>
              <w:t>日</w:t>
            </w:r>
          </w:p>
        </w:tc>
      </w:tr>
    </w:tbl>
    <w:p w14:paraId="0B5DC355">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mUwYWRkYzkyZjI2ZjgyNDE1YmYzYzE5ZDJmZDkifQ=="/>
  </w:docVars>
  <w:rsids>
    <w:rsidRoot w:val="00172A27"/>
    <w:rsid w:val="00026CC3"/>
    <w:rsid w:val="00036089"/>
    <w:rsid w:val="00042759"/>
    <w:rsid w:val="00053CFA"/>
    <w:rsid w:val="00055CCA"/>
    <w:rsid w:val="000633EC"/>
    <w:rsid w:val="00063804"/>
    <w:rsid w:val="000665A2"/>
    <w:rsid w:val="000877AB"/>
    <w:rsid w:val="000B7C08"/>
    <w:rsid w:val="000D12CF"/>
    <w:rsid w:val="000D2D88"/>
    <w:rsid w:val="000E4B20"/>
    <w:rsid w:val="0011418F"/>
    <w:rsid w:val="00172C24"/>
    <w:rsid w:val="001E59D1"/>
    <w:rsid w:val="001E5EA4"/>
    <w:rsid w:val="001F02D5"/>
    <w:rsid w:val="002042A7"/>
    <w:rsid w:val="00205911"/>
    <w:rsid w:val="002146AD"/>
    <w:rsid w:val="00275CB6"/>
    <w:rsid w:val="002800B5"/>
    <w:rsid w:val="00295B29"/>
    <w:rsid w:val="002A737D"/>
    <w:rsid w:val="002D4073"/>
    <w:rsid w:val="002E7098"/>
    <w:rsid w:val="00301D32"/>
    <w:rsid w:val="00315FA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37D"/>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3D67"/>
    <w:rsid w:val="007D6DC4"/>
    <w:rsid w:val="00853463"/>
    <w:rsid w:val="0088574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5D2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3B2E"/>
    <w:rsid w:val="00B85B00"/>
    <w:rsid w:val="00BB4251"/>
    <w:rsid w:val="00BE2ECD"/>
    <w:rsid w:val="00BF132F"/>
    <w:rsid w:val="00C13878"/>
    <w:rsid w:val="00CA0906"/>
    <w:rsid w:val="00CA1705"/>
    <w:rsid w:val="00CB5B41"/>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A1E2C"/>
    <w:rsid w:val="00FB4A08"/>
    <w:rsid w:val="00FC0C2A"/>
    <w:rsid w:val="00FD5021"/>
    <w:rsid w:val="00FD7F8E"/>
    <w:rsid w:val="00FF11E4"/>
    <w:rsid w:val="04B072D4"/>
    <w:rsid w:val="05D42808"/>
    <w:rsid w:val="05F575D4"/>
    <w:rsid w:val="064249C6"/>
    <w:rsid w:val="08641132"/>
    <w:rsid w:val="09186774"/>
    <w:rsid w:val="0945438F"/>
    <w:rsid w:val="0A71587A"/>
    <w:rsid w:val="0B40795D"/>
    <w:rsid w:val="0B792C38"/>
    <w:rsid w:val="0C28640C"/>
    <w:rsid w:val="0E90599A"/>
    <w:rsid w:val="0ED720CD"/>
    <w:rsid w:val="12070CAE"/>
    <w:rsid w:val="145F688C"/>
    <w:rsid w:val="15DD2205"/>
    <w:rsid w:val="17072842"/>
    <w:rsid w:val="17A67110"/>
    <w:rsid w:val="1864189B"/>
    <w:rsid w:val="18D73A7D"/>
    <w:rsid w:val="190E1981"/>
    <w:rsid w:val="19557370"/>
    <w:rsid w:val="1BD06B6A"/>
    <w:rsid w:val="1F782BDE"/>
    <w:rsid w:val="203A7A5D"/>
    <w:rsid w:val="20412DBE"/>
    <w:rsid w:val="204A6A53"/>
    <w:rsid w:val="23317869"/>
    <w:rsid w:val="25650CAE"/>
    <w:rsid w:val="26406598"/>
    <w:rsid w:val="28080056"/>
    <w:rsid w:val="28734C1A"/>
    <w:rsid w:val="28C72DDD"/>
    <w:rsid w:val="29EE0E64"/>
    <w:rsid w:val="2BC4020A"/>
    <w:rsid w:val="2C4A5B79"/>
    <w:rsid w:val="2EF90F16"/>
    <w:rsid w:val="2F125C63"/>
    <w:rsid w:val="302C3D0A"/>
    <w:rsid w:val="30DA4789"/>
    <w:rsid w:val="3104598F"/>
    <w:rsid w:val="33DE31BB"/>
    <w:rsid w:val="389C49C0"/>
    <w:rsid w:val="39BC78F4"/>
    <w:rsid w:val="3A03179B"/>
    <w:rsid w:val="3B35486F"/>
    <w:rsid w:val="3D8A7B63"/>
    <w:rsid w:val="3EA622BD"/>
    <w:rsid w:val="3EF1250A"/>
    <w:rsid w:val="3FCA1652"/>
    <w:rsid w:val="40567DB0"/>
    <w:rsid w:val="40FF5CD2"/>
    <w:rsid w:val="415950B5"/>
    <w:rsid w:val="41FC3707"/>
    <w:rsid w:val="42DB40B0"/>
    <w:rsid w:val="43B71B0A"/>
    <w:rsid w:val="44FA0589"/>
    <w:rsid w:val="45A663E3"/>
    <w:rsid w:val="469F09AF"/>
    <w:rsid w:val="47F24B91"/>
    <w:rsid w:val="489839F7"/>
    <w:rsid w:val="4B756271"/>
    <w:rsid w:val="4C8E1CA8"/>
    <w:rsid w:val="4D6D36A4"/>
    <w:rsid w:val="510903EF"/>
    <w:rsid w:val="525B1278"/>
    <w:rsid w:val="53F137F4"/>
    <w:rsid w:val="543A6906"/>
    <w:rsid w:val="56850CBB"/>
    <w:rsid w:val="59D8738A"/>
    <w:rsid w:val="5A666D76"/>
    <w:rsid w:val="5B2253C2"/>
    <w:rsid w:val="5CF02E0F"/>
    <w:rsid w:val="603269D2"/>
    <w:rsid w:val="60E37A69"/>
    <w:rsid w:val="61A52BCA"/>
    <w:rsid w:val="67095496"/>
    <w:rsid w:val="679F04A6"/>
    <w:rsid w:val="67ED7463"/>
    <w:rsid w:val="681A546A"/>
    <w:rsid w:val="69CB37D4"/>
    <w:rsid w:val="6A0D5B9B"/>
    <w:rsid w:val="6A3B23B1"/>
    <w:rsid w:val="6AEA32DC"/>
    <w:rsid w:val="6CC24AB5"/>
    <w:rsid w:val="6D9271B2"/>
    <w:rsid w:val="6DA87FD2"/>
    <w:rsid w:val="6F134790"/>
    <w:rsid w:val="6FE81F5F"/>
    <w:rsid w:val="70535314"/>
    <w:rsid w:val="712B1154"/>
    <w:rsid w:val="72446028"/>
    <w:rsid w:val="73076EC0"/>
    <w:rsid w:val="74210CA6"/>
    <w:rsid w:val="746F4E76"/>
    <w:rsid w:val="788C25F5"/>
    <w:rsid w:val="79F72AA9"/>
    <w:rsid w:val="7A144529"/>
    <w:rsid w:val="7AFC3E7A"/>
    <w:rsid w:val="7DD37FAE"/>
    <w:rsid w:val="7E9C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590</Words>
  <Characters>673</Characters>
  <Lines>1</Lines>
  <Paragraphs>1</Paragraphs>
  <TotalTime>16</TotalTime>
  <ScaleCrop>false</ScaleCrop>
  <LinksUpToDate>false</LinksUpToDate>
  <CharactersWithSpaces>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2023-09-11T01:37:00Z</dcterms:created>
  <dc:creator>jie.huang</dc:creator>
  <cp:lastModifiedBy>Guppp</cp:lastModifiedBy>
  <dcterms:modified xsi:type="dcterms:W3CDTF">2025-09-22T06:44:33Z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24BD7D5456494FBF9545D119F68ED8C5_13</vt:lpwstr>
  </property>
  <property fmtid="{D5CDD505-2E9C-101B-9397-08002B2CF9AE}" pid="4" name="KSOTemplateDocerSaveRecord">
    <vt:lpwstr>eyJoZGlkIjoiYzE0YmUwYWRkYzkyZjI2ZjgyNDE1YmYzYzE5ZDJmZDkiLCJ1c2VySWQiOiIzNDIxODQzMTYifQ==</vt:lpwstr>
  </property>
</Properties>
</file>